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0D7C7E" w14:textId="77777777" w:rsidR="00814DF2" w:rsidRPr="003F5D58" w:rsidRDefault="00814DF2" w:rsidP="003F5D58">
      <w:pPr>
        <w:jc w:val="center"/>
        <w:rPr>
          <w:i/>
          <w:iCs/>
          <w:u w:val="single"/>
        </w:rPr>
      </w:pPr>
      <w:r w:rsidRPr="003F5D58">
        <w:rPr>
          <w:i/>
          <w:iCs/>
          <w:u w:val="single"/>
        </w:rPr>
        <w:t>Article review</w:t>
      </w:r>
    </w:p>
    <w:p w14:paraId="7B6DB314" w14:textId="77777777" w:rsidR="00814DF2" w:rsidRDefault="00814DF2"/>
    <w:p w14:paraId="0AA7820D" w14:textId="0C9CDFCB" w:rsidR="005063BB" w:rsidRDefault="009C62F5">
      <w:r>
        <w:t xml:space="preserve">This essay will assess the 2010 </w:t>
      </w:r>
      <w:r w:rsidR="00336D20">
        <w:t>article by Martin Goodman</w:t>
      </w:r>
      <w:r w:rsidR="00F97514">
        <w:t xml:space="preserve">, “Constructing Ancient Judaism from the Scrolls”. </w:t>
      </w:r>
      <w:r w:rsidR="00042115">
        <w:t>Goldman’s article was published in The Oxford Handbook of the Dead Sea Scrolls</w:t>
      </w:r>
      <w:r w:rsidR="00D710FA">
        <w:t xml:space="preserve">. </w:t>
      </w:r>
      <w:r w:rsidR="00623317">
        <w:t xml:space="preserve">The subject of the article is </w:t>
      </w:r>
      <w:r w:rsidR="00482514">
        <w:t>blatantly Ancient Judaism</w:t>
      </w:r>
      <w:r w:rsidR="00057D91">
        <w:t xml:space="preserve">. More specifically, the article </w:t>
      </w:r>
      <w:r w:rsidR="002356B4">
        <w:t xml:space="preserve">focuses on sectarian Jews </w:t>
      </w:r>
      <w:r w:rsidR="00C473E1">
        <w:t xml:space="preserve">and their relationship with </w:t>
      </w:r>
      <w:r w:rsidR="00BD757B">
        <w:t>the Temple in Jerusalem as described in the Dead Sea Scrolls.</w:t>
      </w:r>
    </w:p>
    <w:p w14:paraId="2386CAD2" w14:textId="18969C8D" w:rsidR="005063BB" w:rsidRDefault="005063BB"/>
    <w:p w14:paraId="65007C47" w14:textId="2921B70F" w:rsidR="001D670B" w:rsidRDefault="001D670B">
      <w:r>
        <w:t xml:space="preserve">Goodman accurately points out that </w:t>
      </w:r>
      <w:r w:rsidR="006B4DCE">
        <w:t xml:space="preserve">any assumptions made based on the Dead Sea Scrolls, </w:t>
      </w:r>
      <w:r w:rsidR="00F42E2A">
        <w:t>even with most assumptions likely being correct, they are still only assumptions</w:t>
      </w:r>
      <w:r w:rsidR="00F42E2A">
        <w:rPr>
          <w:rStyle w:val="FootnoteReference"/>
        </w:rPr>
        <w:footnoteReference w:id="2"/>
      </w:r>
      <w:r w:rsidR="003E5AEE">
        <w:t>.</w:t>
      </w:r>
    </w:p>
    <w:p w14:paraId="1C9058DF" w14:textId="68AE1B21" w:rsidR="001D670B" w:rsidRDefault="001D670B"/>
    <w:p w14:paraId="58872600" w14:textId="28F0F51F" w:rsidR="009E14F0" w:rsidRDefault="00183E85">
      <w:r>
        <w:t xml:space="preserve">The article goes on to say that </w:t>
      </w:r>
      <w:r w:rsidR="00F65EA8">
        <w:t>“</w:t>
      </w:r>
      <w:r w:rsidR="00F65EA8" w:rsidRPr="00F65EA8">
        <w:t>the Qumran sectarians turned their back on the Temple in Jerusalem and constructed for themselves a new Judaism in which the life and prayers and sacred meals of the community took the place of the sacrifices performed by the priests</w:t>
      </w:r>
      <w:r w:rsidR="00F65EA8">
        <w:t>”</w:t>
      </w:r>
      <w:r w:rsidR="00F65EA8">
        <w:rPr>
          <w:rStyle w:val="FootnoteReference"/>
        </w:rPr>
        <w:footnoteReference w:id="3"/>
      </w:r>
      <w:r w:rsidR="00FE1EC9">
        <w:t xml:space="preserve">. </w:t>
      </w:r>
      <w:r w:rsidR="007C6C55">
        <w:t>Goodman states that this separation is “</w:t>
      </w:r>
      <w:r w:rsidR="007C6C55" w:rsidRPr="007C6C55">
        <w:t xml:space="preserve">taken so much for granted by many scholars that texts that profess a more positive attitude to the Temple are sometimes deemed to belong to an early period in the history of the sect simply for this reason (e.g. </w:t>
      </w:r>
      <w:proofErr w:type="spellStart"/>
      <w:r w:rsidR="007C6C55" w:rsidRPr="007C6C55">
        <w:t>Schiffman</w:t>
      </w:r>
      <w:proofErr w:type="spellEnd"/>
      <w:r w:rsidR="007C6C55" w:rsidRPr="007C6C55">
        <w:t xml:space="preserve"> 2000; </w:t>
      </w:r>
      <w:proofErr w:type="spellStart"/>
      <w:r w:rsidR="007C6C55" w:rsidRPr="007C6C55">
        <w:t>Hempel</w:t>
      </w:r>
      <w:proofErr w:type="spellEnd"/>
      <w:r w:rsidR="007C6C55" w:rsidRPr="007C6C55">
        <w:t xml:space="preserve"> 2010)</w:t>
      </w:r>
      <w:r w:rsidR="00327814">
        <w:t>”</w:t>
      </w:r>
      <w:r w:rsidR="00327814">
        <w:rPr>
          <w:rStyle w:val="FootnoteReference"/>
        </w:rPr>
        <w:footnoteReference w:id="4"/>
      </w:r>
      <w:r w:rsidR="00327814">
        <w:t>.</w:t>
      </w:r>
    </w:p>
    <w:p w14:paraId="14A7C0B1" w14:textId="0297FE93" w:rsidR="001D670B" w:rsidRDefault="001D670B"/>
    <w:p w14:paraId="3FEE77A7" w14:textId="37156E2F" w:rsidR="00B47242" w:rsidRDefault="00A763B1">
      <w:r>
        <w:t xml:space="preserve">Goodman thinks that the Dead Sea Scrolls should be </w:t>
      </w:r>
      <w:r w:rsidR="004C28B9">
        <w:t xml:space="preserve">interpreted against the model of the </w:t>
      </w:r>
      <w:r>
        <w:t>Second</w:t>
      </w:r>
      <w:r w:rsidR="004C28B9">
        <w:t xml:space="preserve"> Temple of Jerusalem</w:t>
      </w:r>
      <w:r w:rsidR="001C7C96">
        <w:rPr>
          <w:rStyle w:val="FootnoteReference"/>
        </w:rPr>
        <w:footnoteReference w:id="5"/>
      </w:r>
      <w:r w:rsidR="001C7C96">
        <w:t xml:space="preserve">, as opposed to </w:t>
      </w:r>
      <w:r w:rsidR="007B29BA">
        <w:t xml:space="preserve">the Christian or </w:t>
      </w:r>
      <w:r w:rsidR="0001540A">
        <w:t xml:space="preserve">rabbinic aspects of the texts. </w:t>
      </w:r>
      <w:r w:rsidR="0093202A">
        <w:t xml:space="preserve">He </w:t>
      </w:r>
      <w:r w:rsidR="00EA31B7">
        <w:t xml:space="preserve">argues that the Dead Sea Scrolls need to be </w:t>
      </w:r>
      <w:r w:rsidR="00623F7C">
        <w:t xml:space="preserve">understood without </w:t>
      </w:r>
      <w:r w:rsidR="00D904AD">
        <w:t xml:space="preserve">archaeological or </w:t>
      </w:r>
      <w:r w:rsidR="006724A5">
        <w:t>historical “preconceptions”</w:t>
      </w:r>
      <w:r w:rsidR="006724A5">
        <w:rPr>
          <w:rStyle w:val="FootnoteReference"/>
        </w:rPr>
        <w:footnoteReference w:id="6"/>
      </w:r>
      <w:r w:rsidR="006724A5">
        <w:t xml:space="preserve">. </w:t>
      </w:r>
      <w:r w:rsidR="0051130E">
        <w:t>The Scrolls themselves, of course, we</w:t>
      </w:r>
      <w:r w:rsidR="006B77E7">
        <w:t>re</w:t>
      </w:r>
      <w:r w:rsidR="0051130E">
        <w:t xml:space="preserve"> only discovered in 1947</w:t>
      </w:r>
      <w:r w:rsidR="0051130E">
        <w:rPr>
          <w:rStyle w:val="FootnoteReference"/>
        </w:rPr>
        <w:footnoteReference w:id="7"/>
      </w:r>
      <w:r w:rsidR="0051130E">
        <w:t xml:space="preserve">, </w:t>
      </w:r>
      <w:r w:rsidR="008B1A4D">
        <w:t xml:space="preserve">as stated in the article, </w:t>
      </w:r>
      <w:r w:rsidR="0051130E">
        <w:t>and as such</w:t>
      </w:r>
      <w:r w:rsidR="008B1A4D">
        <w:t xml:space="preserve"> </w:t>
      </w:r>
      <w:r w:rsidR="00A97DDF">
        <w:t xml:space="preserve">has had many scholarly sources </w:t>
      </w:r>
      <w:r w:rsidR="00377184">
        <w:t xml:space="preserve">based on it in the decades since. Such </w:t>
      </w:r>
      <w:r w:rsidR="0084500F">
        <w:t xml:space="preserve">scholars on the topic include </w:t>
      </w:r>
      <w:proofErr w:type="spellStart"/>
      <w:r w:rsidR="00EC6322" w:rsidRPr="00EC6322">
        <w:t>Schürer</w:t>
      </w:r>
      <w:proofErr w:type="spellEnd"/>
      <w:r w:rsidR="00EC6322">
        <w:t xml:space="preserve">, </w:t>
      </w:r>
      <w:proofErr w:type="spellStart"/>
      <w:r w:rsidR="00B31351" w:rsidRPr="00B31351">
        <w:t>Schiffman</w:t>
      </w:r>
      <w:proofErr w:type="spellEnd"/>
      <w:r w:rsidR="00B31351">
        <w:t xml:space="preserve">, </w:t>
      </w:r>
      <w:proofErr w:type="spellStart"/>
      <w:r w:rsidR="003D29A2" w:rsidRPr="003D29A2">
        <w:t>Hempel</w:t>
      </w:r>
      <w:proofErr w:type="spellEnd"/>
      <w:r w:rsidR="003D29A2">
        <w:t xml:space="preserve">, </w:t>
      </w:r>
      <w:r w:rsidR="0093711D" w:rsidRPr="0093711D">
        <w:t>Campbell</w:t>
      </w:r>
      <w:r w:rsidR="0093711D">
        <w:t xml:space="preserve">, </w:t>
      </w:r>
      <w:r w:rsidR="00276F35" w:rsidRPr="00276F35">
        <w:t>Beck</w:t>
      </w:r>
      <w:r w:rsidR="00276F35">
        <w:t xml:space="preserve">, </w:t>
      </w:r>
      <w:r w:rsidR="00D83585" w:rsidRPr="00D83585">
        <w:t>Claus</w:t>
      </w:r>
      <w:r w:rsidR="00D83585">
        <w:t xml:space="preserve">, </w:t>
      </w:r>
      <w:proofErr w:type="spellStart"/>
      <w:r w:rsidR="007F1989" w:rsidRPr="007F1989">
        <w:t>Golb</w:t>
      </w:r>
      <w:proofErr w:type="spellEnd"/>
      <w:r w:rsidR="007F1989">
        <w:t xml:space="preserve">, </w:t>
      </w:r>
      <w:r w:rsidR="00907892" w:rsidRPr="00907892">
        <w:t>Charlesworth</w:t>
      </w:r>
      <w:r w:rsidR="00907892">
        <w:t xml:space="preserve">, </w:t>
      </w:r>
      <w:proofErr w:type="spellStart"/>
      <w:r w:rsidR="004D2F1E" w:rsidRPr="004D2F1E">
        <w:t>Reif</w:t>
      </w:r>
      <w:proofErr w:type="spellEnd"/>
      <w:r w:rsidR="004D2F1E">
        <w:t xml:space="preserve">, </w:t>
      </w:r>
      <w:proofErr w:type="spellStart"/>
      <w:r w:rsidR="0050786C" w:rsidRPr="0050786C">
        <w:t>VanderKam</w:t>
      </w:r>
      <w:proofErr w:type="spellEnd"/>
      <w:r w:rsidR="0050786C">
        <w:t xml:space="preserve">, </w:t>
      </w:r>
      <w:r w:rsidR="00BB12EF">
        <w:t xml:space="preserve">Flint, </w:t>
      </w:r>
      <w:proofErr w:type="spellStart"/>
      <w:r w:rsidR="00153E27" w:rsidRPr="00153E27">
        <w:t>Eshel</w:t>
      </w:r>
      <w:proofErr w:type="spellEnd"/>
      <w:r w:rsidR="00153E27">
        <w:t xml:space="preserve">, </w:t>
      </w:r>
      <w:r w:rsidR="00073EB3">
        <w:t xml:space="preserve">J. </w:t>
      </w:r>
      <w:proofErr w:type="spellStart"/>
      <w:r w:rsidR="00073EB3" w:rsidRPr="00073EB3">
        <w:t>Baumgarten</w:t>
      </w:r>
      <w:proofErr w:type="spellEnd"/>
      <w:r w:rsidR="00073EB3">
        <w:t xml:space="preserve">, A. </w:t>
      </w:r>
      <w:proofErr w:type="spellStart"/>
      <w:r w:rsidR="00073EB3" w:rsidRPr="00073EB3">
        <w:t>Baumgarten</w:t>
      </w:r>
      <w:proofErr w:type="spellEnd"/>
      <w:r w:rsidR="00073EB3">
        <w:t xml:space="preserve">, </w:t>
      </w:r>
      <w:r w:rsidR="00831858">
        <w:t xml:space="preserve">Taylor, </w:t>
      </w:r>
      <w:r w:rsidR="0001758F" w:rsidRPr="0001758F">
        <w:t>Beard, North, Price</w:t>
      </w:r>
      <w:r w:rsidR="0001758F">
        <w:t xml:space="preserve">, </w:t>
      </w:r>
      <w:r w:rsidR="007167AB" w:rsidRPr="007167AB">
        <w:t>Frey</w:t>
      </w:r>
      <w:r w:rsidR="007167AB">
        <w:t xml:space="preserve">, </w:t>
      </w:r>
      <w:r w:rsidR="00794703" w:rsidRPr="00794703">
        <w:t>Cohen</w:t>
      </w:r>
      <w:r w:rsidR="00794703">
        <w:t xml:space="preserve">, </w:t>
      </w:r>
      <w:r w:rsidR="00447EC4" w:rsidRPr="00447EC4">
        <w:t>Stern</w:t>
      </w:r>
      <w:r w:rsidR="00447EC4">
        <w:t xml:space="preserve">, </w:t>
      </w:r>
      <w:proofErr w:type="spellStart"/>
      <w:r w:rsidR="0027758E" w:rsidRPr="0027758E">
        <w:t>Avigad</w:t>
      </w:r>
      <w:proofErr w:type="spellEnd"/>
      <w:r w:rsidR="0027758E">
        <w:t xml:space="preserve">, </w:t>
      </w:r>
      <w:proofErr w:type="spellStart"/>
      <w:r w:rsidR="00A22BB4" w:rsidRPr="00A22BB4">
        <w:t>Abegg</w:t>
      </w:r>
      <w:proofErr w:type="spellEnd"/>
      <w:r w:rsidR="00A22BB4">
        <w:t xml:space="preserve">, </w:t>
      </w:r>
      <w:r w:rsidR="0027761A">
        <w:t xml:space="preserve">Ulrich, </w:t>
      </w:r>
      <w:r w:rsidR="00455D57">
        <w:t xml:space="preserve">Tov, </w:t>
      </w:r>
      <w:r w:rsidR="004742DB">
        <w:t xml:space="preserve">Anderson, </w:t>
      </w:r>
      <w:r w:rsidR="005C7DE7">
        <w:t xml:space="preserve">Amos, </w:t>
      </w:r>
      <w:r w:rsidR="000B6DD9">
        <w:t xml:space="preserve">Isa, </w:t>
      </w:r>
      <w:proofErr w:type="spellStart"/>
      <w:r w:rsidR="005B0DF0">
        <w:t>Deut</w:t>
      </w:r>
      <w:proofErr w:type="spellEnd"/>
      <w:r w:rsidR="005B0DF0">
        <w:t xml:space="preserve">, </w:t>
      </w:r>
      <w:r w:rsidR="00A8346F">
        <w:t xml:space="preserve">Brooke, </w:t>
      </w:r>
      <w:proofErr w:type="spellStart"/>
      <w:r w:rsidR="005B487C">
        <w:t>Kapfer</w:t>
      </w:r>
      <w:proofErr w:type="spellEnd"/>
      <w:r w:rsidR="005B487C">
        <w:t xml:space="preserve">, </w:t>
      </w:r>
      <w:proofErr w:type="spellStart"/>
      <w:r w:rsidR="0091103E">
        <w:t>Magness</w:t>
      </w:r>
      <w:proofErr w:type="spellEnd"/>
      <w:r w:rsidR="00B47242">
        <w:t xml:space="preserve"> and </w:t>
      </w:r>
      <w:proofErr w:type="spellStart"/>
      <w:r w:rsidR="00B47242" w:rsidRPr="00B47242">
        <w:t>Petropoulou</w:t>
      </w:r>
      <w:proofErr w:type="spellEnd"/>
      <w:r w:rsidR="00B47242">
        <w:t>, all of whom were referenced by Goodman in this article.</w:t>
      </w:r>
    </w:p>
    <w:p w14:paraId="18C6B143" w14:textId="15630574" w:rsidR="003E3CD2" w:rsidRDefault="003E3CD2"/>
    <w:p w14:paraId="0689A155" w14:textId="2F18B6F0" w:rsidR="003E3CD2" w:rsidRDefault="00533D00">
      <w:r>
        <w:t xml:space="preserve">Goodman interestingly </w:t>
      </w:r>
      <w:r w:rsidR="00926E8B">
        <w:t xml:space="preserve">assesses the various primary sources on Judaism while excluding those </w:t>
      </w:r>
      <w:r w:rsidR="00C57ECA">
        <w:t xml:space="preserve">with Christian influences. Explaining that if you looked at each of the remaining sources </w:t>
      </w:r>
      <w:r w:rsidR="009F24CD">
        <w:t>individually with the hypothetical that they were the only source available</w:t>
      </w:r>
      <w:r w:rsidR="004F76B7">
        <w:t>, it would suggest that certain Jewish groups did not exist</w:t>
      </w:r>
      <w:r w:rsidR="00413775">
        <w:rPr>
          <w:rStyle w:val="FootnoteReference"/>
        </w:rPr>
        <w:footnoteReference w:id="8"/>
      </w:r>
      <w:r w:rsidR="00211D37">
        <w:t xml:space="preserve">. </w:t>
      </w:r>
      <w:r w:rsidR="00C50C96">
        <w:t>Also suggested is that</w:t>
      </w:r>
      <w:r w:rsidR="004E121E">
        <w:t xml:space="preserve">, without </w:t>
      </w:r>
      <w:r w:rsidR="00C54437">
        <w:t xml:space="preserve">further contextual knowledge, Jews in the period of the Second Temple of Jerusalem were </w:t>
      </w:r>
      <w:r w:rsidR="007855A8">
        <w:t xml:space="preserve">not divided </w:t>
      </w:r>
      <w:r w:rsidR="00FC7F2A">
        <w:t xml:space="preserve">by aspects such as differing interpretations of religious texts as well as </w:t>
      </w:r>
      <w:r w:rsidR="00E16A86">
        <w:t xml:space="preserve">certain religious practices. </w:t>
      </w:r>
    </w:p>
    <w:p w14:paraId="1B4780D6" w14:textId="0DCC969B" w:rsidR="00C50C96" w:rsidRDefault="00C50C96"/>
    <w:p w14:paraId="7CBA7DFD" w14:textId="0308AC8E" w:rsidR="00B35181" w:rsidRDefault="00261E9F">
      <w:r>
        <w:t xml:space="preserve">In the article, Goodman mentions a variety of ancient sources. </w:t>
      </w:r>
      <w:r w:rsidR="004122C4">
        <w:t>Josephus is of course a</w:t>
      </w:r>
      <w:r w:rsidR="00734121">
        <w:t xml:space="preserve"> prominent source mentioned, with his </w:t>
      </w:r>
      <w:r w:rsidR="00DC35F7">
        <w:t>work</w:t>
      </w:r>
      <w:r w:rsidR="00DD576F">
        <w:t>s</w:t>
      </w:r>
      <w:r w:rsidR="00DC35F7">
        <w:t xml:space="preserve"> The Wars of the Jews</w:t>
      </w:r>
      <w:r w:rsidR="00DD576F">
        <w:t xml:space="preserve"> and </w:t>
      </w:r>
      <w:r w:rsidR="00E33A56">
        <w:t xml:space="preserve">Against </w:t>
      </w:r>
      <w:proofErr w:type="spellStart"/>
      <w:r w:rsidR="00E33A56">
        <w:t>Apion</w:t>
      </w:r>
      <w:proofErr w:type="spellEnd"/>
      <w:r w:rsidR="00E33A56">
        <w:t xml:space="preserve">. </w:t>
      </w:r>
      <w:r w:rsidR="002F22CC">
        <w:t xml:space="preserve">Also included is </w:t>
      </w:r>
      <w:proofErr w:type="spellStart"/>
      <w:r w:rsidR="002F22CC">
        <w:t>Philo</w:t>
      </w:r>
      <w:proofErr w:type="spellEnd"/>
      <w:r w:rsidR="002F22CC">
        <w:t xml:space="preserve"> of Alexandria</w:t>
      </w:r>
      <w:r w:rsidR="00662416">
        <w:t>, Pliny</w:t>
      </w:r>
      <w:r w:rsidR="00474690">
        <w:t xml:space="preserve"> the Elder, </w:t>
      </w:r>
      <w:proofErr w:type="spellStart"/>
      <w:r w:rsidR="00F440B0">
        <w:t>Dio</w:t>
      </w:r>
      <w:proofErr w:type="spellEnd"/>
      <w:r w:rsidR="00F440B0">
        <w:t xml:space="preserve"> </w:t>
      </w:r>
      <w:proofErr w:type="spellStart"/>
      <w:r w:rsidR="00F440B0">
        <w:t>Chry</w:t>
      </w:r>
      <w:r w:rsidR="00BB7338">
        <w:t>sostom</w:t>
      </w:r>
      <w:proofErr w:type="spellEnd"/>
      <w:r w:rsidR="00BB7338">
        <w:t xml:space="preserve">, </w:t>
      </w:r>
      <w:r w:rsidR="005E6567">
        <w:t xml:space="preserve">Tacitus, </w:t>
      </w:r>
      <w:r w:rsidR="00D0477A">
        <w:t xml:space="preserve">Suetonius </w:t>
      </w:r>
      <w:r w:rsidR="000E27BF">
        <w:t>and Leviticus</w:t>
      </w:r>
      <w:r w:rsidR="00C43D73">
        <w:t xml:space="preserve">. </w:t>
      </w:r>
      <w:r w:rsidR="008F27A9">
        <w:t xml:space="preserve">While offering a wide </w:t>
      </w:r>
      <w:r w:rsidR="008F27A9">
        <w:lastRenderedPageBreak/>
        <w:t xml:space="preserve">verity of ancient sources, </w:t>
      </w:r>
      <w:r w:rsidR="001C7A68">
        <w:t>several</w:t>
      </w:r>
      <w:r w:rsidR="008F27A9">
        <w:t xml:space="preserve"> of them </w:t>
      </w:r>
      <w:r w:rsidR="00F641EA">
        <w:t xml:space="preserve">are </w:t>
      </w:r>
      <w:r w:rsidR="000A23DA">
        <w:t xml:space="preserve">dated </w:t>
      </w:r>
      <w:r w:rsidR="001C7A68">
        <w:t xml:space="preserve">either toward the end of the period covered under the Second Temple of Jerusalem </w:t>
      </w:r>
      <w:r w:rsidR="00B55DC8">
        <w:t>or after its destruction.</w:t>
      </w:r>
    </w:p>
    <w:p w14:paraId="70B30E33" w14:textId="77777777" w:rsidR="00B55DC8" w:rsidRDefault="00B55DC8"/>
    <w:p w14:paraId="2F2D1783" w14:textId="312D4D73" w:rsidR="0095286F" w:rsidRDefault="00C50C96">
      <w:r>
        <w:t xml:space="preserve">The article offers an intriguing thought experiment </w:t>
      </w:r>
      <w:r w:rsidR="00D33A9B">
        <w:t xml:space="preserve">on ancient Judaism. </w:t>
      </w:r>
      <w:r w:rsidR="00E16A86">
        <w:t xml:space="preserve">Taking </w:t>
      </w:r>
      <w:r w:rsidR="00963358">
        <w:t xml:space="preserve">a source and assessing it separate from </w:t>
      </w:r>
      <w:r w:rsidR="008D524D">
        <w:t>others</w:t>
      </w:r>
      <w:r w:rsidR="002E39BC">
        <w:t xml:space="preserve"> offers</w:t>
      </w:r>
      <w:r w:rsidR="008D524D">
        <w:t xml:space="preserve"> a wholly different perspective of </w:t>
      </w:r>
      <w:r w:rsidR="00FE061C">
        <w:t>said source</w:t>
      </w:r>
      <w:r w:rsidR="003F5D58">
        <w:t xml:space="preserve"> and thus the interpretation of ancient Judaism. </w:t>
      </w:r>
      <w:r w:rsidR="006F4832">
        <w:t xml:space="preserve">It seems to me that Goodman is saying the theory that </w:t>
      </w:r>
      <w:r w:rsidR="00BD05FB">
        <w:t>different groups of Jews boycotted the Second Temple of Jerusalem, as well as possible changes to sacrifices</w:t>
      </w:r>
      <w:r w:rsidR="001A263D">
        <w:t>, ware unfounded</w:t>
      </w:r>
      <w:r w:rsidR="008353DD">
        <w:t>.</w:t>
      </w:r>
    </w:p>
    <w:p w14:paraId="327712AA" w14:textId="1D13C493" w:rsidR="00FE061C" w:rsidRDefault="00FE061C"/>
    <w:p w14:paraId="6B250DC6" w14:textId="0C2364C3" w:rsidR="00801D17" w:rsidRDefault="00FE061C">
      <w:r>
        <w:t xml:space="preserve">Goodman </w:t>
      </w:r>
      <w:r w:rsidR="003A7D77">
        <w:t xml:space="preserve">essentially ignores sources that </w:t>
      </w:r>
      <w:r w:rsidR="00801D17">
        <w:t xml:space="preserve">come after the Dead Sea Scrolls and the destruction of the Second Temple of Jerusalem </w:t>
      </w:r>
      <w:r w:rsidR="005B36DD">
        <w:t>as irrelevant in his interpretation</w:t>
      </w:r>
      <w:r w:rsidR="00FC5759">
        <w:t xml:space="preserve">. This seems to be because these later sources would </w:t>
      </w:r>
      <w:r w:rsidR="004F3E9C">
        <w:t>alter the view of ancient Judaism as it was at the point of the Dead Sea Scrolls and the Second Temple of Jerusalem</w:t>
      </w:r>
      <w:r w:rsidR="001D0EB6">
        <w:t xml:space="preserve"> and would therefore misrepresent the period.</w:t>
      </w:r>
    </w:p>
    <w:p w14:paraId="316D3F50" w14:textId="3567042B" w:rsidR="008A044C" w:rsidRDefault="008A044C"/>
    <w:p w14:paraId="5A8CF3F0" w14:textId="465A5EEB" w:rsidR="00ED6837" w:rsidRDefault="006E6B79">
      <w:r>
        <w:t xml:space="preserve">The argument that Goodman offers in this article is </w:t>
      </w:r>
      <w:r w:rsidR="00913763">
        <w:t xml:space="preserve">that </w:t>
      </w:r>
      <w:r w:rsidR="00A23F7A">
        <w:t xml:space="preserve">it is greatly misleading to read the Dead Sea Scrolls </w:t>
      </w:r>
      <w:r w:rsidR="000B3245">
        <w:t>through the “lens”</w:t>
      </w:r>
      <w:r w:rsidR="000B3245">
        <w:rPr>
          <w:rStyle w:val="FootnoteReference"/>
        </w:rPr>
        <w:footnoteReference w:id="9"/>
      </w:r>
      <w:r w:rsidR="000B3245">
        <w:t xml:space="preserve"> of </w:t>
      </w:r>
      <w:r w:rsidR="004658D2">
        <w:t>a Christian or a ra</w:t>
      </w:r>
      <w:r w:rsidR="00D03B54">
        <w:t>bbinic.</w:t>
      </w:r>
      <w:r w:rsidR="00163C95">
        <w:t xml:space="preserve"> </w:t>
      </w:r>
      <w:r w:rsidR="00FB220D">
        <w:t>This argument is extremely convincing</w:t>
      </w:r>
      <w:r w:rsidR="005F6737">
        <w:t>, a</w:t>
      </w:r>
      <w:r w:rsidR="00AB57B0">
        <w:t xml:space="preserve">s in a modern </w:t>
      </w:r>
      <w:r w:rsidR="008263D6">
        <w:t>terms we would not</w:t>
      </w:r>
      <w:r w:rsidR="00347719">
        <w:t xml:space="preserve"> expect to </w:t>
      </w:r>
      <w:r w:rsidR="00BD50F7">
        <w:t xml:space="preserve">judge things of </w:t>
      </w:r>
      <w:r w:rsidR="0054633E">
        <w:t xml:space="preserve">the somewhat recent past </w:t>
      </w:r>
      <w:r w:rsidR="00152996">
        <w:t xml:space="preserve">by the same criteria we would today, so why would you </w:t>
      </w:r>
      <w:r w:rsidR="007B2811">
        <w:t xml:space="preserve">judge the contents of of the Scrolls by the </w:t>
      </w:r>
      <w:r w:rsidR="00C65B9A">
        <w:t xml:space="preserve">beliefs of </w:t>
      </w:r>
      <w:r w:rsidR="00ED6837">
        <w:t xml:space="preserve">those that were not contemporary to it. </w:t>
      </w:r>
      <w:r w:rsidR="00C10677">
        <w:t xml:space="preserve">Personally, I find that the conclusion itself answers the objective set out in the abstract of the article, however </w:t>
      </w:r>
      <w:r w:rsidR="004A3371">
        <w:t xml:space="preserve">much of the body of the article I found to be somewhat </w:t>
      </w:r>
      <w:r w:rsidR="0027070E">
        <w:t xml:space="preserve">convoluted in its explanations of the individual arguments. </w:t>
      </w:r>
    </w:p>
    <w:p w14:paraId="5DFDF21B" w14:textId="5B6BED4D" w:rsidR="00932F0B" w:rsidRDefault="00932F0B">
      <w:r>
        <w:br w:type="page"/>
      </w:r>
    </w:p>
    <w:p w14:paraId="723DEDC4" w14:textId="77777777" w:rsidR="00932F0B" w:rsidRDefault="00932F0B">
      <w:r>
        <w:lastRenderedPageBreak/>
        <w:t>Bibliography:</w:t>
      </w:r>
    </w:p>
    <w:p w14:paraId="4CD770FD" w14:textId="77777777" w:rsidR="00932F0B" w:rsidRDefault="00932F0B"/>
    <w:p w14:paraId="20C82431" w14:textId="283CF0B3" w:rsidR="00C875B9" w:rsidRDefault="00C875B9"/>
    <w:p w14:paraId="44EAC111" w14:textId="5D747ADC" w:rsidR="00062C80" w:rsidRDefault="00062C80">
      <w:r w:rsidRPr="00365637">
        <w:t>Evans, Craig.</w:t>
      </w:r>
      <w:r>
        <w:t xml:space="preserve"> (2010).</w:t>
      </w:r>
      <w:r w:rsidRPr="00365637">
        <w:t xml:space="preserve"> Guide to the Dead Sea Scrolls.</w:t>
      </w:r>
      <w:r>
        <w:t xml:space="preserve"> </w:t>
      </w:r>
      <w:r w:rsidRPr="001A6242">
        <w:t>Nashville: B&amp;H Publishing Group</w:t>
      </w:r>
      <w:r>
        <w:t>.</w:t>
      </w:r>
    </w:p>
    <w:p w14:paraId="26E267BF" w14:textId="77777777" w:rsidR="00062C80" w:rsidRDefault="00062C80"/>
    <w:p w14:paraId="2312C259" w14:textId="4C4AFF81" w:rsidR="00C875B9" w:rsidRDefault="00C875B9">
      <w:r w:rsidRPr="00C875B9">
        <w:t>Goodman, M. (2010). Constructing Ancient Judaism from the Scrolls. The Oxford Handbook of the Dead Sea Scrolls, The Oxford Handbook of the Dead Sea Scrolls.</w:t>
      </w:r>
    </w:p>
    <w:p w14:paraId="7438D37F" w14:textId="4316B4F5" w:rsidR="007B6ECF" w:rsidRDefault="007B6ECF"/>
    <w:p w14:paraId="592904BA" w14:textId="75EC0462" w:rsidR="007B6ECF" w:rsidRDefault="007C2979">
      <w:r>
        <w:t>Sanders, E. (2016). Common Judaism and the Temple</w:t>
      </w:r>
      <w:r w:rsidR="00AB6F66">
        <w:t>. In Judaism: Practice and Belief, 63 BCE-66 CE (</w:t>
      </w:r>
      <w:r w:rsidR="00E2777C">
        <w:t xml:space="preserve">pp.69-128). Minneapolis: Augsburg Fortress. </w:t>
      </w:r>
    </w:p>
    <w:p w14:paraId="7A711484" w14:textId="5F2D01F7" w:rsidR="00835BC9" w:rsidRDefault="00835BC9"/>
    <w:p w14:paraId="5CB13DDD" w14:textId="2275143D" w:rsidR="00835BC9" w:rsidRDefault="00835BC9">
      <w:proofErr w:type="spellStart"/>
      <w:r>
        <w:t>Schiffman</w:t>
      </w:r>
      <w:proofErr w:type="spellEnd"/>
      <w:r>
        <w:t xml:space="preserve">, L. (1991). </w:t>
      </w:r>
      <w:r w:rsidR="007B5396">
        <w:t>Qumran and Jerusalem: Studies in the Dead Sea Scrolls</w:t>
      </w:r>
      <w:r w:rsidR="00ED1F15">
        <w:t xml:space="preserve"> and the History of Judaism</w:t>
      </w:r>
      <w:r w:rsidR="00CC74EF">
        <w:t xml:space="preserve">. </w:t>
      </w:r>
    </w:p>
    <w:p w14:paraId="00963318" w14:textId="1D32C569" w:rsidR="00365637" w:rsidRDefault="00365637"/>
    <w:sectPr w:rsidR="003656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D97D121" w14:textId="77777777" w:rsidR="008A28C4" w:rsidRDefault="008A28C4" w:rsidP="00F42E2A">
      <w:r>
        <w:separator/>
      </w:r>
    </w:p>
  </w:endnote>
  <w:endnote w:type="continuationSeparator" w:id="0">
    <w:p w14:paraId="17A6D346" w14:textId="77777777" w:rsidR="008A28C4" w:rsidRDefault="008A28C4" w:rsidP="00F42E2A">
      <w:r>
        <w:continuationSeparator/>
      </w:r>
    </w:p>
  </w:endnote>
  <w:endnote w:type="continuationNotice" w:id="1">
    <w:p w14:paraId="0DBAE2BB" w14:textId="77777777" w:rsidR="008A28C4" w:rsidRDefault="008A28C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3E4A35" w14:textId="77777777" w:rsidR="008A28C4" w:rsidRDefault="008A28C4" w:rsidP="00F42E2A">
      <w:r>
        <w:separator/>
      </w:r>
    </w:p>
  </w:footnote>
  <w:footnote w:type="continuationSeparator" w:id="0">
    <w:p w14:paraId="4EC3D782" w14:textId="77777777" w:rsidR="008A28C4" w:rsidRDefault="008A28C4" w:rsidP="00F42E2A">
      <w:r>
        <w:continuationSeparator/>
      </w:r>
    </w:p>
  </w:footnote>
  <w:footnote w:type="continuationNotice" w:id="1">
    <w:p w14:paraId="1A88FB3A" w14:textId="77777777" w:rsidR="008A28C4" w:rsidRDefault="008A28C4"/>
  </w:footnote>
  <w:footnote w:id="2">
    <w:p w14:paraId="6DA45A7A" w14:textId="2366F907" w:rsidR="00F42E2A" w:rsidRPr="00F67EA3" w:rsidRDefault="00F42E2A" w:rsidP="00F67EA3">
      <w:pPr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3E5AEE" w:rsidRPr="003E5AEE">
        <w:rPr>
          <w:sz w:val="20"/>
          <w:szCs w:val="20"/>
        </w:rPr>
        <w:t>Goodman, M. (2010). Constructing Ancient Judaism from the Scrolls. The Oxford Handbook of the Dead Sea Scrolls, The Oxford Handbook of the Dead Sea Scrolls.</w:t>
      </w:r>
      <w:r w:rsidR="003E5AEE">
        <w:rPr>
          <w:sz w:val="20"/>
          <w:szCs w:val="20"/>
        </w:rPr>
        <w:t xml:space="preserve"> p.2</w:t>
      </w:r>
    </w:p>
  </w:footnote>
  <w:footnote w:id="3">
    <w:p w14:paraId="14EBB057" w14:textId="1881797D" w:rsidR="00F65EA8" w:rsidRPr="00F67EA3" w:rsidRDefault="00F65EA8" w:rsidP="00F67EA3">
      <w:pPr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F67EA3" w:rsidRPr="003E5AEE">
        <w:rPr>
          <w:sz w:val="20"/>
          <w:szCs w:val="20"/>
        </w:rPr>
        <w:t>Goodman, M. (2010). Constructing Ancient Judaism from the Scrolls. The Oxford Handbook of the Dead Sea Scrolls, The Oxford Handbook of the Dead Sea Scrolls.</w:t>
      </w:r>
      <w:r w:rsidR="00F67EA3">
        <w:rPr>
          <w:sz w:val="20"/>
          <w:szCs w:val="20"/>
        </w:rPr>
        <w:t xml:space="preserve"> p.2</w:t>
      </w:r>
    </w:p>
  </w:footnote>
  <w:footnote w:id="4">
    <w:p w14:paraId="2CEBA101" w14:textId="083F8A05" w:rsidR="00327814" w:rsidRPr="00327814" w:rsidRDefault="00327814" w:rsidP="00327814">
      <w:pPr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3E5AEE">
        <w:rPr>
          <w:sz w:val="20"/>
          <w:szCs w:val="20"/>
        </w:rPr>
        <w:t>Goodman, M. (2010). Constructing Ancient Judaism from the Scrolls. The Oxford Handbook of the Dead Sea Scrolls, The Oxford Handbook of the Dead Sea Scrolls.</w:t>
      </w:r>
      <w:r>
        <w:rPr>
          <w:sz w:val="20"/>
          <w:szCs w:val="20"/>
        </w:rPr>
        <w:t xml:space="preserve"> p.2</w:t>
      </w:r>
    </w:p>
  </w:footnote>
  <w:footnote w:id="5">
    <w:p w14:paraId="2AED7D2B" w14:textId="2B74B540" w:rsidR="001C7C96" w:rsidRPr="004D5CF5" w:rsidRDefault="001C7C96" w:rsidP="004D5CF5">
      <w:pPr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4D5CF5" w:rsidRPr="003E5AEE">
        <w:rPr>
          <w:sz w:val="20"/>
          <w:szCs w:val="20"/>
        </w:rPr>
        <w:t>Goodman, M. (2010). Constructing Ancient Judaism from the Scrolls. The Oxford Handbook of the Dead Sea Scrolls, The Oxford Handbook of the Dead Sea Scrolls.</w:t>
      </w:r>
      <w:r w:rsidR="004D5CF5">
        <w:rPr>
          <w:sz w:val="20"/>
          <w:szCs w:val="20"/>
        </w:rPr>
        <w:t xml:space="preserve"> p.3</w:t>
      </w:r>
    </w:p>
  </w:footnote>
  <w:footnote w:id="6">
    <w:p w14:paraId="4FDDDC8E" w14:textId="1E126B55" w:rsidR="006724A5" w:rsidRPr="006724A5" w:rsidRDefault="006724A5" w:rsidP="006724A5">
      <w:pPr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3E5AEE">
        <w:rPr>
          <w:sz w:val="20"/>
          <w:szCs w:val="20"/>
        </w:rPr>
        <w:t>Goodman, M. (2010). Constructing Ancient Judaism from the Scrolls. The Oxford Handbook of the Dead Sea Scrolls, The Oxford Handbook of the Dead Sea Scrolls.</w:t>
      </w:r>
      <w:r>
        <w:rPr>
          <w:sz w:val="20"/>
          <w:szCs w:val="20"/>
        </w:rPr>
        <w:t xml:space="preserve"> p.3</w:t>
      </w:r>
    </w:p>
  </w:footnote>
  <w:footnote w:id="7">
    <w:p w14:paraId="0781E86E" w14:textId="1A113D9B" w:rsidR="0051130E" w:rsidRDefault="005113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21E62" w:rsidRPr="00B21E62">
        <w:t xml:space="preserve">Evans, C. </w:t>
      </w:r>
      <w:r w:rsidR="00365637">
        <w:t xml:space="preserve">(2010). </w:t>
      </w:r>
      <w:r w:rsidR="00B21E62" w:rsidRPr="00B21E62">
        <w:t>Guide to the Dead Sea Scrolls.</w:t>
      </w:r>
    </w:p>
  </w:footnote>
  <w:footnote w:id="8">
    <w:p w14:paraId="53CCF288" w14:textId="4BE604E5" w:rsidR="00413775" w:rsidRPr="00413775" w:rsidRDefault="00413775" w:rsidP="00413775">
      <w:pPr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3E5AEE">
        <w:rPr>
          <w:sz w:val="20"/>
          <w:szCs w:val="20"/>
        </w:rPr>
        <w:t>Goodman, M. (2010). Constructing Ancient Judaism from the Scrolls. The Oxford Handbook of the Dead Sea Scrolls, The Oxford Handbook of the Dead Sea Scrolls.</w:t>
      </w:r>
      <w:r>
        <w:rPr>
          <w:sz w:val="20"/>
          <w:szCs w:val="20"/>
        </w:rPr>
        <w:t xml:space="preserve"> p.</w:t>
      </w:r>
      <w:r w:rsidR="0066186A">
        <w:rPr>
          <w:sz w:val="20"/>
          <w:szCs w:val="20"/>
        </w:rPr>
        <w:t>5</w:t>
      </w:r>
    </w:p>
  </w:footnote>
  <w:footnote w:id="9">
    <w:p w14:paraId="5E7674CD" w14:textId="5F487286" w:rsidR="000B3245" w:rsidRPr="00D03B54" w:rsidRDefault="000B3245" w:rsidP="00D03B54">
      <w:pPr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D03B54" w:rsidRPr="003E5AEE">
        <w:rPr>
          <w:sz w:val="20"/>
          <w:szCs w:val="20"/>
        </w:rPr>
        <w:t>Goodman, M. (2010). Constructing Ancient Judaism from the Scrolls. The Oxford Handbook of the Dead Sea Scrolls, The Oxford Handbook of the Dead Sea Scrolls.</w:t>
      </w:r>
      <w:r w:rsidR="00D03B54">
        <w:rPr>
          <w:sz w:val="20"/>
          <w:szCs w:val="20"/>
        </w:rPr>
        <w:t xml:space="preserve"> p.</w:t>
      </w:r>
      <w:r w:rsidR="00F3666B">
        <w:rPr>
          <w:sz w:val="20"/>
          <w:szCs w:val="20"/>
        </w:rPr>
        <w:t>8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4DF2"/>
    <w:rsid w:val="00000469"/>
    <w:rsid w:val="0001540A"/>
    <w:rsid w:val="0001758F"/>
    <w:rsid w:val="00042115"/>
    <w:rsid w:val="00057D91"/>
    <w:rsid w:val="00062C80"/>
    <w:rsid w:val="00073EB3"/>
    <w:rsid w:val="0007420A"/>
    <w:rsid w:val="000A23DA"/>
    <w:rsid w:val="000B3245"/>
    <w:rsid w:val="000B6DD9"/>
    <w:rsid w:val="000E27BF"/>
    <w:rsid w:val="00117480"/>
    <w:rsid w:val="00152996"/>
    <w:rsid w:val="00153E27"/>
    <w:rsid w:val="00163C95"/>
    <w:rsid w:val="001722B0"/>
    <w:rsid w:val="00183E85"/>
    <w:rsid w:val="001A263D"/>
    <w:rsid w:val="001A6242"/>
    <w:rsid w:val="001C7A68"/>
    <w:rsid w:val="001C7C96"/>
    <w:rsid w:val="001D0EB6"/>
    <w:rsid w:val="001D670B"/>
    <w:rsid w:val="00211D37"/>
    <w:rsid w:val="002356B4"/>
    <w:rsid w:val="00261E9F"/>
    <w:rsid w:val="0027070E"/>
    <w:rsid w:val="00276F35"/>
    <w:rsid w:val="0027758E"/>
    <w:rsid w:val="0027761A"/>
    <w:rsid w:val="00294C31"/>
    <w:rsid w:val="002A322C"/>
    <w:rsid w:val="002B2FF2"/>
    <w:rsid w:val="002C14C5"/>
    <w:rsid w:val="002E39BC"/>
    <w:rsid w:val="002F22CC"/>
    <w:rsid w:val="00327814"/>
    <w:rsid w:val="00336D20"/>
    <w:rsid w:val="00347719"/>
    <w:rsid w:val="00365637"/>
    <w:rsid w:val="00377184"/>
    <w:rsid w:val="003A7D77"/>
    <w:rsid w:val="003D29A2"/>
    <w:rsid w:val="003E3CD2"/>
    <w:rsid w:val="003E5AEE"/>
    <w:rsid w:val="003F5D58"/>
    <w:rsid w:val="00404498"/>
    <w:rsid w:val="004122C4"/>
    <w:rsid w:val="00413775"/>
    <w:rsid w:val="00447EC4"/>
    <w:rsid w:val="00455D57"/>
    <w:rsid w:val="004658D2"/>
    <w:rsid w:val="004742DB"/>
    <w:rsid w:val="00474690"/>
    <w:rsid w:val="00482514"/>
    <w:rsid w:val="004A3371"/>
    <w:rsid w:val="004C28B9"/>
    <w:rsid w:val="004D2F1E"/>
    <w:rsid w:val="004D5CF5"/>
    <w:rsid w:val="004E121E"/>
    <w:rsid w:val="004F3E9C"/>
    <w:rsid w:val="004F76B7"/>
    <w:rsid w:val="00500E90"/>
    <w:rsid w:val="005063BB"/>
    <w:rsid w:val="0050786C"/>
    <w:rsid w:val="0051130E"/>
    <w:rsid w:val="00533D00"/>
    <w:rsid w:val="0054633E"/>
    <w:rsid w:val="00592DBD"/>
    <w:rsid w:val="005B0DF0"/>
    <w:rsid w:val="005B36DD"/>
    <w:rsid w:val="005B487C"/>
    <w:rsid w:val="005C7DE7"/>
    <w:rsid w:val="005E6567"/>
    <w:rsid w:val="005F6737"/>
    <w:rsid w:val="00623317"/>
    <w:rsid w:val="00623F7C"/>
    <w:rsid w:val="00650CDB"/>
    <w:rsid w:val="0066186A"/>
    <w:rsid w:val="00662416"/>
    <w:rsid w:val="006724A5"/>
    <w:rsid w:val="0068132B"/>
    <w:rsid w:val="006B4DCE"/>
    <w:rsid w:val="006B77E7"/>
    <w:rsid w:val="006E6B79"/>
    <w:rsid w:val="006F4832"/>
    <w:rsid w:val="00704AAC"/>
    <w:rsid w:val="007167AB"/>
    <w:rsid w:val="00734121"/>
    <w:rsid w:val="007407AD"/>
    <w:rsid w:val="00772097"/>
    <w:rsid w:val="007752EC"/>
    <w:rsid w:val="007855A8"/>
    <w:rsid w:val="00794703"/>
    <w:rsid w:val="007B2811"/>
    <w:rsid w:val="007B29BA"/>
    <w:rsid w:val="007B5396"/>
    <w:rsid w:val="007B6ECF"/>
    <w:rsid w:val="007C2979"/>
    <w:rsid w:val="007C6C55"/>
    <w:rsid w:val="007F03E3"/>
    <w:rsid w:val="007F1989"/>
    <w:rsid w:val="00801D17"/>
    <w:rsid w:val="00814DF2"/>
    <w:rsid w:val="008263D6"/>
    <w:rsid w:val="00831858"/>
    <w:rsid w:val="008346C4"/>
    <w:rsid w:val="008353DD"/>
    <w:rsid w:val="00835BC9"/>
    <w:rsid w:val="0084500F"/>
    <w:rsid w:val="00860F27"/>
    <w:rsid w:val="008A044C"/>
    <w:rsid w:val="008A28C4"/>
    <w:rsid w:val="008B1A4D"/>
    <w:rsid w:val="008B70CE"/>
    <w:rsid w:val="008D0458"/>
    <w:rsid w:val="008D524D"/>
    <w:rsid w:val="008F27A9"/>
    <w:rsid w:val="00907892"/>
    <w:rsid w:val="0091103E"/>
    <w:rsid w:val="00913763"/>
    <w:rsid w:val="00926E8B"/>
    <w:rsid w:val="0093202A"/>
    <w:rsid w:val="009328C4"/>
    <w:rsid w:val="00932F0B"/>
    <w:rsid w:val="0093711D"/>
    <w:rsid w:val="009417FE"/>
    <w:rsid w:val="0095286F"/>
    <w:rsid w:val="00963358"/>
    <w:rsid w:val="009C62F5"/>
    <w:rsid w:val="009E14F0"/>
    <w:rsid w:val="009E38FE"/>
    <w:rsid w:val="009F24CD"/>
    <w:rsid w:val="009F6FAB"/>
    <w:rsid w:val="00A12F41"/>
    <w:rsid w:val="00A22BB4"/>
    <w:rsid w:val="00A23F7A"/>
    <w:rsid w:val="00A763B1"/>
    <w:rsid w:val="00A8272F"/>
    <w:rsid w:val="00A8346F"/>
    <w:rsid w:val="00A97DDF"/>
    <w:rsid w:val="00AB57B0"/>
    <w:rsid w:val="00AB6F66"/>
    <w:rsid w:val="00AC02EF"/>
    <w:rsid w:val="00AD2DCF"/>
    <w:rsid w:val="00AD4749"/>
    <w:rsid w:val="00AF1DA0"/>
    <w:rsid w:val="00B0444D"/>
    <w:rsid w:val="00B21E62"/>
    <w:rsid w:val="00B31351"/>
    <w:rsid w:val="00B35181"/>
    <w:rsid w:val="00B47242"/>
    <w:rsid w:val="00B55DC8"/>
    <w:rsid w:val="00BB12EF"/>
    <w:rsid w:val="00BB7338"/>
    <w:rsid w:val="00BD05FB"/>
    <w:rsid w:val="00BD50F7"/>
    <w:rsid w:val="00BD757B"/>
    <w:rsid w:val="00BD75B2"/>
    <w:rsid w:val="00C10677"/>
    <w:rsid w:val="00C420D0"/>
    <w:rsid w:val="00C43D73"/>
    <w:rsid w:val="00C473E1"/>
    <w:rsid w:val="00C50C96"/>
    <w:rsid w:val="00C54437"/>
    <w:rsid w:val="00C57ECA"/>
    <w:rsid w:val="00C65B9A"/>
    <w:rsid w:val="00C875B9"/>
    <w:rsid w:val="00CC74EF"/>
    <w:rsid w:val="00D03B54"/>
    <w:rsid w:val="00D0477A"/>
    <w:rsid w:val="00D33A9B"/>
    <w:rsid w:val="00D51002"/>
    <w:rsid w:val="00D61FF5"/>
    <w:rsid w:val="00D653D0"/>
    <w:rsid w:val="00D710FA"/>
    <w:rsid w:val="00D83585"/>
    <w:rsid w:val="00D904AD"/>
    <w:rsid w:val="00DB7AD2"/>
    <w:rsid w:val="00DC35F7"/>
    <w:rsid w:val="00DD26C5"/>
    <w:rsid w:val="00DD576F"/>
    <w:rsid w:val="00DD66D7"/>
    <w:rsid w:val="00DD6B26"/>
    <w:rsid w:val="00E16A86"/>
    <w:rsid w:val="00E2777C"/>
    <w:rsid w:val="00E33A56"/>
    <w:rsid w:val="00E943D5"/>
    <w:rsid w:val="00E97CAE"/>
    <w:rsid w:val="00EA31B7"/>
    <w:rsid w:val="00EC6322"/>
    <w:rsid w:val="00ED1F15"/>
    <w:rsid w:val="00ED6837"/>
    <w:rsid w:val="00F3666B"/>
    <w:rsid w:val="00F42E2A"/>
    <w:rsid w:val="00F440B0"/>
    <w:rsid w:val="00F5584E"/>
    <w:rsid w:val="00F641EA"/>
    <w:rsid w:val="00F65EA8"/>
    <w:rsid w:val="00F67EA3"/>
    <w:rsid w:val="00F97514"/>
    <w:rsid w:val="00FA0A1B"/>
    <w:rsid w:val="00FB220D"/>
    <w:rsid w:val="00FC5759"/>
    <w:rsid w:val="00FC7F2A"/>
    <w:rsid w:val="00FE061C"/>
    <w:rsid w:val="00FE1E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D61854"/>
  <w15:chartTrackingRefBased/>
  <w15:docId w15:val="{60DBA8B6-6EF0-8443-A625-F073A3458D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F42E2A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42E2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42E2A"/>
    <w:rPr>
      <w:vertAlign w:val="superscript"/>
    </w:rPr>
  </w:style>
  <w:style w:type="paragraph" w:styleId="Header">
    <w:name w:val="header"/>
    <w:basedOn w:val="Normal"/>
    <w:link w:val="HeaderChar"/>
    <w:uiPriority w:val="99"/>
    <w:semiHidden/>
    <w:unhideWhenUsed/>
    <w:rsid w:val="00E97CA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97CAE"/>
  </w:style>
  <w:style w:type="paragraph" w:styleId="Footer">
    <w:name w:val="footer"/>
    <w:basedOn w:val="Normal"/>
    <w:link w:val="FooterChar"/>
    <w:uiPriority w:val="99"/>
    <w:semiHidden/>
    <w:unhideWhenUsed/>
    <w:rsid w:val="00E97CA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97C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808</Words>
  <Characters>4137</Characters>
  <Application>Microsoft Office Word</Application>
  <DocSecurity>0</DocSecurity>
  <Lines>78</Lines>
  <Paragraphs>23</Paragraphs>
  <ScaleCrop>false</ScaleCrop>
  <Company/>
  <LinksUpToDate>false</LinksUpToDate>
  <CharactersWithSpaces>4922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Smith (1801719)</dc:creator>
  <cp:keywords/>
  <dc:description/>
  <cp:lastModifiedBy>Rebecca Smith (1801719)</cp:lastModifiedBy>
  <cp:revision>2</cp:revision>
  <dcterms:created xsi:type="dcterms:W3CDTF">2020-06-05T22:48:00Z</dcterms:created>
  <dcterms:modified xsi:type="dcterms:W3CDTF">2020-06-05T22:48:00Z</dcterms:modified>
</cp:coreProperties>
</file>