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685904">
        <w:tc>
          <w:tcPr>
            <w:tcW w:w="10910" w:type="dxa"/>
            <w:shd w:val="clear" w:color="auto" w:fill="auto"/>
          </w:tcPr>
          <w:p w14:paraId="02F8EE88" w14:textId="4D37B45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F4483">
              <w:rPr>
                <w:rFonts w:ascii="Times New Roman" w:hAnsi="Times New Roman" w:cs="Times New Roman"/>
                <w:b/>
                <w:color w:val="auto"/>
                <w:sz w:val="48"/>
              </w:rPr>
              <w:t>Catrin Haf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091161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F4483">
              <w:t xml:space="preserve"> </w:t>
            </w:r>
            <w:r w:rsidR="007F4483" w:rsidRPr="007F4483">
              <w:rPr>
                <w:rFonts w:ascii="Times New Roman" w:hAnsi="Times New Roman" w:cs="Times New Roman"/>
                <w:b/>
                <w:color w:val="auto"/>
                <w:sz w:val="48"/>
              </w:rPr>
              <w:t>2330035@student.uwtsd.ac.uk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9CD23F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F4483">
              <w:t xml:space="preserve"> </w:t>
            </w:r>
            <w:r w:rsidR="007F4483" w:rsidRPr="007F4483">
              <w:rPr>
                <w:rFonts w:ascii="Times New Roman" w:hAnsi="Times New Roman" w:cs="Times New Roman"/>
                <w:b/>
                <w:color w:val="auto"/>
                <w:sz w:val="48"/>
              </w:rPr>
              <w:t>2330035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 xml:space="preserve">national, </w:t>
            </w:r>
            <w:proofErr w:type="gramStart"/>
            <w:r w:rsidR="005A545C" w:rsidRPr="006108C9">
              <w:rPr>
                <w:sz w:val="24"/>
                <w:szCs w:val="24"/>
              </w:rPr>
              <w:t>local</w:t>
            </w:r>
            <w:proofErr w:type="gramEnd"/>
            <w:r w:rsidR="005A545C" w:rsidRPr="006108C9">
              <w:rPr>
                <w:sz w:val="24"/>
                <w:szCs w:val="24"/>
              </w:rPr>
              <w:t xml:space="preserve">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161C6C66" w14:textId="77777777" w:rsidR="00E652D7" w:rsidRDefault="00E652D7" w:rsidP="00E652D7">
            <w:pPr>
              <w:jc w:val="both"/>
              <w:rPr>
                <w:sz w:val="24"/>
                <w:szCs w:val="24"/>
              </w:rPr>
            </w:pPr>
            <w:r w:rsidRPr="00E652D7">
              <w:rPr>
                <w:sz w:val="24"/>
                <w:szCs w:val="24"/>
              </w:rPr>
              <w:t>The Social Services and Well-being (Wales) Act (2014) (SSWBA, 2014) is in force to improve the well-being of adults and children as a legal framework for those requiring care and support. The act came into force on the 6th of April 2016 setting regulations, code of practice, and statutory framework for the delivery of Social Care in Wales (Welsh Government, 2024). Initially the Care Act (2014) was in place in England and Wales and people at risk were considered as ‘Vulnerable Adults’.</w:t>
            </w:r>
          </w:p>
          <w:p w14:paraId="604EBDE5" w14:textId="77777777" w:rsidR="00E652D7" w:rsidRPr="00E652D7" w:rsidRDefault="00E652D7" w:rsidP="00E652D7">
            <w:pPr>
              <w:jc w:val="both"/>
              <w:rPr>
                <w:sz w:val="24"/>
                <w:szCs w:val="24"/>
              </w:rPr>
            </w:pPr>
          </w:p>
          <w:p w14:paraId="5B774F9B" w14:textId="77777777" w:rsidR="00E652D7" w:rsidRDefault="00E652D7" w:rsidP="00E652D7">
            <w:pPr>
              <w:jc w:val="both"/>
              <w:rPr>
                <w:sz w:val="24"/>
                <w:szCs w:val="24"/>
              </w:rPr>
            </w:pPr>
            <w:r w:rsidRPr="00E652D7">
              <w:rPr>
                <w:sz w:val="24"/>
                <w:szCs w:val="24"/>
              </w:rPr>
              <w:t>An ‘adult at risk’ is defined under section 126 of the (SSWBA, 2014) as one who is at risk of experiencing abuse or neglect, has needs for care and support, and is unable to protect themselves against abuse or neglect. Section 126 (2) (SSWBA, 2014) sets out that if a Local Authority has reasonable cause to suspect an adult is at risk there is a duty to make whatever enquiries necessary to decide if action must be taken. Part 7 of the legislation is focused on regulations to safeguard individuals. The Welsh Government have published a statutory guidance to accompany the Act known as ‘Working Together to Safeguard People’ with volume 6 focused on safeguarding adults (Social Care Wales, 2024).</w:t>
            </w:r>
          </w:p>
          <w:p w14:paraId="43128D59" w14:textId="77777777" w:rsidR="00E652D7" w:rsidRPr="00E652D7" w:rsidRDefault="00E652D7" w:rsidP="00E652D7">
            <w:pPr>
              <w:jc w:val="both"/>
              <w:rPr>
                <w:sz w:val="24"/>
                <w:szCs w:val="24"/>
              </w:rPr>
            </w:pPr>
          </w:p>
          <w:p w14:paraId="0B35E340" w14:textId="77777777" w:rsidR="00E652D7" w:rsidRDefault="00E652D7" w:rsidP="00E652D7">
            <w:pPr>
              <w:jc w:val="both"/>
              <w:rPr>
                <w:sz w:val="24"/>
                <w:szCs w:val="24"/>
              </w:rPr>
            </w:pPr>
            <w:r w:rsidRPr="00E652D7">
              <w:rPr>
                <w:sz w:val="24"/>
                <w:szCs w:val="24"/>
              </w:rPr>
              <w:t xml:space="preserve">The Wales Safeguarding Procedures are in place to guide and inform us of our duty to safeguard adults at risk. The safeguarding procedures were introduced to Wales in 2020 helping professionals to apply part 7 of the SSWBA, (2014) into practice, with procedures that underpins the legislation (Social Care Wales, 2024). The procedures have replaced the Protection of Vulnerable Adults from Abuse (POVA), resulting in Wales becoming the first country in the UK to introduce new safeguarding procedures (North Wales Safeguarding Board, 2019). </w:t>
            </w:r>
          </w:p>
          <w:p w14:paraId="58C484A8" w14:textId="77777777" w:rsidR="00E652D7" w:rsidRPr="00E652D7" w:rsidRDefault="00E652D7" w:rsidP="00E652D7">
            <w:pPr>
              <w:jc w:val="both"/>
              <w:rPr>
                <w:sz w:val="24"/>
                <w:szCs w:val="24"/>
              </w:rPr>
            </w:pPr>
          </w:p>
          <w:p w14:paraId="2D5BBDFB" w14:textId="77777777" w:rsidR="00E652D7" w:rsidRDefault="00E652D7" w:rsidP="00E652D7">
            <w:pPr>
              <w:jc w:val="both"/>
              <w:rPr>
                <w:sz w:val="24"/>
                <w:szCs w:val="24"/>
              </w:rPr>
            </w:pPr>
            <w:r w:rsidRPr="00E652D7">
              <w:rPr>
                <w:sz w:val="24"/>
                <w:szCs w:val="24"/>
              </w:rPr>
              <w:t xml:space="preserve">In England and Wales, the Mental Capacity Act, MCA, (2005) is in force to protect individuals’ rights and safeguard decision-making within a legal framework. The act’s main principles are to protect those who lack capacity whilst assuming a person has capacity until proven otherwise (Social Care Wales, 2023). Best interest decisions are made for those lacking in capacity with consideration to the person’s well-being. A person also has the right to make </w:t>
            </w:r>
            <w:r w:rsidRPr="00E652D7">
              <w:rPr>
                <w:sz w:val="24"/>
                <w:szCs w:val="24"/>
              </w:rPr>
              <w:lastRenderedPageBreak/>
              <w:t>unwise decisions under the MCA (2005). The Mental Capacity (Amendment) Act 2019 came into force for England and Wales to reform the process of authorising arrangements of care for people who lack capacity to consent. “Deprivation of Liberty Safeguards (</w:t>
            </w:r>
            <w:proofErr w:type="spellStart"/>
            <w:r w:rsidRPr="00E652D7">
              <w:rPr>
                <w:sz w:val="24"/>
                <w:szCs w:val="24"/>
              </w:rPr>
              <w:t>DoLS</w:t>
            </w:r>
            <w:proofErr w:type="spellEnd"/>
            <w:r w:rsidRPr="00E652D7">
              <w:rPr>
                <w:sz w:val="24"/>
                <w:szCs w:val="24"/>
              </w:rPr>
              <w:t xml:space="preserve">) are an amendment to the MCA and are the current safeguards which protect a person who lacks capacity to consent to their care and treatment in order to keep them safe from harm” (Social Care Wales, 2023). </w:t>
            </w:r>
          </w:p>
          <w:p w14:paraId="642A1C9F" w14:textId="77777777" w:rsidR="00E652D7" w:rsidRPr="00E652D7" w:rsidRDefault="00E652D7" w:rsidP="00E652D7">
            <w:pPr>
              <w:jc w:val="both"/>
              <w:rPr>
                <w:sz w:val="24"/>
                <w:szCs w:val="24"/>
              </w:rPr>
            </w:pPr>
          </w:p>
          <w:p w14:paraId="75DF59E2" w14:textId="339414B6" w:rsidR="00FC0334" w:rsidRDefault="00E652D7" w:rsidP="00E652D7">
            <w:pPr>
              <w:jc w:val="both"/>
              <w:rPr>
                <w:sz w:val="24"/>
                <w:szCs w:val="24"/>
              </w:rPr>
            </w:pPr>
            <w:r w:rsidRPr="00E652D7">
              <w:rPr>
                <w:sz w:val="24"/>
                <w:szCs w:val="24"/>
              </w:rPr>
              <w:t>Human Rights Act (1998) is crucial in outlying people’s basic rights in law. In relation to safeguarding and risk the Act underpins 4 articles; Protect people’s right to life, afford freedom from degrading and inhumane treatment, right to liberty and security, right to private life. The act promotes equality, fairness, respect, and dignity (Legislation Gov.uk, 2024). Wales was the first country in the world to appoint an Older People’s commissioner in 2008. Its purpose was to safeguard and promote the interest of older people, tackling ageism and age discrimination (Welsh Government, 2024).</w:t>
            </w:r>
          </w:p>
          <w:p w14:paraId="14883BA0" w14:textId="77777777" w:rsidR="00FC0334" w:rsidRDefault="00FC0334" w:rsidP="00FF7EBB">
            <w:pPr>
              <w:jc w:val="both"/>
              <w:rPr>
                <w:sz w:val="24"/>
                <w:szCs w:val="24"/>
              </w:rPr>
            </w:pPr>
          </w:p>
          <w:p w14:paraId="49641ACD" w14:textId="3F281DBA" w:rsidR="00FC0334" w:rsidRDefault="00E652D7" w:rsidP="00FF7EBB">
            <w:pPr>
              <w:jc w:val="both"/>
              <w:rPr>
                <w:sz w:val="24"/>
                <w:szCs w:val="24"/>
              </w:rPr>
            </w:pPr>
            <w:r>
              <w:rPr>
                <w:sz w:val="24"/>
                <w:szCs w:val="24"/>
              </w:rPr>
              <w:t>526 words</w:t>
            </w: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4CABE426" w14:textId="77777777" w:rsidR="00FC0334" w:rsidRDefault="00FC0334" w:rsidP="00FC0334">
            <w:pPr>
              <w:jc w:val="both"/>
              <w:rPr>
                <w:sz w:val="24"/>
                <w:szCs w:val="24"/>
              </w:rPr>
            </w:pPr>
          </w:p>
          <w:p w14:paraId="3774F0C8" w14:textId="77777777" w:rsidR="007F4483" w:rsidRDefault="007F4483" w:rsidP="007F4483">
            <w:pPr>
              <w:jc w:val="both"/>
              <w:rPr>
                <w:sz w:val="24"/>
                <w:szCs w:val="24"/>
              </w:rPr>
            </w:pPr>
            <w:r w:rsidRPr="007F4483">
              <w:rPr>
                <w:sz w:val="24"/>
                <w:szCs w:val="24"/>
              </w:rPr>
              <w:t xml:space="preserve">The difference between safeguarding adults and children is that adults have the right to make unwise decisions, risk taking, and the choice in taking action to protect themselves. Children’s safety is a primary concern which could result in the law to intervene, this will only happen to adults if they have been assessed to lack capacity (Ann Craft Trust, 2024). </w:t>
            </w:r>
          </w:p>
          <w:p w14:paraId="4BE573AC" w14:textId="77777777" w:rsidR="007F4483" w:rsidRPr="007F4483" w:rsidRDefault="007F4483" w:rsidP="007F4483">
            <w:pPr>
              <w:jc w:val="both"/>
              <w:rPr>
                <w:sz w:val="24"/>
                <w:szCs w:val="24"/>
              </w:rPr>
            </w:pPr>
          </w:p>
          <w:p w14:paraId="1C4608A4" w14:textId="77777777" w:rsidR="007F4483" w:rsidRDefault="007F4483" w:rsidP="007F4483">
            <w:pPr>
              <w:jc w:val="both"/>
              <w:rPr>
                <w:sz w:val="24"/>
                <w:szCs w:val="24"/>
              </w:rPr>
            </w:pPr>
            <w:r w:rsidRPr="007F4483">
              <w:rPr>
                <w:sz w:val="24"/>
                <w:szCs w:val="24"/>
              </w:rPr>
              <w:t xml:space="preserve">Statutory child protection guidance has been enforced across the UK since the 1980’s to prosecute people accused of child cruelty (NSPCC, 2024). There is a clear threshold to safeguard children who are deemed to be at risk of significant harm. The Children’s Act (1989) Section 47 (1b) places a duty on Social Workers to investigate if there are “reasonable cause to suspect that a child who lives, or is found, in their area suffering, or is likely to suffer significant harm”. The Children’s Act (1989) under (section 31, 9 defines significant harm as “ill-treatment or the impairment of health or development” including the “impairment suffered from seeing or hearing the ill-treatment of another”. </w:t>
            </w:r>
          </w:p>
          <w:p w14:paraId="7CE738B8" w14:textId="77777777" w:rsidR="007F4483" w:rsidRPr="007F4483" w:rsidRDefault="007F4483" w:rsidP="007F4483">
            <w:pPr>
              <w:jc w:val="both"/>
              <w:rPr>
                <w:sz w:val="24"/>
                <w:szCs w:val="24"/>
              </w:rPr>
            </w:pPr>
          </w:p>
          <w:p w14:paraId="45C64934" w14:textId="77777777" w:rsidR="007F4483" w:rsidRDefault="007F4483" w:rsidP="007F4483">
            <w:pPr>
              <w:jc w:val="both"/>
              <w:rPr>
                <w:sz w:val="24"/>
                <w:szCs w:val="24"/>
              </w:rPr>
            </w:pPr>
            <w:r w:rsidRPr="007F4483">
              <w:rPr>
                <w:sz w:val="24"/>
                <w:szCs w:val="24"/>
              </w:rPr>
              <w:t>A judge from a family court has the power to remove a child from their family if deemed necessary to do. For older children it’s vital to consider their wishes and feelings whilst collecting evidence to the court. The Gillick competencies and Fraser guidelines highlights the need to listen to children’s wishes whilst being responsible to keep them safe (NSPCC, 2022). “</w:t>
            </w:r>
            <w:r w:rsidRPr="007F4483">
              <w:rPr>
                <w:i/>
                <w:iCs/>
                <w:sz w:val="24"/>
                <w:szCs w:val="24"/>
              </w:rPr>
              <w:t xml:space="preserve">Taking the child’s age into account is vital including their understanding of a situation and the </w:t>
            </w:r>
            <w:r w:rsidRPr="007F4483">
              <w:rPr>
                <w:i/>
                <w:iCs/>
                <w:sz w:val="24"/>
                <w:szCs w:val="24"/>
              </w:rPr>
              <w:lastRenderedPageBreak/>
              <w:t>associated risks. The child’s welfare is always considered overriding their wishes and feelings if safeguarding procedures are required to be utilised”</w:t>
            </w:r>
            <w:r w:rsidRPr="007F4483">
              <w:rPr>
                <w:sz w:val="24"/>
                <w:szCs w:val="24"/>
              </w:rPr>
              <w:t xml:space="preserve"> (Cafcass Cymru, 2024).</w:t>
            </w:r>
          </w:p>
          <w:p w14:paraId="67F8F684" w14:textId="77777777" w:rsidR="007F4483" w:rsidRPr="007F4483" w:rsidRDefault="007F4483" w:rsidP="007F4483">
            <w:pPr>
              <w:jc w:val="both"/>
              <w:rPr>
                <w:sz w:val="24"/>
                <w:szCs w:val="24"/>
              </w:rPr>
            </w:pPr>
          </w:p>
          <w:p w14:paraId="62F3309F" w14:textId="77777777" w:rsidR="007F4483" w:rsidRDefault="007F4483" w:rsidP="007F4483">
            <w:pPr>
              <w:jc w:val="both"/>
              <w:rPr>
                <w:sz w:val="24"/>
                <w:szCs w:val="24"/>
              </w:rPr>
            </w:pPr>
            <w:r w:rsidRPr="007F4483">
              <w:rPr>
                <w:sz w:val="24"/>
                <w:szCs w:val="24"/>
              </w:rPr>
              <w:t xml:space="preserve">Threshold for adult safeguarding is not as ‘straightforward’ which can cause uncertainty (Livingston, Redcliffe, Aziz, 2023). Upon reflection policy response is much clearer in terms of children whereas adults at risk requires much greater consideration. The Mental Capacity Act 2005 in in force to protect people to have the right to make unwise decisions. It is assumed all adults have capacity to </w:t>
            </w:r>
            <w:proofErr w:type="gramStart"/>
            <w:r w:rsidRPr="007F4483">
              <w:rPr>
                <w:sz w:val="24"/>
                <w:szCs w:val="24"/>
              </w:rPr>
              <w:t>make a decision</w:t>
            </w:r>
            <w:proofErr w:type="gramEnd"/>
            <w:r w:rsidRPr="007F4483">
              <w:rPr>
                <w:sz w:val="24"/>
                <w:szCs w:val="24"/>
              </w:rPr>
              <w:t xml:space="preserve"> unless they have been assessed to lack capacity (Mental Capacity Act, (MCA), 2005). </w:t>
            </w:r>
          </w:p>
          <w:p w14:paraId="1614F6E9" w14:textId="77777777" w:rsidR="007F4483" w:rsidRPr="007F4483" w:rsidRDefault="007F4483" w:rsidP="007F4483">
            <w:pPr>
              <w:jc w:val="both"/>
              <w:rPr>
                <w:sz w:val="24"/>
                <w:szCs w:val="24"/>
              </w:rPr>
            </w:pPr>
          </w:p>
          <w:p w14:paraId="795C6051" w14:textId="269D30B6" w:rsidR="00FC0334" w:rsidRDefault="007F4483" w:rsidP="007F4483">
            <w:pPr>
              <w:jc w:val="both"/>
              <w:rPr>
                <w:sz w:val="24"/>
                <w:szCs w:val="24"/>
              </w:rPr>
            </w:pPr>
            <w:r w:rsidRPr="007F4483">
              <w:rPr>
                <w:sz w:val="24"/>
                <w:szCs w:val="24"/>
              </w:rPr>
              <w:t>The court of protection was established under section 45 of the (MCA, 2005), which makes a specific decision on behalf of people who lack capacity. The law is limited to safeguard an adult who deems to have capacity however, if necessary, a person can be detained or sectioned by a doctor under section 5 (2) of the Mental Health Act (1983). The Police also have authority if necessary to criminally detain an individual or prison service (</w:t>
            </w:r>
            <w:proofErr w:type="spellStart"/>
            <w:r w:rsidRPr="007F4483">
              <w:rPr>
                <w:sz w:val="24"/>
                <w:szCs w:val="24"/>
              </w:rPr>
              <w:t>Koubel</w:t>
            </w:r>
            <w:proofErr w:type="spellEnd"/>
            <w:r w:rsidRPr="007F4483">
              <w:rPr>
                <w:sz w:val="24"/>
                <w:szCs w:val="24"/>
              </w:rPr>
              <w:t>, 2016).</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4027A8F8" w:rsidR="00FC0334" w:rsidRDefault="007F4483" w:rsidP="00FC0334">
            <w:pPr>
              <w:jc w:val="both"/>
              <w:rPr>
                <w:sz w:val="24"/>
                <w:szCs w:val="24"/>
              </w:rPr>
            </w:pPr>
            <w:r>
              <w:rPr>
                <w:sz w:val="24"/>
                <w:szCs w:val="24"/>
              </w:rPr>
              <w:t>430 words</w:t>
            </w: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972B5" w14:textId="77777777" w:rsidR="007C4756" w:rsidRDefault="007C4756">
      <w:r>
        <w:separator/>
      </w:r>
    </w:p>
  </w:endnote>
  <w:endnote w:type="continuationSeparator" w:id="0">
    <w:p w14:paraId="0A9151C3" w14:textId="77777777" w:rsidR="007C4756" w:rsidRDefault="007C47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04ABB" w14:textId="77777777" w:rsidR="007C4756" w:rsidRDefault="007C4756">
      <w:r>
        <w:separator/>
      </w:r>
    </w:p>
  </w:footnote>
  <w:footnote w:type="continuationSeparator" w:id="0">
    <w:p w14:paraId="3E2564E1" w14:textId="77777777" w:rsidR="007C4756" w:rsidRDefault="007C47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1712"/>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5904"/>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4756"/>
    <w:rsid w:val="007C556F"/>
    <w:rsid w:val="007C5ABE"/>
    <w:rsid w:val="007C6A87"/>
    <w:rsid w:val="007D0A07"/>
    <w:rsid w:val="007D0F11"/>
    <w:rsid w:val="007D133D"/>
    <w:rsid w:val="007D3EB4"/>
    <w:rsid w:val="007D3F16"/>
    <w:rsid w:val="007F10BD"/>
    <w:rsid w:val="007F312E"/>
    <w:rsid w:val="007F3F7E"/>
    <w:rsid w:val="007F4483"/>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65CB"/>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2F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2D7"/>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6B4C"/>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1087</Words>
  <Characters>6197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Haf Jones (PLANT)</cp:lastModifiedBy>
  <cp:revision>3</cp:revision>
  <cp:lastPrinted>2020-02-11T19:20:00Z</cp:lastPrinted>
  <dcterms:created xsi:type="dcterms:W3CDTF">2025-02-09T13:21:00Z</dcterms:created>
  <dcterms:modified xsi:type="dcterms:W3CDTF">2025-02-09T13:27:00Z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