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56A3B" w14:textId="77777777" w:rsidR="00A46EC6" w:rsidRDefault="00A46EC6" w:rsidP="0016101C">
      <w:pPr>
        <w:jc w:val="center"/>
        <w:rPr>
          <w:sz w:val="32"/>
        </w:rPr>
      </w:pPr>
    </w:p>
    <w:p w14:paraId="46E52508" w14:textId="77777777" w:rsidR="00A46EC6" w:rsidRDefault="00A46EC6" w:rsidP="0016101C">
      <w:pPr>
        <w:jc w:val="center"/>
        <w:rPr>
          <w:sz w:val="32"/>
        </w:rPr>
      </w:pPr>
    </w:p>
    <w:p w14:paraId="784962E8" w14:textId="77777777" w:rsidR="00A46EC6" w:rsidRDefault="00A46EC6" w:rsidP="0016101C">
      <w:pPr>
        <w:jc w:val="center"/>
        <w:rPr>
          <w:sz w:val="32"/>
        </w:rPr>
      </w:pPr>
    </w:p>
    <w:p w14:paraId="4E27FCA0" w14:textId="77777777" w:rsidR="00A46EC6" w:rsidRDefault="00A46EC6" w:rsidP="0016101C">
      <w:pPr>
        <w:jc w:val="center"/>
        <w:rPr>
          <w:sz w:val="32"/>
        </w:rPr>
      </w:pPr>
    </w:p>
    <w:p w14:paraId="567D6B15" w14:textId="77777777" w:rsidR="00A46EC6" w:rsidRDefault="00A46EC6" w:rsidP="0016101C">
      <w:pPr>
        <w:jc w:val="center"/>
        <w:rPr>
          <w:sz w:val="32"/>
        </w:rPr>
      </w:pPr>
    </w:p>
    <w:p w14:paraId="24D3382F" w14:textId="77777777" w:rsidR="00A46EC6" w:rsidRDefault="00A46EC6" w:rsidP="0016101C">
      <w:pPr>
        <w:jc w:val="center"/>
        <w:rPr>
          <w:sz w:val="32"/>
        </w:rPr>
      </w:pPr>
    </w:p>
    <w:p w14:paraId="02186C3E" w14:textId="77777777" w:rsidR="00A46EC6" w:rsidRDefault="00A46EC6" w:rsidP="0016101C">
      <w:pPr>
        <w:jc w:val="center"/>
        <w:rPr>
          <w:sz w:val="32"/>
        </w:rPr>
      </w:pPr>
    </w:p>
    <w:p w14:paraId="1B17C3F8" w14:textId="561F193F" w:rsidR="001D0E87" w:rsidRPr="006F32CC" w:rsidRDefault="0016101C" w:rsidP="0016101C">
      <w:pPr>
        <w:jc w:val="center"/>
        <w:rPr>
          <w:sz w:val="32"/>
        </w:rPr>
      </w:pPr>
      <w:r w:rsidRPr="006F32CC">
        <w:rPr>
          <w:sz w:val="32"/>
        </w:rPr>
        <w:t>Preparing for Professional Police Practice</w:t>
      </w:r>
    </w:p>
    <w:p w14:paraId="79C5B803" w14:textId="77777777" w:rsidR="0016101C" w:rsidRDefault="0016101C">
      <w:pPr>
        <w:spacing w:line="276" w:lineRule="auto"/>
        <w:jc w:val="left"/>
      </w:pPr>
      <w:r>
        <w:br w:type="page"/>
      </w:r>
    </w:p>
    <w:p w14:paraId="313150C3" w14:textId="77777777" w:rsidR="0016101C" w:rsidRPr="0016101C" w:rsidRDefault="0016101C" w:rsidP="0016101C">
      <w:pPr>
        <w:jc w:val="center"/>
        <w:rPr>
          <w:sz w:val="32"/>
        </w:rPr>
      </w:pPr>
      <w:r w:rsidRPr="0016101C">
        <w:rPr>
          <w:sz w:val="32"/>
        </w:rPr>
        <w:lastRenderedPageBreak/>
        <w:t>Policing by Consent and Its Impact on the Contemporary Society</w:t>
      </w:r>
    </w:p>
    <w:p w14:paraId="4BF4247A" w14:textId="0CA89168" w:rsidR="0016101C" w:rsidRDefault="00B53EAA" w:rsidP="00B53EAA">
      <w:r>
        <w:t>The Metropolitan Police Act of 1829 established a permanent, centrally structured police force, marking the beginning of the modern notion of professional policing. Officers of the law serve the public by putting themselves in harm's way to protect the people. The Peelian notion of policing by consent is the basis of law enforcement in the United Kingdom. Robert Peel is widely regarded as the inspiration for the creation of the Metropolitan Police. His goal was to generate widespread public support for the police by examining the ways in which they differ from the military and the deaths that have resulted from using the military to quell civil unrest in the past, such as the Peterloo Massacre</w:t>
      </w:r>
      <w:r w:rsidR="006F32CC">
        <w:t xml:space="preserve"> (Dave, 2021)</w:t>
      </w:r>
      <w:r>
        <w:t xml:space="preserve">.  As the term "policing by consent" suggests, public trust in law enforcement agencies is established when officers are honest about their authority, behave ethically, and accept responsibility for their actions. That the public and the police share the same ideals attests to the legitimacy of the system. As the public's face of law and order, police officers have a special responsibility to treat everyone fairly and with dignity. It was discovered that the police force is one of the city's greatest assets, and that the police and the public should work together to </w:t>
      </w:r>
      <w:r w:rsidR="00D759B1">
        <w:t>form</w:t>
      </w:r>
      <w:r>
        <w:t xml:space="preserve"> a </w:t>
      </w:r>
      <w:r w:rsidR="00D759B1">
        <w:t>community-oriented</w:t>
      </w:r>
      <w:r>
        <w:t xml:space="preserve"> relationship based on the principle of consent policing</w:t>
      </w:r>
      <w:r w:rsidR="006F32CC">
        <w:t xml:space="preserve"> (Bailey, 2015)</w:t>
      </w:r>
      <w:r>
        <w:t xml:space="preserve">. The purpose of this essay is to provide a critical discussion of Peelian's philosophy of policing by consent or public acceptance and the tools that modern police forces in England and Wales use to achieve this goal. </w:t>
      </w:r>
    </w:p>
    <w:p w14:paraId="70283BC7" w14:textId="042CCF8F" w:rsidR="0016101C" w:rsidRDefault="00B53EAA">
      <w:r w:rsidRPr="00B53EAA">
        <w:t>Three basic principles of policing by consent emphasise safety via deterrence rather than punishment. Crime is prevented by the police force. Police personnel are not obligated to use force against civilians or penalise them for engaging in illegal behaviour</w:t>
      </w:r>
      <w:r w:rsidR="006F32CC">
        <w:t xml:space="preserve"> (Jackson and Bradford, 2009)</w:t>
      </w:r>
      <w:r w:rsidRPr="00B53EAA">
        <w:t>. To determine what measures are essential for the rigorous fulfilment of police tasks and to avoid giving the impression of usurping the judicial branch's authority to seek justice on behalf of the state's citizens and mete out punishment to those who have committed wrongdoing. Consent policing's central notion is that it is the best way to reduce crime and win public acceptance. As if they were police officers, people of the community should help with crime prevention efforts. The voluntary character of public aids in developing the community and makes it free from crime</w:t>
      </w:r>
      <w:r w:rsidR="006F32CC">
        <w:t xml:space="preserve"> (Jackson et al., 2012)</w:t>
      </w:r>
      <w:r w:rsidRPr="00B53EAA">
        <w:t xml:space="preserve">. Only if the community trusts the police and backs legitimate actions will the people step up to the plate. To increase the degree of respect for the people and to adhere to the community standards is the third major premise of policing by </w:t>
      </w:r>
      <w:r w:rsidRPr="00B53EAA">
        <w:lastRenderedPageBreak/>
        <w:t>consent. To gain support from the public, law enforcement must be diligent in its efforts, work to improve its image, hire officers who accurately reflect the community they serve, and only resort to physical force or other forms of suppression in extreme situations. The relevance of policing by agreement may be grasped from the basic ideas outlined in Peelian principles.</w:t>
      </w:r>
      <w:r>
        <w:t xml:space="preserve"> </w:t>
      </w:r>
      <w:r w:rsidRPr="00B53EAA">
        <w:t>The concept of policing is unlike any other in history since it was developed with the help of the people. Citizens learned to trust and respect law enforcement officials when they demonstrated actions designed to keep them safe</w:t>
      </w:r>
      <w:r w:rsidR="006F32CC">
        <w:t xml:space="preserve"> (Lambert and Parsons, 2017)</w:t>
      </w:r>
      <w:r w:rsidRPr="00B53EAA">
        <w:t xml:space="preserve">. </w:t>
      </w:r>
      <w:r w:rsidR="006F32CC">
        <w:t>"P</w:t>
      </w:r>
      <w:r w:rsidRPr="00B53EAA">
        <w:t xml:space="preserve">olicing by consent" means that police authority is derived from popular support rather than from the state. Consent and willingness of the public do not provide the people the ability to withdraw from the acts of police officers; authority resides in the hands of police officers. There is no need to injure or display strength to persons </w:t>
      </w:r>
      <w:r w:rsidR="00D759B1" w:rsidRPr="00B53EAA">
        <w:t>to</w:t>
      </w:r>
      <w:r w:rsidRPr="00B53EAA">
        <w:t xml:space="preserve"> undertake any authorised acts on them if the police have the consent and agreement of the public.</w:t>
      </w:r>
    </w:p>
    <w:p w14:paraId="528A2ADE" w14:textId="034921D7" w:rsidR="0016101C" w:rsidRDefault="00B53EAA">
      <w:r w:rsidRPr="00B53EAA">
        <w:t>The police force in the United Kingdom is not an arm of the state, but rather the servants of the people and the community; hence it is only fair that they have widespread popular trust and respect. Officers treat the community fairly and with respect, regardless of race, religion, sexual orientation, age, etc., since they are sensitive to the concerns of residents. The police will go to whatever length to ensure that civilians are able to engage in authorised pursuits</w:t>
      </w:r>
      <w:r w:rsidR="006F32CC">
        <w:t xml:space="preserve"> (Greener, 2021)</w:t>
      </w:r>
      <w:r w:rsidRPr="00B53EAA">
        <w:t xml:space="preserve">. Officers have a delicate balancing act to do between preserving public order and enforcing the law. Relationship building with the local populace is at the heart of the "community policing" approach. Consensual policing also involves the full-time officer making regular rounds in his assigned area, getting to know the locals, and working together with them to address any issues that arise. Consensual policing and community policing have similar ends in mind: they both want to reduce crime while retaining the support of </w:t>
      </w:r>
      <w:r w:rsidR="00D759B1" w:rsidRPr="00B53EAA">
        <w:t>residents</w:t>
      </w:r>
      <w:r w:rsidRPr="00B53EAA">
        <w:t xml:space="preserve"> and earning their trust. Consent policing has been shown to lower significant crimes, supporting the shattered window idea</w:t>
      </w:r>
      <w:r w:rsidR="006F32CC">
        <w:t xml:space="preserve"> (Halder, 2020)</w:t>
      </w:r>
      <w:r w:rsidRPr="00B53EAA">
        <w:t xml:space="preserve">. </w:t>
      </w:r>
      <w:r w:rsidR="006A0C01" w:rsidRPr="006A0C01">
        <w:t xml:space="preserve">In the 1980s, the accountability of police became a major political issue in England and Wales, prompting </w:t>
      </w:r>
      <w:r w:rsidR="00D759B1" w:rsidRPr="006A0C01">
        <w:t>several</w:t>
      </w:r>
      <w:r w:rsidR="006A0C01" w:rsidRPr="006A0C01">
        <w:t xml:space="preserve"> research initiatives to examine police authority and responsibility. A consensus was reached that law enforcement should operate within the bounds of democratic oversight. Recent years have seen a decline in the level of controversy surrounding these issues, with the focus instead shifting to the efficiency and effectiveness of law enforcement and the importance of obtaining the public's approval before resorting to the use of force. </w:t>
      </w:r>
      <w:r w:rsidR="00D759B1" w:rsidRPr="006A0C01">
        <w:t>Most</w:t>
      </w:r>
      <w:r w:rsidR="006A0C01" w:rsidRPr="006A0C01">
        <w:t xml:space="preserve"> British citizens live in England and Wales, however there are major disparities in the </w:t>
      </w:r>
      <w:r w:rsidR="006A0C01" w:rsidRPr="006A0C01">
        <w:lastRenderedPageBreak/>
        <w:t>policing systems in England and Wales, Scotland, and Northern Ireland. The Human Rights Act of 1998 places a premium on ensuring that police are held responsible for their activities within the country</w:t>
      </w:r>
      <w:r w:rsidR="00865071">
        <w:t xml:space="preserve"> (Rawlings, 2012)</w:t>
      </w:r>
      <w:r w:rsidR="006A0C01" w:rsidRPr="006A0C01">
        <w:t xml:space="preserve">. The United Nations' Law Enforcement Ethics Code Officials in Europe and the UK established policing standards with the dual goals of protecting human rights and elevating the standing of police officers. The policy of consent and the rule of law are at the centre of English society. England has a different strategy to managing public-order offences like riots than the rest of the country does because of its history of "Policing by consent." </w:t>
      </w:r>
    </w:p>
    <w:p w14:paraId="199B5DF1" w14:textId="42D569A0" w:rsidR="0016101C" w:rsidRDefault="00D759B1">
      <w:r w:rsidRPr="006A0C01">
        <w:t>To</w:t>
      </w:r>
      <w:r w:rsidR="006A0C01" w:rsidRPr="006A0C01">
        <w:t xml:space="preserve"> keep up with the ever-evolving needs and policing endeavours, innovative approaches to crime prevention, evidence collection, and investigation are being created. Instead of using force to interrogate individuals, police in England and Wales rely on privacy-invading technologies like face recognition to piece together the details of criminal cases. Police in England and Wales can more easily engage in consent-based and problem-solving policing thanks to applications that allow them to download data from suspects' devices for investigation</w:t>
      </w:r>
      <w:r w:rsidR="006F32CC">
        <w:t xml:space="preserve"> (Dave, 2021)</w:t>
      </w:r>
      <w:r w:rsidR="006A0C01" w:rsidRPr="006A0C01">
        <w:t xml:space="preserve">. Other technological algorithms, such as machine learning, search data sets against machine criteria set in the system, find detailed information about individuals from databases, and more. Consent-based policing necessitates </w:t>
      </w:r>
      <w:r w:rsidRPr="006A0C01">
        <w:t>considering</w:t>
      </w:r>
      <w:r w:rsidR="006A0C01" w:rsidRPr="006A0C01">
        <w:t xml:space="preserve"> the experiments conducted by police agencies employing technology. Authorities often express serious reservations about the accuracy and dependability of the technologies used by police departments. In addition, the security breach caused by biometric scans in public spaces presents a significant challenge when it comes to facial recognition, since accurate matching of varying facial traits is a difficult task. There have been requests to halt the use of face recognition technologies until the challenges and concerns are resolved, and this has been linked to the absence of an established legal framework</w:t>
      </w:r>
      <w:r w:rsidR="006F32CC">
        <w:t xml:space="preserve"> (Bailey, 2015)</w:t>
      </w:r>
      <w:r w:rsidR="006A0C01" w:rsidRPr="006A0C01">
        <w:t>. However, for the policing by consent approach to be put into practise in the UK, police officers need effective processes to follow that allow them to quickly identify persons without having to confront or search innocent bystanders. Another case in point involves experiments conducted by police in South Wales, where problems were seen when an automated face recognition system was used because some worried members of the community thought it was illegal for the police to run facial recognition on people. But the courts found that the police had met the standards of the Human Rights Act, and that the face recognition system and processes are carried out by trained experts with the public's privacy and safety in mind</w:t>
      </w:r>
      <w:r w:rsidR="006F32CC">
        <w:t xml:space="preserve"> (Jackson et al., 2012)</w:t>
      </w:r>
      <w:r w:rsidR="006A0C01" w:rsidRPr="006A0C01">
        <w:t xml:space="preserve">. It would be inappropriate for law enforcement to prioritise the use of technology to </w:t>
      </w:r>
      <w:r w:rsidR="006A0C01" w:rsidRPr="006A0C01">
        <w:lastRenderedPageBreak/>
        <w:t>facilitate their goals and operations in line with the consent-based policing model. The Digital Ethics Panel also provided guidance to law enforcement on how to be compliant with their operations. It is unreasonable to think that law enforcement agencies anywhere, not just England and Wales, can completely cut themselves off from technology because of ethical concerns. Maintaining police efficiency and legitimacy in accordance with Robert Peel's standards has significant public-interest arguments on its side. Predictive policing and the use of algorithms have prompted the creation of a code of conduct by the Centre for Data Ethics and Innovation</w:t>
      </w:r>
      <w:r w:rsidR="00865071">
        <w:t xml:space="preserve"> (Varghese, 2010)</w:t>
      </w:r>
      <w:r w:rsidR="006A0C01" w:rsidRPr="006A0C01">
        <w:t xml:space="preserve">. Political leaders, government officials, practitioners, regulatory agencies, advising experts, independent watchdogs, and the </w:t>
      </w:r>
      <w:r w:rsidRPr="006A0C01">
        <w:t>public</w:t>
      </w:r>
      <w:r w:rsidR="006A0C01" w:rsidRPr="006A0C01">
        <w:t xml:space="preserve"> will all benefit from this shift in emphasis. More research and evaluation of public consultation, laws, etc., is needed to understand the foundation for public consent. If the policing by consent concept </w:t>
      </w:r>
      <w:r w:rsidRPr="006A0C01">
        <w:t>is</w:t>
      </w:r>
      <w:r w:rsidR="006A0C01" w:rsidRPr="006A0C01">
        <w:t xml:space="preserve"> to be well-guarded in the digital era, then keeping up with the rapid pace of technological development and its impact on human rights must be a top national priority.</w:t>
      </w:r>
    </w:p>
    <w:p w14:paraId="786FB17A" w14:textId="77777777" w:rsidR="006F32CC" w:rsidRDefault="006F32CC">
      <w:pPr>
        <w:spacing w:line="276" w:lineRule="auto"/>
        <w:jc w:val="left"/>
      </w:pPr>
      <w:r>
        <w:br w:type="page"/>
      </w:r>
    </w:p>
    <w:p w14:paraId="6FF887BC" w14:textId="77777777" w:rsidR="0016101C" w:rsidRPr="006F32CC" w:rsidRDefault="006F32CC" w:rsidP="006F32CC">
      <w:pPr>
        <w:jc w:val="center"/>
        <w:rPr>
          <w:b/>
        </w:rPr>
      </w:pPr>
      <w:r w:rsidRPr="006F32CC">
        <w:rPr>
          <w:b/>
        </w:rPr>
        <w:lastRenderedPageBreak/>
        <w:t>References</w:t>
      </w:r>
    </w:p>
    <w:p w14:paraId="2C7C1F39" w14:textId="77777777" w:rsidR="006F32CC" w:rsidRDefault="006F32CC" w:rsidP="006F32CC">
      <w:pPr>
        <w:pStyle w:val="NormalWeb"/>
        <w:spacing w:before="0" w:beforeAutospacing="0" w:after="240" w:afterAutospacing="0" w:line="360" w:lineRule="auto"/>
      </w:pPr>
      <w:r>
        <w:t xml:space="preserve">Bailey, V. (2015). </w:t>
      </w:r>
      <w:r>
        <w:rPr>
          <w:i/>
          <w:iCs/>
        </w:rPr>
        <w:t>Policing and Punishment in Nineteenth Century Britain</w:t>
      </w:r>
      <w:r>
        <w:t>. Routledge.</w:t>
      </w:r>
    </w:p>
    <w:p w14:paraId="30C6A526" w14:textId="77777777" w:rsidR="006F32CC" w:rsidRDefault="006F32CC" w:rsidP="006F32CC">
      <w:pPr>
        <w:pStyle w:val="NormalWeb"/>
        <w:spacing w:before="0" w:beforeAutospacing="0" w:after="240" w:afterAutospacing="0" w:line="360" w:lineRule="auto"/>
      </w:pPr>
      <w:r>
        <w:t xml:space="preserve">Dave, M. (2021). </w:t>
      </w:r>
      <w:r>
        <w:rPr>
          <w:i/>
          <w:iCs/>
        </w:rPr>
        <w:t>Policing by Consent</w:t>
      </w:r>
      <w:r>
        <w:t>. [online] Abolitionist Futures. Available at: https://abolitionistfutures.com/latest-news/policing-by-consent.</w:t>
      </w:r>
    </w:p>
    <w:p w14:paraId="4FBA7BAB" w14:textId="77777777" w:rsidR="006F32CC" w:rsidRDefault="006F32CC" w:rsidP="006F32CC">
      <w:pPr>
        <w:pStyle w:val="NormalWeb"/>
        <w:spacing w:before="0" w:beforeAutospacing="0" w:after="240" w:afterAutospacing="0" w:line="360" w:lineRule="auto"/>
      </w:pPr>
      <w:r>
        <w:t xml:space="preserve">Greener, B. (2021). </w:t>
      </w:r>
      <w:r>
        <w:rPr>
          <w:i/>
          <w:iCs/>
        </w:rPr>
        <w:t>Policing by consent is not ‘woke’ — it is fundamental to a democratic society</w:t>
      </w:r>
      <w:r>
        <w:t>. [online] The Conversation. Available at: https://theconversation.com/policing-by-consent-is-not-woke-it-is-fundamental-to-a-democratic-society-155866.</w:t>
      </w:r>
    </w:p>
    <w:p w14:paraId="4027394B" w14:textId="469B747C" w:rsidR="006F32CC" w:rsidRDefault="006F32CC" w:rsidP="006F32CC">
      <w:pPr>
        <w:pStyle w:val="NormalWeb"/>
        <w:spacing w:before="0" w:beforeAutospacing="0" w:after="240" w:afterAutospacing="0" w:line="360" w:lineRule="auto"/>
      </w:pPr>
      <w:r>
        <w:t xml:space="preserve">Halder, D. (2020). Stop, search, frisk and detain: A comparative analysis of police power between India, </w:t>
      </w:r>
      <w:r w:rsidR="00D759B1">
        <w:t>UK,</w:t>
      </w:r>
      <w:r>
        <w:t xml:space="preserve"> and US. </w:t>
      </w:r>
      <w:r>
        <w:rPr>
          <w:i/>
          <w:iCs/>
        </w:rPr>
        <w:t>SSRN Electronic Journal</w:t>
      </w:r>
      <w:r>
        <w:t xml:space="preserve">. </w:t>
      </w:r>
      <w:r w:rsidR="00D759B1">
        <w:t>Doi: HTTPs</w:t>
      </w:r>
      <w:r>
        <w:t>://doi.org/10.2139/ssrn.3722731.</w:t>
      </w:r>
    </w:p>
    <w:p w14:paraId="3BCDDAD9" w14:textId="4AAF1080" w:rsidR="006F32CC" w:rsidRDefault="006F32CC" w:rsidP="006F32CC">
      <w:pPr>
        <w:pStyle w:val="NormalWeb"/>
        <w:spacing w:before="0" w:beforeAutospacing="0" w:after="240" w:afterAutospacing="0" w:line="360" w:lineRule="auto"/>
      </w:pPr>
      <w:r>
        <w:t xml:space="preserve">Jackson, J. and Bradford, B. (2009). Crime, </w:t>
      </w:r>
      <w:r w:rsidR="00D759B1">
        <w:t>policing,</w:t>
      </w:r>
      <w:r>
        <w:t xml:space="preserve"> and social order: on the expressive nature of public confidence in policing. </w:t>
      </w:r>
      <w:r>
        <w:rPr>
          <w:i/>
          <w:iCs/>
        </w:rPr>
        <w:t>The British Journal of Sociology</w:t>
      </w:r>
      <w:r>
        <w:t xml:space="preserve">, 60(3), pp.493–521. </w:t>
      </w:r>
      <w:r w:rsidR="00D759B1">
        <w:t>Doi: HTTPs</w:t>
      </w:r>
      <w:r>
        <w:t>://doi.org/10.1111/j.1468-4446.2009.01253.x.</w:t>
      </w:r>
    </w:p>
    <w:p w14:paraId="6351802F" w14:textId="77777777" w:rsidR="006F32CC" w:rsidRDefault="006F32CC" w:rsidP="006F32CC">
      <w:pPr>
        <w:pStyle w:val="NormalWeb"/>
        <w:spacing w:before="0" w:beforeAutospacing="0" w:after="240" w:afterAutospacing="0" w:line="360" w:lineRule="auto"/>
      </w:pPr>
      <w:r>
        <w:t xml:space="preserve">Jackson, J., Hough, M., Bradford, B., Hohl, K. and Kuha, J. (2012). </w:t>
      </w:r>
      <w:r>
        <w:rPr>
          <w:i/>
          <w:iCs/>
        </w:rPr>
        <w:t>Policing by consent: understanding the dynamics of police power and legitimacy Report Original citation</w:t>
      </w:r>
      <w:r>
        <w:t>. [online] Available at: https://eprints.lse.ac.uk/47220/1/Policing%20by%20consent%28lsero%29.pdf [Accessed 14 Nov. 2022].</w:t>
      </w:r>
    </w:p>
    <w:sectPr w:rsidR="006F32C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DF37D" w14:textId="77777777" w:rsidR="00B1586B" w:rsidRDefault="00B1586B" w:rsidP="0016101C">
      <w:pPr>
        <w:spacing w:after="0" w:line="240" w:lineRule="auto"/>
      </w:pPr>
      <w:r>
        <w:separator/>
      </w:r>
    </w:p>
  </w:endnote>
  <w:endnote w:type="continuationSeparator" w:id="0">
    <w:p w14:paraId="04EB3AF3" w14:textId="77777777" w:rsidR="00B1586B" w:rsidRDefault="00B1586B" w:rsidP="00161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66C3B" w14:textId="77777777" w:rsidR="00BB66FD" w:rsidRDefault="00BB66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704886"/>
      <w:docPartObj>
        <w:docPartGallery w:val="Page Numbers (Bottom of Page)"/>
        <w:docPartUnique/>
      </w:docPartObj>
    </w:sdtPr>
    <w:sdtEndPr>
      <w:rPr>
        <w:noProof/>
      </w:rPr>
    </w:sdtEndPr>
    <w:sdtContent>
      <w:p w14:paraId="71D67169" w14:textId="77777777" w:rsidR="0016101C" w:rsidRDefault="0016101C">
        <w:pPr>
          <w:pStyle w:val="Footer"/>
          <w:jc w:val="right"/>
        </w:pPr>
        <w:r>
          <w:fldChar w:fldCharType="begin"/>
        </w:r>
        <w:r>
          <w:instrText xml:space="preserve"> PAGE   \* MERGEFORMAT </w:instrText>
        </w:r>
        <w:r>
          <w:fldChar w:fldCharType="separate"/>
        </w:r>
        <w:r w:rsidR="006F32CC">
          <w:rPr>
            <w:noProof/>
          </w:rPr>
          <w:t>1</w:t>
        </w:r>
        <w:r>
          <w:rPr>
            <w:noProof/>
          </w:rPr>
          <w:fldChar w:fldCharType="end"/>
        </w:r>
      </w:p>
    </w:sdtContent>
  </w:sdt>
  <w:p w14:paraId="4AC9BEDB" w14:textId="77777777" w:rsidR="0016101C" w:rsidRDefault="001610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B07E6" w14:textId="77777777" w:rsidR="00BB66FD" w:rsidRDefault="00BB66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33FE1" w14:textId="77777777" w:rsidR="00B1586B" w:rsidRDefault="00B1586B" w:rsidP="0016101C">
      <w:pPr>
        <w:spacing w:after="0" w:line="240" w:lineRule="auto"/>
      </w:pPr>
      <w:r>
        <w:separator/>
      </w:r>
    </w:p>
  </w:footnote>
  <w:footnote w:type="continuationSeparator" w:id="0">
    <w:p w14:paraId="2FCE6D02" w14:textId="77777777" w:rsidR="00B1586B" w:rsidRDefault="00B1586B" w:rsidP="001610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0EA74" w14:textId="77777777" w:rsidR="00BB66FD" w:rsidRDefault="00BB66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F5359" w14:textId="77777777" w:rsidR="00BB66FD" w:rsidRDefault="00BB66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24FEF" w14:textId="77777777" w:rsidR="00BB66FD" w:rsidRDefault="00BB66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28A7"/>
    <w:rsid w:val="0016101C"/>
    <w:rsid w:val="001D0E87"/>
    <w:rsid w:val="002D74BC"/>
    <w:rsid w:val="003128A7"/>
    <w:rsid w:val="005F70D0"/>
    <w:rsid w:val="00677BC8"/>
    <w:rsid w:val="006A0C01"/>
    <w:rsid w:val="006D46B0"/>
    <w:rsid w:val="006F32CC"/>
    <w:rsid w:val="00701F0E"/>
    <w:rsid w:val="00865071"/>
    <w:rsid w:val="009C2F80"/>
    <w:rsid w:val="00A46EC6"/>
    <w:rsid w:val="00A83F50"/>
    <w:rsid w:val="00B1586B"/>
    <w:rsid w:val="00B53EAA"/>
    <w:rsid w:val="00BB66FD"/>
    <w:rsid w:val="00D75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EE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4BC"/>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A83F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01F0E"/>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autoRedefine/>
    <w:uiPriority w:val="9"/>
    <w:unhideWhenUsed/>
    <w:qFormat/>
    <w:rsid w:val="006D46B0"/>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1F0E"/>
    <w:rPr>
      <w:rFonts w:ascii="Times New Roman" w:eastAsiaTheme="majorEastAsia" w:hAnsi="Times New Roman" w:cstheme="majorBidi"/>
      <w:b/>
      <w:bCs/>
      <w:color w:val="4F81BD" w:themeColor="accent1"/>
      <w:sz w:val="28"/>
      <w:szCs w:val="26"/>
      <w:lang w:val="en-GB"/>
    </w:rPr>
  </w:style>
  <w:style w:type="character" w:customStyle="1" w:styleId="Heading3Char">
    <w:name w:val="Heading 3 Char"/>
    <w:basedOn w:val="DefaultParagraphFont"/>
    <w:link w:val="Heading3"/>
    <w:uiPriority w:val="9"/>
    <w:rsid w:val="006D46B0"/>
    <w:rPr>
      <w:rFonts w:ascii="Times New Roman" w:eastAsiaTheme="majorEastAsia" w:hAnsi="Times New Roman" w:cstheme="majorBidi"/>
      <w:b/>
      <w:bCs/>
      <w:color w:val="4F81BD" w:themeColor="accent1"/>
      <w:sz w:val="24"/>
      <w:lang w:val="en-GB"/>
    </w:rPr>
  </w:style>
  <w:style w:type="character" w:customStyle="1" w:styleId="Heading1Char">
    <w:name w:val="Heading 1 Char"/>
    <w:basedOn w:val="DefaultParagraphFont"/>
    <w:link w:val="Heading1"/>
    <w:uiPriority w:val="9"/>
    <w:rsid w:val="00A83F50"/>
    <w:rPr>
      <w:rFonts w:ascii="Times New Roman" w:eastAsiaTheme="majorEastAsia" w:hAnsi="Times New Roman" w:cstheme="majorBidi"/>
      <w:b/>
      <w:bCs/>
      <w:color w:val="365F91" w:themeColor="accent1" w:themeShade="BF"/>
      <w:sz w:val="28"/>
      <w:szCs w:val="28"/>
      <w:lang w:val="en-GB"/>
    </w:rPr>
  </w:style>
  <w:style w:type="paragraph" w:styleId="Header">
    <w:name w:val="header"/>
    <w:basedOn w:val="Normal"/>
    <w:link w:val="HeaderChar"/>
    <w:uiPriority w:val="99"/>
    <w:unhideWhenUsed/>
    <w:rsid w:val="001610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101C"/>
    <w:rPr>
      <w:rFonts w:ascii="Times New Roman" w:hAnsi="Times New Roman"/>
      <w:sz w:val="24"/>
      <w:lang w:val="en-GB"/>
    </w:rPr>
  </w:style>
  <w:style w:type="paragraph" w:styleId="Footer">
    <w:name w:val="footer"/>
    <w:basedOn w:val="Normal"/>
    <w:link w:val="FooterChar"/>
    <w:uiPriority w:val="99"/>
    <w:unhideWhenUsed/>
    <w:rsid w:val="001610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01C"/>
    <w:rPr>
      <w:rFonts w:ascii="Times New Roman" w:hAnsi="Times New Roman"/>
      <w:sz w:val="24"/>
      <w:lang w:val="en-GB"/>
    </w:rPr>
  </w:style>
  <w:style w:type="paragraph" w:styleId="TOCHeading">
    <w:name w:val="TOC Heading"/>
    <w:basedOn w:val="Heading1"/>
    <w:next w:val="Normal"/>
    <w:uiPriority w:val="39"/>
    <w:semiHidden/>
    <w:unhideWhenUsed/>
    <w:qFormat/>
    <w:rsid w:val="0016101C"/>
    <w:pPr>
      <w:spacing w:line="276" w:lineRule="auto"/>
      <w:jc w:val="left"/>
      <w:outlineLvl w:val="9"/>
    </w:pPr>
    <w:rPr>
      <w:rFonts w:asciiTheme="majorHAnsi" w:hAnsiTheme="majorHAnsi"/>
      <w:lang w:val="en-US" w:eastAsia="ja-JP"/>
    </w:rPr>
  </w:style>
  <w:style w:type="paragraph" w:styleId="BalloonText">
    <w:name w:val="Balloon Text"/>
    <w:basedOn w:val="Normal"/>
    <w:link w:val="BalloonTextChar"/>
    <w:uiPriority w:val="99"/>
    <w:semiHidden/>
    <w:unhideWhenUsed/>
    <w:rsid w:val="00161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01C"/>
    <w:rPr>
      <w:rFonts w:ascii="Tahoma" w:hAnsi="Tahoma" w:cs="Tahoma"/>
      <w:sz w:val="16"/>
      <w:szCs w:val="16"/>
      <w:lang w:val="en-GB"/>
    </w:rPr>
  </w:style>
  <w:style w:type="paragraph" w:styleId="NormalWeb">
    <w:name w:val="Normal (Web)"/>
    <w:basedOn w:val="Normal"/>
    <w:uiPriority w:val="99"/>
    <w:unhideWhenUsed/>
    <w:rsid w:val="006F32CC"/>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065911">
      <w:bodyDiv w:val="1"/>
      <w:marLeft w:val="0"/>
      <w:marRight w:val="0"/>
      <w:marTop w:val="0"/>
      <w:marBottom w:val="0"/>
      <w:divBdr>
        <w:top w:val="none" w:sz="0" w:space="0" w:color="auto"/>
        <w:left w:val="none" w:sz="0" w:space="0" w:color="auto"/>
        <w:bottom w:val="none" w:sz="0" w:space="0" w:color="auto"/>
        <w:right w:val="none" w:sz="0" w:space="0" w:color="auto"/>
      </w:divBdr>
      <w:divsChild>
        <w:div w:id="1875658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E7D7A-9CFF-4767-9C69-F2ED8A5DA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1650</Words>
  <Characters>9405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2023-11-09T03:58:00Z</dcterms:created>
  <dcterms:modified xsi:type="dcterms:W3CDTF">2023-11-17T10:31:00Z</dcterms:modified>
</cp:coreProperties>
</file>