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3F001" w14:textId="77777777" w:rsidR="00185904" w:rsidRPr="00BE465E" w:rsidRDefault="00185904" w:rsidP="00185904">
      <w:pPr>
        <w:rPr>
          <w:rFonts w:ascii="Arial" w:hAnsi="Arial" w:cs="Arial"/>
        </w:rPr>
      </w:pPr>
      <w:r w:rsidRPr="00BE465E">
        <w:rPr>
          <w:rFonts w:ascii="Arial" w:hAnsi="Arial" w:cs="Arial"/>
        </w:rPr>
        <w:t xml:space="preserve">This research plan will provide a structured approach to determining the legal liability of Barry, who organised the ‘Time Stomp Festival’. The incident took place on June 14th, 2023, and resulted in multiple physical and psychological injuries being sustained by the attendees. The research will offer insight into Barry's legal culpability, applying legal doctrines and, finally, reform suggestions. The plan will establish questions to research, aims, objectives, primary and secondary sources, research methodology, and a timeline to ensure compliance with submission deadlines. </w:t>
      </w:r>
    </w:p>
    <w:p w14:paraId="732B154A" w14:textId="77777777" w:rsidR="00185904" w:rsidRPr="00BE465E" w:rsidRDefault="00185904" w:rsidP="00185904">
      <w:pPr>
        <w:rPr>
          <w:rFonts w:ascii="Arial" w:hAnsi="Arial" w:cs="Arial"/>
        </w:rPr>
      </w:pPr>
      <w:r w:rsidRPr="00BE465E">
        <w:rPr>
          <w:rFonts w:ascii="Arial" w:hAnsi="Arial" w:cs="Arial"/>
        </w:rPr>
        <w:t xml:space="preserve">The primary question is whether Barry is liable for the injuries sustained during the festival. However, to address the question effectively, it must first be dissected into a series of sub-questions. For instance, what legislation and legal obligations are enforced on event organisers? Potential negligence claims: How does the duty of care and causation apply to Barry as an event organiser? How does foreseeability impact Barry's liability? Are there any reform suggestions that can alleviate similar damage occurring in the future? These questions will enable the research to explore every possible legal implication and optimise the analysis of Barry's legal liability. </w:t>
      </w:r>
    </w:p>
    <w:p w14:paraId="56DCBF04" w14:textId="77777777" w:rsidR="00185904" w:rsidRPr="00BE465E" w:rsidRDefault="00185904" w:rsidP="00185904">
      <w:pPr>
        <w:rPr>
          <w:rFonts w:ascii="Arial" w:hAnsi="Arial" w:cs="Arial"/>
        </w:rPr>
      </w:pPr>
      <w:r w:rsidRPr="00BE465E">
        <w:rPr>
          <w:rFonts w:ascii="Arial" w:hAnsi="Arial" w:cs="Arial"/>
        </w:rPr>
        <w:t>Numerous aims should be accomplished to define the research's intentions, ensuring the research remains aligned with the purpose and efficiently answers the overall question. The aims, in this case, include assessing Barry's legal liability against UK legislation and framework for physical and psychiatric damage, evaluating the foreseeability of harm and assessing whether Barry took adequate safety precautions to mitigate those risks, and providing reform suggestions so safety standards at significant events can be further developed to mitigate risk. Next, objectives must be produced to provide action to the aims; this will provide comprehensive coverage and ensure each area of the research is addressed; these include examining the legal obligations Barry has to comply with under case law, health and safety regulations and legislation, determining whether Sarah, Jack, Mary, and Janice have a valid case, to evaluate framework that governs psychiatric claims and to suggest reform suggestions.</w:t>
      </w:r>
    </w:p>
    <w:p w14:paraId="6D98D9BD" w14:textId="77777777" w:rsidR="00185904" w:rsidRPr="00BE465E" w:rsidRDefault="00185904" w:rsidP="00185904">
      <w:pPr>
        <w:rPr>
          <w:rFonts w:ascii="Arial" w:hAnsi="Arial" w:cs="Arial"/>
        </w:rPr>
      </w:pPr>
      <w:r w:rsidRPr="00BE465E">
        <w:rPr>
          <w:rFonts w:ascii="Arial" w:hAnsi="Arial" w:cs="Arial"/>
        </w:rPr>
        <w:t xml:space="preserve">There are numerous research methodologies, and identifying the optimal approach that aligns with the problem ensures the research is reliable and accurate, which will achieve the aims and objectives and, in turn, answer the questions previously discussed. A combination of research approaches, such as doctrinal methodology, will be utilised throughout the research process. </w:t>
      </w:r>
    </w:p>
    <w:p w14:paraId="1BE606F9" w14:textId="77777777" w:rsidR="00185904" w:rsidRPr="00BE465E" w:rsidRDefault="00185904" w:rsidP="00185904">
      <w:pPr>
        <w:rPr>
          <w:rFonts w:ascii="Arial" w:hAnsi="Arial" w:cs="Arial"/>
        </w:rPr>
      </w:pPr>
      <w:r w:rsidRPr="00BE465E">
        <w:rPr>
          <w:rFonts w:ascii="Arial" w:hAnsi="Arial" w:cs="Arial"/>
        </w:rPr>
        <w:t xml:space="preserve">Doctrinal methodology forms the foundations of research by analysing case law, legislation and legal framework (Bhat, I. 2020). This is a vital research method as it will play a large part in determining Barry's culpability under the legislation, for instance, the Occupiers' Liability Act 1957 or the Consumer Protection Act 1987, or using case law, for example, Donoghue v Stevenson or Alcock v chief constable of south Yorkshire police. </w:t>
      </w:r>
    </w:p>
    <w:p w14:paraId="62A633BB" w14:textId="77777777" w:rsidR="00185904" w:rsidRPr="00BE465E" w:rsidRDefault="00185904" w:rsidP="00185904">
      <w:pPr>
        <w:rPr>
          <w:rFonts w:ascii="Arial" w:hAnsi="Arial" w:cs="Arial"/>
        </w:rPr>
      </w:pPr>
      <w:r w:rsidRPr="00BE465E">
        <w:rPr>
          <w:rFonts w:ascii="Arial" w:hAnsi="Arial" w:cs="Arial"/>
        </w:rPr>
        <w:t xml:space="preserve">The second research method is the Socio-legal methodology. This approach will fill in the gaps left with the doctrinal methodology; this research approach looks at the law, its impact on society, and how it applies in specific contexts (Bankers and Travers, 2005), such as event organisers and attendees. This will be particularly useful in psychological harm when considering the legal criteria for claims. </w:t>
      </w:r>
    </w:p>
    <w:p w14:paraId="1D1B6C65" w14:textId="77777777" w:rsidR="00185904" w:rsidRPr="00BE465E" w:rsidRDefault="00185904" w:rsidP="00185904">
      <w:pPr>
        <w:rPr>
          <w:rFonts w:ascii="Arial" w:hAnsi="Arial" w:cs="Arial"/>
        </w:rPr>
      </w:pPr>
      <w:r w:rsidRPr="00BE465E">
        <w:rPr>
          <w:rFonts w:ascii="Arial" w:hAnsi="Arial" w:cs="Arial"/>
        </w:rPr>
        <w:t xml:space="preserve">Lastly, critical theory methodology will be implemented to evaluate if the current laws and framework regulating event organisers adequately safeguard attendees and to assess what reform is necessary; according to Hunt, A. (1986), critical theory methodology challenges the pre-existing notion that law is neutral and instead suggesting that it often reflects social inequalities and power structures, this perspective is prerequisite in determining if the liability </w:t>
      </w:r>
      <w:r w:rsidRPr="00BE465E">
        <w:rPr>
          <w:rFonts w:ascii="Arial" w:hAnsi="Arial" w:cs="Arial"/>
        </w:rPr>
        <w:lastRenderedPageBreak/>
        <w:t>laws in the UK are adequate in addressing laws in regards to event safety or if additional reform is necessary to protect event goer or festival attendees further.  </w:t>
      </w:r>
    </w:p>
    <w:p w14:paraId="401A21E7" w14:textId="77777777" w:rsidR="00185904" w:rsidRPr="00BE465E" w:rsidRDefault="00185904" w:rsidP="00185904">
      <w:pPr>
        <w:rPr>
          <w:rFonts w:ascii="Arial" w:hAnsi="Arial" w:cs="Arial"/>
        </w:rPr>
      </w:pPr>
      <w:r w:rsidRPr="00BE465E">
        <w:rPr>
          <w:rFonts w:ascii="Arial" w:hAnsi="Arial" w:cs="Arial"/>
        </w:rPr>
        <w:t xml:space="preserve">The key sources in this research will be primary material like statutory and case law and secondary literature; the critical primary sources include The </w:t>
      </w:r>
      <w:r w:rsidRPr="00BE465E">
        <w:rPr>
          <w:rFonts w:ascii="Arial" w:hAnsi="Arial" w:cs="Arial"/>
          <w:i/>
          <w:iCs/>
        </w:rPr>
        <w:t>Health and Safety at Work, etc. Act 1974</w:t>
      </w:r>
      <w:r w:rsidRPr="00BE465E">
        <w:rPr>
          <w:rFonts w:ascii="Arial" w:hAnsi="Arial" w:cs="Arial"/>
        </w:rPr>
        <w:t>, The</w:t>
      </w:r>
      <w:r w:rsidRPr="00BE465E">
        <w:rPr>
          <w:rFonts w:ascii="Arial" w:hAnsi="Arial" w:cs="Arial"/>
          <w:i/>
          <w:iCs/>
        </w:rPr>
        <w:t xml:space="preserve"> Occupiers Liability Act 1957</w:t>
      </w:r>
      <w:r w:rsidRPr="00BE465E">
        <w:rPr>
          <w:rFonts w:ascii="Arial" w:hAnsi="Arial" w:cs="Arial"/>
        </w:rPr>
        <w:t xml:space="preserve">, </w:t>
      </w:r>
      <w:r w:rsidRPr="00BE465E">
        <w:rPr>
          <w:rFonts w:ascii="Arial" w:hAnsi="Arial" w:cs="Arial"/>
          <w:i/>
          <w:iCs/>
        </w:rPr>
        <w:t>The Consumers Protection Act 1987,</w:t>
      </w:r>
      <w:r w:rsidRPr="00BE465E">
        <w:rPr>
          <w:rFonts w:ascii="Arial" w:hAnsi="Arial" w:cs="Arial"/>
        </w:rPr>
        <w:t xml:space="preserve"> and case law, for instance, </w:t>
      </w:r>
      <w:proofErr w:type="spellStart"/>
      <w:r w:rsidRPr="00BE465E">
        <w:rPr>
          <w:rFonts w:ascii="Arial" w:hAnsi="Arial" w:cs="Arial"/>
          <w:i/>
          <w:iCs/>
        </w:rPr>
        <w:t>Capro</w:t>
      </w:r>
      <w:proofErr w:type="spellEnd"/>
      <w:r w:rsidRPr="00BE465E">
        <w:rPr>
          <w:rFonts w:ascii="Arial" w:hAnsi="Arial" w:cs="Arial"/>
          <w:i/>
          <w:iCs/>
        </w:rPr>
        <w:t xml:space="preserve"> Industries plc v. Dickman</w:t>
      </w:r>
      <w:r w:rsidRPr="00BE465E">
        <w:rPr>
          <w:rFonts w:ascii="Arial" w:hAnsi="Arial" w:cs="Arial"/>
        </w:rPr>
        <w:t xml:space="preserve"> (1990). The secondary literature includes journals, books and health and safety guidelines. </w:t>
      </w:r>
    </w:p>
    <w:p w14:paraId="45937222" w14:textId="77777777" w:rsidR="00185904" w:rsidRPr="00BE465E" w:rsidRDefault="00185904" w:rsidP="00185904">
      <w:pPr>
        <w:rPr>
          <w:rFonts w:ascii="Arial" w:hAnsi="Arial" w:cs="Arial"/>
        </w:rPr>
      </w:pPr>
      <w:r w:rsidRPr="00BE465E">
        <w:rPr>
          <w:rFonts w:ascii="Arial" w:hAnsi="Arial" w:cs="Arial"/>
        </w:rPr>
        <w:t xml:space="preserve">Creating a timeline is critical in staying organised and meeting deadlines. Firstly, starting on November 30th, I will start gathering key sources and applying them to the scenario at </w:t>
      </w:r>
      <w:proofErr w:type="spellStart"/>
      <w:r w:rsidRPr="00BE465E">
        <w:rPr>
          <w:rFonts w:ascii="Arial" w:hAnsi="Arial" w:cs="Arial"/>
        </w:rPr>
        <w:t>hand.</w:t>
      </w:r>
      <w:proofErr w:type="spellEnd"/>
      <w:r w:rsidRPr="00BE465E">
        <w:rPr>
          <w:rFonts w:ascii="Arial" w:hAnsi="Arial" w:cs="Arial"/>
        </w:rPr>
        <w:t xml:space="preserve">  On December 14th, I will start gathering other sources that apply to the scenario, creating a document to read and initiate applying them to the legal situation; once this is complete, I will then initiate doctrinal and socio-legal research, which will be completed by February 6th so I can compose my research create a first draft and modify it until its finalised and submit the research and findings by March 7th, I can then compose my research on reform and write a brief conclusion and submit in by the May 2nd. </w:t>
      </w:r>
    </w:p>
    <w:p w14:paraId="448E6CAD" w14:textId="77777777" w:rsidR="00185904" w:rsidRPr="00BE465E" w:rsidRDefault="00185904" w:rsidP="00185904">
      <w:pPr>
        <w:rPr>
          <w:rFonts w:ascii="Arial" w:hAnsi="Arial" w:cs="Arial"/>
        </w:rPr>
      </w:pPr>
    </w:p>
    <w:p w14:paraId="26EBF906" w14:textId="77777777" w:rsidR="00185904" w:rsidRPr="00BE465E" w:rsidRDefault="00185904" w:rsidP="00185904">
      <w:pPr>
        <w:rPr>
          <w:rFonts w:ascii="Arial" w:hAnsi="Arial" w:cs="Arial"/>
        </w:rPr>
      </w:pPr>
    </w:p>
    <w:p w14:paraId="45BD1C4B" w14:textId="77777777" w:rsidR="00185904" w:rsidRPr="00BE465E" w:rsidRDefault="00185904" w:rsidP="00185904">
      <w:pPr>
        <w:rPr>
          <w:rFonts w:ascii="Arial" w:hAnsi="Arial" w:cs="Arial"/>
        </w:rPr>
      </w:pPr>
    </w:p>
    <w:p w14:paraId="02F33D2B" w14:textId="77777777" w:rsidR="00185904" w:rsidRPr="00BE465E" w:rsidRDefault="00185904" w:rsidP="00185904">
      <w:pPr>
        <w:rPr>
          <w:rFonts w:ascii="Arial" w:hAnsi="Arial" w:cs="Arial"/>
        </w:rPr>
      </w:pPr>
    </w:p>
    <w:p w14:paraId="487E5EE1" w14:textId="77777777" w:rsidR="00185904" w:rsidRPr="00BE465E" w:rsidRDefault="00185904" w:rsidP="00185904">
      <w:pPr>
        <w:rPr>
          <w:rFonts w:ascii="Arial" w:hAnsi="Arial" w:cs="Arial"/>
        </w:rPr>
      </w:pPr>
    </w:p>
    <w:p w14:paraId="330AC9CA" w14:textId="77777777" w:rsidR="00185904" w:rsidRPr="00BE465E" w:rsidRDefault="00185904" w:rsidP="00185904">
      <w:pPr>
        <w:rPr>
          <w:rFonts w:ascii="Arial" w:hAnsi="Arial" w:cs="Arial"/>
        </w:rPr>
      </w:pPr>
    </w:p>
    <w:p w14:paraId="3FEC1204" w14:textId="77777777" w:rsidR="00185904" w:rsidRPr="00BE465E" w:rsidRDefault="00185904" w:rsidP="00185904">
      <w:pPr>
        <w:rPr>
          <w:rFonts w:ascii="Arial" w:hAnsi="Arial" w:cs="Arial"/>
        </w:rPr>
      </w:pPr>
    </w:p>
    <w:p w14:paraId="5E7BEFCE" w14:textId="77777777" w:rsidR="00185904" w:rsidRPr="00BE465E" w:rsidRDefault="00185904" w:rsidP="00185904">
      <w:pPr>
        <w:rPr>
          <w:rFonts w:ascii="Arial" w:hAnsi="Arial" w:cs="Arial"/>
        </w:rPr>
      </w:pPr>
    </w:p>
    <w:p w14:paraId="53AB8F32" w14:textId="77777777" w:rsidR="00185904" w:rsidRPr="00BE465E" w:rsidRDefault="00185904" w:rsidP="00185904">
      <w:pPr>
        <w:rPr>
          <w:rFonts w:ascii="Arial" w:hAnsi="Arial" w:cs="Arial"/>
        </w:rPr>
      </w:pPr>
    </w:p>
    <w:p w14:paraId="77A15770" w14:textId="77777777" w:rsidR="00185904" w:rsidRPr="00BE465E" w:rsidRDefault="00185904" w:rsidP="00185904">
      <w:pPr>
        <w:rPr>
          <w:rFonts w:ascii="Arial" w:hAnsi="Arial" w:cs="Arial"/>
        </w:rPr>
      </w:pPr>
    </w:p>
    <w:p w14:paraId="03A46192" w14:textId="77777777" w:rsidR="00185904" w:rsidRPr="00BE465E" w:rsidRDefault="00185904" w:rsidP="00185904">
      <w:pPr>
        <w:rPr>
          <w:rFonts w:ascii="Arial" w:hAnsi="Arial" w:cs="Arial"/>
        </w:rPr>
      </w:pPr>
    </w:p>
    <w:p w14:paraId="543FD782" w14:textId="77777777" w:rsidR="00185904" w:rsidRPr="00BE465E" w:rsidRDefault="00185904" w:rsidP="00185904">
      <w:pPr>
        <w:rPr>
          <w:rFonts w:ascii="Arial" w:hAnsi="Arial" w:cs="Arial"/>
        </w:rPr>
      </w:pPr>
    </w:p>
    <w:p w14:paraId="303B7C48" w14:textId="77777777" w:rsidR="00185904" w:rsidRPr="00BE465E" w:rsidRDefault="00185904" w:rsidP="00185904">
      <w:pPr>
        <w:rPr>
          <w:rFonts w:ascii="Arial" w:hAnsi="Arial" w:cs="Arial"/>
        </w:rPr>
      </w:pPr>
    </w:p>
    <w:p w14:paraId="751B98C4" w14:textId="77777777" w:rsidR="00185904" w:rsidRPr="00BE465E" w:rsidRDefault="00185904" w:rsidP="00185904">
      <w:pPr>
        <w:rPr>
          <w:rFonts w:ascii="Arial" w:hAnsi="Arial" w:cs="Arial"/>
        </w:rPr>
      </w:pPr>
    </w:p>
    <w:p w14:paraId="3EC08366" w14:textId="77777777" w:rsidR="00185904" w:rsidRPr="00BE465E" w:rsidRDefault="00185904" w:rsidP="00185904">
      <w:pPr>
        <w:rPr>
          <w:rFonts w:ascii="Arial" w:hAnsi="Arial" w:cs="Arial"/>
        </w:rPr>
      </w:pPr>
    </w:p>
    <w:p w14:paraId="7A7DC4FB" w14:textId="77777777" w:rsidR="00185904" w:rsidRPr="00BE465E" w:rsidRDefault="00185904" w:rsidP="00185904">
      <w:pPr>
        <w:rPr>
          <w:rFonts w:ascii="Arial" w:hAnsi="Arial" w:cs="Arial"/>
        </w:rPr>
      </w:pPr>
    </w:p>
    <w:p w14:paraId="45FAC4B9" w14:textId="77777777" w:rsidR="00185904" w:rsidRPr="00BE465E" w:rsidRDefault="00185904" w:rsidP="00185904">
      <w:pPr>
        <w:rPr>
          <w:rFonts w:ascii="Arial" w:hAnsi="Arial" w:cs="Arial"/>
        </w:rPr>
      </w:pPr>
    </w:p>
    <w:p w14:paraId="4059CAA5" w14:textId="77777777" w:rsidR="00185904" w:rsidRPr="00BE465E" w:rsidRDefault="00185904" w:rsidP="00185904">
      <w:pPr>
        <w:rPr>
          <w:rFonts w:ascii="Arial" w:hAnsi="Arial" w:cs="Arial"/>
        </w:rPr>
      </w:pPr>
    </w:p>
    <w:p w14:paraId="4FBFE2D3" w14:textId="77777777" w:rsidR="00185904" w:rsidRPr="00BE465E" w:rsidRDefault="00185904" w:rsidP="00185904">
      <w:pPr>
        <w:rPr>
          <w:rFonts w:ascii="Arial" w:hAnsi="Arial" w:cs="Arial"/>
        </w:rPr>
      </w:pPr>
    </w:p>
    <w:p w14:paraId="0F6D8C0D" w14:textId="77777777" w:rsidR="00185904" w:rsidRPr="00BE465E" w:rsidRDefault="00185904" w:rsidP="00185904">
      <w:pPr>
        <w:rPr>
          <w:rFonts w:ascii="Arial" w:hAnsi="Arial" w:cs="Arial"/>
        </w:rPr>
      </w:pPr>
    </w:p>
    <w:p w14:paraId="498BB5F2" w14:textId="77777777" w:rsidR="00BE465E" w:rsidRDefault="00BE465E" w:rsidP="00185904">
      <w:pPr>
        <w:rPr>
          <w:rFonts w:ascii="Arial" w:hAnsi="Arial" w:cs="Arial"/>
        </w:rPr>
      </w:pPr>
    </w:p>
    <w:p w14:paraId="78A28890" w14:textId="3826F4D7" w:rsidR="00185904" w:rsidRPr="00BE465E" w:rsidRDefault="00185904" w:rsidP="00185904">
      <w:pPr>
        <w:rPr>
          <w:rFonts w:ascii="Arial" w:hAnsi="Arial" w:cs="Arial"/>
        </w:rPr>
      </w:pPr>
      <w:r w:rsidRPr="00BE465E">
        <w:rPr>
          <w:rFonts w:ascii="Arial" w:hAnsi="Arial" w:cs="Arial"/>
        </w:rPr>
        <w:lastRenderedPageBreak/>
        <w:t xml:space="preserve">This report examines Barry's potential legal liability; Barry was the organiser of the 'Time Stomp' festival, where a series of injuries occurred due to a catastrophic firework malfunction. Multiple legal frameworks will be utilised to determine culpability, such as the </w:t>
      </w:r>
      <w:r w:rsidRPr="00BE465E">
        <w:rPr>
          <w:rFonts w:ascii="Arial" w:hAnsi="Arial" w:cs="Arial"/>
          <w:i/>
          <w:iCs/>
          <w:highlight w:val="yellow"/>
        </w:rPr>
        <w:t>Occupiers Liability Act 1957</w:t>
      </w:r>
      <w:r w:rsidRPr="00BE465E">
        <w:rPr>
          <w:rFonts w:ascii="Arial" w:hAnsi="Arial" w:cs="Arial"/>
        </w:rPr>
        <w:t xml:space="preserve"> and the </w:t>
      </w:r>
      <w:r w:rsidRPr="00BE465E">
        <w:rPr>
          <w:rFonts w:ascii="Arial" w:hAnsi="Arial" w:cs="Arial"/>
          <w:i/>
          <w:iCs/>
          <w:highlight w:val="yellow"/>
        </w:rPr>
        <w:t>Health and Safety at Work Act 1974</w:t>
      </w:r>
      <w:r w:rsidRPr="00BE465E">
        <w:rPr>
          <w:rFonts w:ascii="Arial" w:hAnsi="Arial" w:cs="Arial"/>
        </w:rPr>
        <w:t xml:space="preserve">, and common law principles on negligence will also be evaluated. During the incident, a crowd stampede occurred due to the panic of the initial firework malfunction; this raises questions regarding the adequacy of Barry's crowd management and whether harm was foreseeable; central to the analysis is the injuries sustained by Sarah where Barry's prospective breach will be scrutinised by comparing the incident to already established case law such as </w:t>
      </w:r>
      <w:r w:rsidRPr="00BE465E">
        <w:rPr>
          <w:rFonts w:ascii="Arial" w:hAnsi="Arial" w:cs="Arial"/>
          <w:i/>
          <w:iCs/>
          <w:highlight w:val="yellow"/>
        </w:rPr>
        <w:t>Caparo v Dickman</w:t>
      </w:r>
      <w:r w:rsidRPr="00BE465E">
        <w:rPr>
          <w:rFonts w:ascii="Arial" w:hAnsi="Arial" w:cs="Arial"/>
          <w:i/>
          <w:iCs/>
        </w:rPr>
        <w:t xml:space="preserve">. </w:t>
      </w:r>
      <w:r w:rsidRPr="00BE465E">
        <w:rPr>
          <w:rFonts w:ascii="Arial" w:hAnsi="Arial" w:cs="Arial"/>
        </w:rPr>
        <w:t xml:space="preserve">In addition, the report will analyse the psychological injuries of secondary victims, such as Jack's PTSD, Mary's anxiety disorder and the development of Janice's depression and underscore how complex achieving liability for psychiatric harm is. The paper will address inter alia causation, foreseeability, proximity, and the eggshell rule. This report will assert that Barry had insufficient crowd management, failed to comply with statutory and case law, and is legally liable for the injuries at the stop festival. </w:t>
      </w:r>
    </w:p>
    <w:p w14:paraId="0E5E0536" w14:textId="77777777" w:rsidR="00185904" w:rsidRPr="00BE465E" w:rsidRDefault="00185904" w:rsidP="00185904">
      <w:pPr>
        <w:rPr>
          <w:rFonts w:ascii="Arial" w:hAnsi="Arial" w:cs="Arial"/>
        </w:rPr>
      </w:pPr>
      <w:r w:rsidRPr="00BE465E">
        <w:rPr>
          <w:rFonts w:ascii="Arial" w:eastAsia="Arial" w:hAnsi="Arial" w:cs="Arial"/>
          <w:color w:val="0E101A"/>
        </w:rPr>
        <w:t xml:space="preserve">Firstly, it can be demonstrated that Barry owes a duty of care; this is established due to several statutory frameworks imposing multiple legal obligations. </w:t>
      </w:r>
      <w:r w:rsidRPr="00BE465E">
        <w:rPr>
          <w:rFonts w:ascii="Arial" w:eastAsia="Arial" w:hAnsi="Arial" w:cs="Arial"/>
          <w:color w:val="0E101A"/>
          <w:highlight w:val="yellow"/>
        </w:rPr>
        <w:t xml:space="preserve">The </w:t>
      </w:r>
      <w:r w:rsidRPr="00BE465E">
        <w:rPr>
          <w:rFonts w:ascii="Arial" w:eastAsia="Arial" w:hAnsi="Arial" w:cs="Arial"/>
          <w:i/>
          <w:iCs/>
          <w:color w:val="0E101A"/>
          <w:highlight w:val="yellow"/>
        </w:rPr>
        <w:t>Occupiers Liability Act 1957 (s2.2)</w:t>
      </w:r>
      <w:r w:rsidRPr="00BE465E">
        <w:rPr>
          <w:rFonts w:ascii="Arial" w:eastAsia="Arial" w:hAnsi="Arial" w:cs="Arial"/>
          <w:color w:val="0E101A"/>
        </w:rPr>
        <w:t xml:space="preserve"> enforces that Barry safeguards all visitors from unreasonable risks that are associated with the premises; this stipulates a clear duty to ameliorate evident and latent hazards; however, it does propose the question of what a reasonable risk is, the framework could be more apparent. The case of </w:t>
      </w:r>
      <w:r w:rsidRPr="00BE465E">
        <w:rPr>
          <w:rFonts w:ascii="Arial" w:eastAsia="Arial" w:hAnsi="Arial" w:cs="Arial"/>
          <w:color w:val="0E101A"/>
          <w:highlight w:val="yellow"/>
        </w:rPr>
        <w:t>Bolton v Stone (1951)</w:t>
      </w:r>
      <w:r w:rsidRPr="00BE465E">
        <w:rPr>
          <w:rFonts w:ascii="Arial" w:eastAsia="Arial" w:hAnsi="Arial" w:cs="Arial"/>
          <w:color w:val="0E101A"/>
        </w:rPr>
        <w:t xml:space="preserve"> is a seminal case which illustrates reasonable risk; a cricket ball left the cricket grounds and struck a passerby, and the court ruled that although some risk was foreseeable, the probability that the risk would occur was so low, it did not justify adding extra safety precautions, comparing this case it can be assessed that Barry's use of fireworks at the event makes the likelihood of harm more significant and the risk of harm foreseeable suggesting that Barry allowed unreasonable risk to persist as he did not implement additional safety precautions</w:t>
      </w:r>
      <w:r w:rsidRPr="00BE465E">
        <w:rPr>
          <w:rFonts w:ascii="Arial" w:eastAsia="Arial" w:hAnsi="Arial" w:cs="Arial"/>
          <w:color w:val="0E101A"/>
          <w:highlight w:val="yellow"/>
        </w:rPr>
        <w:t>, Paris V Stepney Borough council (1951)</w:t>
      </w:r>
      <w:r w:rsidRPr="00BE465E">
        <w:rPr>
          <w:rFonts w:ascii="Arial" w:eastAsia="Arial" w:hAnsi="Arial" w:cs="Arial"/>
          <w:color w:val="0E101A"/>
        </w:rPr>
        <w:t xml:space="preserve"> underscores this as the courts noted that there is a higher of duty of care owed when there is a high magnitude of potential harm even if the risk of the harm occurring is low, highlighting that despite the risk of the firework malfunction or crowd stampede being low, the potential risk means more precautions should have been in place. Barry's failure to mitigate risks and poor crowd control contributed to the attendee's injuries and made Barry responsible for Sarah's injuries.</w:t>
      </w:r>
    </w:p>
    <w:p w14:paraId="47FA96B3" w14:textId="14F40E54" w:rsidR="00185904" w:rsidRPr="00BE465E" w:rsidRDefault="00185904" w:rsidP="00185904">
      <w:pPr>
        <w:rPr>
          <w:rFonts w:ascii="Arial" w:hAnsi="Arial" w:cs="Arial"/>
        </w:rPr>
      </w:pPr>
      <w:r w:rsidRPr="00BE465E">
        <w:rPr>
          <w:rFonts w:ascii="Arial" w:hAnsi="Arial" w:cs="Arial"/>
        </w:rPr>
        <w:t xml:space="preserve">Additionally, the </w:t>
      </w:r>
      <w:r w:rsidRPr="00BE465E">
        <w:rPr>
          <w:rFonts w:ascii="Arial" w:hAnsi="Arial" w:cs="Arial"/>
          <w:i/>
          <w:iCs/>
          <w:highlight w:val="yellow"/>
        </w:rPr>
        <w:t>Health and Safety at Work Act 1974</w:t>
      </w:r>
      <w:r w:rsidRPr="00BE465E">
        <w:rPr>
          <w:rFonts w:ascii="Arial" w:hAnsi="Arial" w:cs="Arial"/>
        </w:rPr>
        <w:t xml:space="preserve"> establishes more duties, for instance, ensuring the health of the public and employees; the Management of </w:t>
      </w:r>
      <w:r w:rsidRPr="00BE465E">
        <w:rPr>
          <w:rFonts w:ascii="Arial" w:hAnsi="Arial" w:cs="Arial"/>
          <w:highlight w:val="yellow"/>
        </w:rPr>
        <w:t>Health and Safety at Work Regulations 1999</w:t>
      </w:r>
      <w:r w:rsidRPr="00BE465E">
        <w:rPr>
          <w:rFonts w:ascii="Arial" w:hAnsi="Arial" w:cs="Arial"/>
        </w:rPr>
        <w:t xml:space="preserve"> further mandated this by implementing risk assessments and safety measures; regulation 3 signifies Barry should have identified the hazard and assessed the risk of the fireworks and what could occur if a malfunction occurred making the risk foreseeable, the </w:t>
      </w:r>
      <w:r w:rsidRPr="00BE465E">
        <w:rPr>
          <w:rFonts w:ascii="Arial" w:hAnsi="Arial" w:cs="Arial"/>
          <w:highlight w:val="yellow"/>
        </w:rPr>
        <w:t>Firework Regulations 2004</w:t>
      </w:r>
      <w:r w:rsidRPr="00BE465E">
        <w:rPr>
          <w:rFonts w:ascii="Arial" w:hAnsi="Arial" w:cs="Arial"/>
        </w:rPr>
        <w:t xml:space="preserve"> regulation 4 provides standards for the handling, storage and use of fireworks, these provisions Barry failed to uphold. If a secondary contractor was responsible for the fireworks display, Barry could still be liable by vicarious liability when an employer is held responsible for the employee's acts (Morgan, P, 2012). The case of </w:t>
      </w:r>
      <w:r w:rsidRPr="00BE465E">
        <w:rPr>
          <w:rFonts w:ascii="Arial" w:hAnsi="Arial" w:cs="Arial"/>
          <w:highlight w:val="yellow"/>
        </w:rPr>
        <w:t>Mohamud v WN Morrison Supermarkets plc (2016)</w:t>
      </w:r>
      <w:r w:rsidRPr="00BE465E">
        <w:rPr>
          <w:rFonts w:ascii="Arial" w:hAnsi="Arial" w:cs="Arial"/>
        </w:rPr>
        <w:t xml:space="preserve"> supports this; even if Barry was not continuously controlling or overseeing the contractor, he might be vicariously liable; the </w:t>
      </w:r>
      <w:r w:rsidRPr="00BE465E">
        <w:rPr>
          <w:rFonts w:ascii="Arial" w:hAnsi="Arial" w:cs="Arial"/>
          <w:highlight w:val="yellow"/>
        </w:rPr>
        <w:t>Employment Rights Act 1996</w:t>
      </w:r>
      <w:r w:rsidRPr="00BE465E">
        <w:rPr>
          <w:rFonts w:ascii="Arial" w:hAnsi="Arial" w:cs="Arial"/>
        </w:rPr>
        <w:t xml:space="preserve"> further supports holding the employer liable. Barry did not oversee the contractor and, therefore, breached his duty of care and is responsible for Sarah's injuries. </w:t>
      </w:r>
    </w:p>
    <w:p w14:paraId="071EFECA" w14:textId="4ADE59F2" w:rsidR="00185904" w:rsidRPr="00BE465E" w:rsidRDefault="001D35A3" w:rsidP="76A4B8F2">
      <w:pPr>
        <w:rPr>
          <w:rFonts w:ascii="Arial" w:hAnsi="Arial" w:cs="Arial"/>
        </w:rPr>
      </w:pPr>
      <w:r w:rsidRPr="00BE465E">
        <w:rPr>
          <w:rFonts w:ascii="Arial" w:hAnsi="Arial" w:cs="Arial"/>
        </w:rPr>
        <w:t>Moreover</w:t>
      </w:r>
      <w:r w:rsidR="00185904" w:rsidRPr="00BE465E">
        <w:rPr>
          <w:rFonts w:ascii="Arial" w:hAnsi="Arial" w:cs="Arial"/>
        </w:rPr>
        <w:t xml:space="preserve">, </w:t>
      </w:r>
      <w:r w:rsidR="00185904" w:rsidRPr="00BE465E">
        <w:rPr>
          <w:rFonts w:ascii="Arial" w:hAnsi="Arial" w:cs="Arial"/>
          <w:highlight w:val="yellow"/>
        </w:rPr>
        <w:t>The Wagon Mound (no 1) (1961)</w:t>
      </w:r>
      <w:r w:rsidR="00185904" w:rsidRPr="00BE465E">
        <w:rPr>
          <w:rFonts w:ascii="Arial" w:hAnsi="Arial" w:cs="Arial"/>
        </w:rPr>
        <w:t xml:space="preserve"> establishes that Barry will only be held liable for anything that is reasonably foreseeable; the large crowd and risk of the fireworks make the </w:t>
      </w:r>
      <w:r w:rsidR="00185904" w:rsidRPr="00BE465E">
        <w:rPr>
          <w:rFonts w:ascii="Arial" w:hAnsi="Arial" w:cs="Arial"/>
        </w:rPr>
        <w:lastRenderedPageBreak/>
        <w:t xml:space="preserve">damage reasonably foreseeable; however, it could be argued that Sarah freezing in panic and being trampled is too remote to be foreseeable, </w:t>
      </w:r>
      <w:r w:rsidR="782F296F" w:rsidRPr="00BE465E">
        <w:rPr>
          <w:rFonts w:ascii="Arial" w:hAnsi="Arial" w:cs="Arial"/>
        </w:rPr>
        <w:t xml:space="preserve">and due to Sarah freezing she was trampled, </w:t>
      </w:r>
      <w:r w:rsidR="00185904" w:rsidRPr="00BE465E">
        <w:rPr>
          <w:rFonts w:ascii="Arial" w:hAnsi="Arial" w:cs="Arial"/>
        </w:rPr>
        <w:t xml:space="preserve">but due to Barry failing to control the crowd or providing emergency exit routes which is a requirement under regulation 8 of the </w:t>
      </w:r>
      <w:r w:rsidR="00185904" w:rsidRPr="00BE465E">
        <w:rPr>
          <w:rFonts w:ascii="Arial" w:hAnsi="Arial" w:cs="Arial"/>
          <w:highlight w:val="yellow"/>
        </w:rPr>
        <w:t>Management of Health and Safety at Work Regulations 1999</w:t>
      </w:r>
      <w:r w:rsidR="00185904" w:rsidRPr="00BE465E">
        <w:rPr>
          <w:rFonts w:ascii="Arial" w:hAnsi="Arial" w:cs="Arial"/>
        </w:rPr>
        <w:t>, it is likely Barry is liable and should expect indirect risk</w:t>
      </w:r>
      <w:r w:rsidR="21FD911B" w:rsidRPr="00BE465E">
        <w:rPr>
          <w:rFonts w:ascii="Arial" w:hAnsi="Arial" w:cs="Arial"/>
        </w:rPr>
        <w:t xml:space="preserve"> to occur in a densely populated festival.</w:t>
      </w:r>
    </w:p>
    <w:p w14:paraId="73741FB3" w14:textId="7C91E429" w:rsidR="00185904" w:rsidRPr="00BE465E" w:rsidRDefault="5D7E16CC" w:rsidP="00185904">
      <w:pPr>
        <w:rPr>
          <w:rFonts w:ascii="Arial" w:hAnsi="Arial" w:cs="Arial"/>
        </w:rPr>
      </w:pPr>
      <w:r w:rsidRPr="00BE465E">
        <w:rPr>
          <w:rFonts w:ascii="Arial" w:hAnsi="Arial" w:cs="Arial"/>
        </w:rPr>
        <w:t>Furthermore,</w:t>
      </w:r>
      <w:r w:rsidR="00185904" w:rsidRPr="00BE465E">
        <w:rPr>
          <w:rFonts w:ascii="Arial" w:hAnsi="Arial" w:cs="Arial"/>
        </w:rPr>
        <w:t xml:space="preserve"> </w:t>
      </w:r>
      <w:r w:rsidR="00185904" w:rsidRPr="00BE465E">
        <w:rPr>
          <w:rFonts w:ascii="Arial" w:hAnsi="Arial" w:cs="Arial"/>
          <w:highlight w:val="yellow"/>
        </w:rPr>
        <w:t>The Caparo Industries plc v Dickman</w:t>
      </w:r>
      <w:r w:rsidR="00185904" w:rsidRPr="00BE465E">
        <w:rPr>
          <w:rFonts w:ascii="Arial" w:hAnsi="Arial" w:cs="Arial"/>
        </w:rPr>
        <w:t xml:space="preserve"> case establishes a three-part test to determine if a duty of care exists in negligence; this test is harm being foreseeable, proximity, and if it is fair and just to impose a duty of care, it has been concluded that the incident was foreseeable due to fireworks being mismanaged and the number of people. </w:t>
      </w:r>
      <w:r w:rsidR="00185904" w:rsidRPr="00BE465E">
        <w:rPr>
          <w:rFonts w:ascii="Arial" w:hAnsi="Arial" w:cs="Arial"/>
          <w:highlight w:val="yellow"/>
        </w:rPr>
        <w:t xml:space="preserve">In </w:t>
      </w:r>
      <w:proofErr w:type="spellStart"/>
      <w:r w:rsidR="00185904" w:rsidRPr="00BE465E">
        <w:rPr>
          <w:rFonts w:ascii="Arial" w:hAnsi="Arial" w:cs="Arial"/>
          <w:highlight w:val="yellow"/>
        </w:rPr>
        <w:t>Donoughue</w:t>
      </w:r>
      <w:proofErr w:type="spellEnd"/>
      <w:r w:rsidR="00185904" w:rsidRPr="00BE465E">
        <w:rPr>
          <w:rFonts w:ascii="Arial" w:hAnsi="Arial" w:cs="Arial"/>
          <w:highlight w:val="yellow"/>
        </w:rPr>
        <w:t xml:space="preserve"> v Stevenson</w:t>
      </w:r>
      <w:r w:rsidR="00185904" w:rsidRPr="00BE465E">
        <w:rPr>
          <w:rFonts w:ascii="Arial" w:hAnsi="Arial" w:cs="Arial"/>
        </w:rPr>
        <w:t xml:space="preserve">, the 'neighbour principle' was developed; </w:t>
      </w:r>
      <w:proofErr w:type="gramStart"/>
      <w:r w:rsidR="00185904" w:rsidRPr="00BE465E">
        <w:rPr>
          <w:rFonts w:ascii="Arial" w:hAnsi="Arial" w:cs="Arial"/>
        </w:rPr>
        <w:t>this required individuals</w:t>
      </w:r>
      <w:proofErr w:type="gramEnd"/>
      <w:r w:rsidR="00185904" w:rsidRPr="00BE465E">
        <w:rPr>
          <w:rFonts w:ascii="Arial" w:hAnsi="Arial" w:cs="Arial"/>
        </w:rPr>
        <w:t xml:space="preserve"> to take reasonable care to avoid acts or omissions that could injure those directly affected by their actions. Barry's actions directly impacted Sarah and the other attendees, and, in turn, proximity is satisfied. It is fair and just to impose a duty of care on Barry; he is an event manager responsible for mitigating risks and held to a strict legal framework, which he did not meet. </w:t>
      </w:r>
    </w:p>
    <w:p w14:paraId="48F10B97" w14:textId="50B938B4" w:rsidR="00185904" w:rsidRPr="00BE465E" w:rsidRDefault="33D50ABA" w:rsidP="00185904">
      <w:pPr>
        <w:rPr>
          <w:rFonts w:ascii="Arial" w:hAnsi="Arial" w:cs="Arial"/>
        </w:rPr>
      </w:pPr>
      <w:r w:rsidRPr="00BE465E">
        <w:rPr>
          <w:rFonts w:ascii="Arial" w:hAnsi="Arial" w:cs="Arial"/>
        </w:rPr>
        <w:t>Similarly</w:t>
      </w:r>
      <w:r w:rsidR="24ABE229" w:rsidRPr="00BE465E">
        <w:rPr>
          <w:rFonts w:ascii="Arial" w:hAnsi="Arial" w:cs="Arial"/>
        </w:rPr>
        <w:t>, t</w:t>
      </w:r>
      <w:r w:rsidR="00185904" w:rsidRPr="00BE465E">
        <w:rPr>
          <w:rFonts w:ascii="Arial" w:hAnsi="Arial" w:cs="Arial"/>
        </w:rPr>
        <w:t xml:space="preserve">he 'but for' test was established in </w:t>
      </w:r>
      <w:r w:rsidR="00185904" w:rsidRPr="00BE465E">
        <w:rPr>
          <w:rFonts w:ascii="Arial" w:hAnsi="Arial" w:cs="Arial"/>
          <w:highlight w:val="yellow"/>
        </w:rPr>
        <w:t>Barnett v Chelsea &amp; Kensington Hospital (1969</w:t>
      </w:r>
      <w:r w:rsidR="00185904" w:rsidRPr="00BE465E">
        <w:rPr>
          <w:rFonts w:ascii="Arial" w:hAnsi="Arial" w:cs="Arial"/>
        </w:rPr>
        <w:t xml:space="preserve">) and is used to determine factual causation. According to Ormerod and Perry (2024), the 'but for' test establishes if the harm would have occurred without the defendant's action; if it would the but for test is not satisfied, it is apparent that if the firework malfunction did not happen, and Barry controlled the crowd by implementing safety precautions, </w:t>
      </w:r>
      <w:r w:rsidR="5C7C806A" w:rsidRPr="00BE465E">
        <w:rPr>
          <w:rFonts w:ascii="Arial" w:hAnsi="Arial" w:cs="Arial"/>
        </w:rPr>
        <w:t>Sarah's</w:t>
      </w:r>
      <w:r w:rsidR="00185904" w:rsidRPr="00BE465E">
        <w:rPr>
          <w:rFonts w:ascii="Arial" w:hAnsi="Arial" w:cs="Arial"/>
        </w:rPr>
        <w:t xml:space="preserve"> injuries would not of </w:t>
      </w:r>
      <w:r w:rsidR="5C7C806A" w:rsidRPr="00BE465E">
        <w:rPr>
          <w:rFonts w:ascii="Arial" w:hAnsi="Arial" w:cs="Arial"/>
        </w:rPr>
        <w:t>occurred</w:t>
      </w:r>
      <w:r w:rsidR="00185904" w:rsidRPr="00BE465E">
        <w:rPr>
          <w:rFonts w:ascii="Arial" w:hAnsi="Arial" w:cs="Arial"/>
        </w:rPr>
        <w:t xml:space="preserve">, establishing factual causation. Barry's culpability may be reduced due to contributory negligence; Bob moved Sarah, which could have worsened her injuries; if it can be proven that waiting for paramedics would have been safer, then contributory negligence may apply. Buckley, A. (2018) states that if a rescue is unreasonable, damages can be reduced for contributory negligence; if Bob believed Sarah was in immediate harm and acted in an emergency, he would not be found contributory negligent as seen in </w:t>
      </w:r>
      <w:r w:rsidR="00185904" w:rsidRPr="00BE465E">
        <w:rPr>
          <w:rFonts w:ascii="Arial" w:hAnsi="Arial" w:cs="Arial"/>
          <w:highlight w:val="yellow"/>
        </w:rPr>
        <w:t>Chadwick v British Railways Board (</w:t>
      </w:r>
      <w:r w:rsidR="00185904" w:rsidRPr="00BE465E">
        <w:rPr>
          <w:rFonts w:ascii="Arial" w:hAnsi="Arial" w:cs="Arial"/>
        </w:rPr>
        <w:t xml:space="preserve">1967). </w:t>
      </w:r>
    </w:p>
    <w:p w14:paraId="04236C60" w14:textId="77777777" w:rsidR="0039045D" w:rsidRPr="00BE465E" w:rsidRDefault="0039045D" w:rsidP="0039045D">
      <w:pPr>
        <w:rPr>
          <w:rFonts w:ascii="Arial" w:hAnsi="Arial" w:cs="Arial"/>
        </w:rPr>
      </w:pPr>
      <w:r w:rsidRPr="00BE465E">
        <w:rPr>
          <w:rFonts w:ascii="Arial" w:hAnsi="Arial" w:cs="Arial"/>
        </w:rPr>
        <w:t xml:space="preserve">Next, Barry may be held liable for Jack's claim for psychiatric injury; Jack meets the strict criteria that are laid out in the </w:t>
      </w:r>
      <w:r w:rsidRPr="00BE465E">
        <w:rPr>
          <w:rFonts w:ascii="Arial" w:hAnsi="Arial" w:cs="Arial"/>
          <w:highlight w:val="yellow"/>
        </w:rPr>
        <w:t>Alcock v Chief Constable of South Yorkshire (1991)</w:t>
      </w:r>
      <w:r w:rsidRPr="00BE465E">
        <w:rPr>
          <w:rFonts w:ascii="Arial" w:hAnsi="Arial" w:cs="Arial"/>
        </w:rPr>
        <w:t xml:space="preserve"> to claim as a secondary victim; Jack was in close proximity to the physical event that transpired and there when the primary victim was injured, fulfilling the need for direct exposure. Jack has a close personal connection to Sarah as he is in a relationship with her, satisfying the need for a close relationship mandated by the case. Jack's diagnosis of PTSD is a medically recognised psychiatric injury which occurred due to the event and witnessing Sarah's injury. The combination of these three factors renders Jack a secondary victim.</w:t>
      </w:r>
    </w:p>
    <w:p w14:paraId="5E014529" w14:textId="77777777" w:rsidR="0039045D" w:rsidRPr="00BE465E" w:rsidRDefault="0039045D" w:rsidP="0039045D">
      <w:pPr>
        <w:rPr>
          <w:rFonts w:ascii="Arial" w:hAnsi="Arial" w:cs="Arial"/>
        </w:rPr>
      </w:pPr>
      <w:r w:rsidRPr="00BE465E">
        <w:rPr>
          <w:rFonts w:ascii="Arial" w:hAnsi="Arial" w:cs="Arial"/>
        </w:rPr>
        <w:t xml:space="preserve">In contrast, Jack may also be classified as a primary victim; according to </w:t>
      </w:r>
      <w:r w:rsidRPr="00BE465E">
        <w:rPr>
          <w:rFonts w:ascii="Arial" w:hAnsi="Arial" w:cs="Arial"/>
          <w:highlight w:val="yellow"/>
        </w:rPr>
        <w:t>Page v Smith (1996),</w:t>
      </w:r>
      <w:r w:rsidRPr="00BE465E">
        <w:rPr>
          <w:rFonts w:ascii="Arial" w:hAnsi="Arial" w:cs="Arial"/>
        </w:rPr>
        <w:t xml:space="preserve"> a primary victim is someone directly involved in an accident or within the range of foreseeable danger. Jack was hurt with bruises and superficial cuts while being caught in the stampede, which is the immediate zone of danger. Jack arguing primary victim status could simplify his claim by focusing on the foreseeability of harm, which is evident, as opposed to Jack providing the proof that is needed for secondary victims. According to Butterworths Personal Injury Litigation service (2025), Jack can recover damages for his PTSD as a primary victim if the occurrence of physical injury was reasonably foreseeable due to Bob's negligence, even if there was no physical injury sustained; however, the psychiatric illness must be recognised. Jack's PTSD is a recognised illness, and he did sustain minor injuries; Barry may be held liable for Jack's PTSD. </w:t>
      </w:r>
    </w:p>
    <w:p w14:paraId="71C72F20" w14:textId="6815160E" w:rsidR="0039045D" w:rsidRPr="00BE465E" w:rsidRDefault="0039045D" w:rsidP="0039045D">
      <w:pPr>
        <w:rPr>
          <w:rFonts w:ascii="Arial" w:hAnsi="Arial" w:cs="Arial"/>
        </w:rPr>
      </w:pPr>
      <w:r w:rsidRPr="00BE465E">
        <w:rPr>
          <w:rFonts w:ascii="Arial" w:hAnsi="Arial" w:cs="Arial"/>
        </w:rPr>
        <w:lastRenderedPageBreak/>
        <w:t xml:space="preserve">However, Jack could face complications in proving causation if he already had pre-existing mental health conditions that caused the PTSD to manifest; despite this, </w:t>
      </w:r>
      <w:r w:rsidRPr="00BE465E">
        <w:rPr>
          <w:rFonts w:ascii="Arial" w:hAnsi="Arial" w:cs="Arial"/>
          <w:highlight w:val="yellow"/>
        </w:rPr>
        <w:t>Smith v Leech Brain &amp; Co Ltd 1962</w:t>
      </w:r>
      <w:r w:rsidRPr="00BE465E">
        <w:rPr>
          <w:rFonts w:ascii="Arial" w:hAnsi="Arial" w:cs="Arial"/>
        </w:rPr>
        <w:t xml:space="preserve"> </w:t>
      </w:r>
      <w:r w:rsidR="00466C3A" w:rsidRPr="00BE465E">
        <w:rPr>
          <w:rFonts w:ascii="Arial" w:hAnsi="Arial" w:cs="Arial"/>
        </w:rPr>
        <w:t xml:space="preserve">means </w:t>
      </w:r>
      <w:r w:rsidRPr="00BE465E">
        <w:rPr>
          <w:rFonts w:ascii="Arial" w:hAnsi="Arial" w:cs="Arial"/>
        </w:rPr>
        <w:t xml:space="preserve">the ‘thin skull’ rule, meaning the defendant must take the victim as they find them, meaning Barry cannot escape culpability, </w:t>
      </w:r>
      <w:r w:rsidRPr="00BE465E">
        <w:rPr>
          <w:rFonts w:ascii="Arial" w:hAnsi="Arial" w:cs="Arial"/>
          <w:highlight w:val="yellow"/>
        </w:rPr>
        <w:t>Brice V Brown 1984</w:t>
      </w:r>
      <w:r w:rsidRPr="00BE465E">
        <w:rPr>
          <w:rFonts w:ascii="Arial" w:hAnsi="Arial" w:cs="Arial"/>
        </w:rPr>
        <w:t xml:space="preserve"> solidifies this affirming that if psychiatric harm is foreseeable, the extent that the harm occurred is not relevant. </w:t>
      </w:r>
      <w:r w:rsidRPr="00BE465E">
        <w:rPr>
          <w:rFonts w:ascii="Arial" w:hAnsi="Arial" w:cs="Arial"/>
          <w:highlight w:val="yellow"/>
        </w:rPr>
        <w:t>Page v Smith (1996</w:t>
      </w:r>
      <w:r w:rsidRPr="00BE465E">
        <w:rPr>
          <w:rFonts w:ascii="Arial" w:hAnsi="Arial" w:cs="Arial"/>
        </w:rPr>
        <w:t xml:space="preserve">) asserts that only the risk of physical injury </w:t>
      </w:r>
      <w:proofErr w:type="gramStart"/>
      <w:r w:rsidRPr="00BE465E">
        <w:rPr>
          <w:rFonts w:ascii="Arial" w:hAnsi="Arial" w:cs="Arial"/>
        </w:rPr>
        <w:t>has to</w:t>
      </w:r>
      <w:proofErr w:type="gramEnd"/>
      <w:r w:rsidRPr="00BE465E">
        <w:rPr>
          <w:rFonts w:ascii="Arial" w:hAnsi="Arial" w:cs="Arial"/>
        </w:rPr>
        <w:t xml:space="preserve"> be foreseeable to satisfy the psychiatric claim; the defendant does not have to foresee psychiatric harm, and the risk of physical injury is apparent when using fireworks in a densely populated area, Barry foresaw the risk and therefore is liable. </w:t>
      </w:r>
    </w:p>
    <w:p w14:paraId="10312D97" w14:textId="77777777" w:rsidR="006B43F8" w:rsidRPr="00BE465E" w:rsidRDefault="006B43F8" w:rsidP="006B43F8">
      <w:pPr>
        <w:rPr>
          <w:rFonts w:ascii="Arial" w:hAnsi="Arial" w:cs="Arial"/>
        </w:rPr>
      </w:pPr>
      <w:r w:rsidRPr="00BE465E">
        <w:rPr>
          <w:rFonts w:ascii="Arial" w:hAnsi="Arial" w:cs="Arial"/>
        </w:rPr>
        <w:t xml:space="preserve">Regarding Mary's claim, she must meet the strict criteria laid out in </w:t>
      </w:r>
      <w:r w:rsidRPr="00BE465E">
        <w:rPr>
          <w:rFonts w:ascii="Arial" w:hAnsi="Arial" w:cs="Arial"/>
          <w:highlight w:val="yellow"/>
        </w:rPr>
        <w:t>Alcock v Chief Constable of South Yorkshire (1991</w:t>
      </w:r>
      <w:r w:rsidRPr="00BE465E">
        <w:rPr>
          <w:rFonts w:ascii="Arial" w:hAnsi="Arial" w:cs="Arial"/>
        </w:rPr>
        <w:t xml:space="preserve">) to claim as a secondary victim; Mary meets the proximity aspect due to being at the festival and eventually in front of Sarah, coming to her aid by putting her in the recovery position, Mary witnessed the event, Mary has a recognised psychiatric disorder which is anxiety due to </w:t>
      </w:r>
      <w:r w:rsidRPr="00BE465E">
        <w:rPr>
          <w:rFonts w:ascii="Arial" w:hAnsi="Arial" w:cs="Arial"/>
          <w:highlight w:val="yellow"/>
        </w:rPr>
        <w:t>Hinz v Berry (1970)</w:t>
      </w:r>
      <w:r w:rsidRPr="00BE465E">
        <w:rPr>
          <w:rFonts w:ascii="Arial" w:hAnsi="Arial" w:cs="Arial"/>
        </w:rPr>
        <w:t xml:space="preserve"> a recognised medically diagnosed condition is required, although Mary being Jack, Sarah's boyfriend's mother, it may be hard to prove the close relationship factor of the Alcock test, nevertheless, </w:t>
      </w:r>
      <w:r w:rsidRPr="00BE465E">
        <w:rPr>
          <w:rFonts w:ascii="Arial" w:hAnsi="Arial" w:cs="Arial"/>
          <w:highlight w:val="yellow"/>
        </w:rPr>
        <w:t>in Mcloughlin v O'Brian (1983)</w:t>
      </w:r>
      <w:r w:rsidRPr="00BE465E">
        <w:rPr>
          <w:rFonts w:ascii="Arial" w:hAnsi="Arial" w:cs="Arial"/>
        </w:rPr>
        <w:t xml:space="preserve"> a mother in law was deemed a close relationship, this may be classified as a family due to marriage without marriage it may present legal challenges, a relationship is broad in terms of time, and Mary may have a close relationship with Sarah or a distant one. Butterworths Personal Injury Litigation Service (2025) outlines that friends and distant relatives must prove their relationship is so close that the love and care are </w:t>
      </w:r>
      <w:proofErr w:type="gramStart"/>
      <w:r w:rsidRPr="00BE465E">
        <w:rPr>
          <w:rFonts w:ascii="Arial" w:hAnsi="Arial" w:cs="Arial"/>
        </w:rPr>
        <w:t>similar to</w:t>
      </w:r>
      <w:proofErr w:type="gramEnd"/>
      <w:r w:rsidRPr="00BE465E">
        <w:rPr>
          <w:rFonts w:ascii="Arial" w:hAnsi="Arial" w:cs="Arial"/>
        </w:rPr>
        <w:t xml:space="preserve"> a spouse, parent or child. Secondary victims are required to show this, and it is considered on a case-by-case basis. </w:t>
      </w:r>
    </w:p>
    <w:p w14:paraId="49AEBBA4" w14:textId="77777777" w:rsidR="006B43F8" w:rsidRPr="00BE465E" w:rsidRDefault="006B43F8" w:rsidP="006B43F8">
      <w:pPr>
        <w:rPr>
          <w:rFonts w:ascii="Arial" w:hAnsi="Arial" w:cs="Arial"/>
        </w:rPr>
      </w:pPr>
      <w:r w:rsidRPr="00BE465E">
        <w:rPr>
          <w:rFonts w:ascii="Arial" w:hAnsi="Arial" w:cs="Arial"/>
        </w:rPr>
        <w:t>Then, Mary will be subjected to the ‘but for’ test (</w:t>
      </w:r>
      <w:r w:rsidRPr="00BE465E">
        <w:rPr>
          <w:rFonts w:ascii="Arial" w:hAnsi="Arial" w:cs="Arial"/>
          <w:highlight w:val="yellow"/>
        </w:rPr>
        <w:t>Barnett v Chelsea &amp; Kensington Hospital, 1969</w:t>
      </w:r>
      <w:r w:rsidRPr="00BE465E">
        <w:rPr>
          <w:rFonts w:ascii="Arial" w:hAnsi="Arial" w:cs="Arial"/>
        </w:rPr>
        <w:t xml:space="preserve">), which asks, ‘Would Mary have developed anxiety if Barry maintained crowd and firework safety?’ It is apparent that without the fireworks and lack of safety precautions in place, Sarah would not have been hurt. In conjunction, Mary’s anxiety would not have occurred. </w:t>
      </w:r>
    </w:p>
    <w:p w14:paraId="4F616ED9" w14:textId="77777777" w:rsidR="006B43F8" w:rsidRPr="00BE465E" w:rsidRDefault="006B43F8" w:rsidP="006B43F8">
      <w:pPr>
        <w:rPr>
          <w:rFonts w:ascii="Arial" w:hAnsi="Arial" w:cs="Arial"/>
        </w:rPr>
      </w:pPr>
      <w:r w:rsidRPr="00BE465E">
        <w:rPr>
          <w:rFonts w:ascii="Arial" w:hAnsi="Arial" w:cs="Arial"/>
        </w:rPr>
        <w:t xml:space="preserve">Another option that may strengthen Mary's case is arguing she was a rescuer since she put Sarah in the recovery position and shielded her from the crowd and fireworks, putting herself at risk in </w:t>
      </w:r>
      <w:r w:rsidRPr="00BE465E">
        <w:rPr>
          <w:rFonts w:ascii="Arial" w:hAnsi="Arial" w:cs="Arial"/>
          <w:highlight w:val="yellow"/>
        </w:rPr>
        <w:t>Chadwick v British Railways Board (1967)</w:t>
      </w:r>
      <w:r w:rsidRPr="00BE465E">
        <w:rPr>
          <w:rFonts w:ascii="Arial" w:hAnsi="Arial" w:cs="Arial"/>
        </w:rPr>
        <w:t xml:space="preserve"> established that rescuers can be classed as primary victims, so Mary would not have to satisfy the Alcock principles, in </w:t>
      </w:r>
      <w:r w:rsidRPr="00BE465E">
        <w:rPr>
          <w:rFonts w:ascii="Arial" w:hAnsi="Arial" w:cs="Arial"/>
          <w:highlight w:val="yellow"/>
        </w:rPr>
        <w:t>White v Chief Constable of South Yorkshire,</w:t>
      </w:r>
      <w:r w:rsidRPr="00BE465E">
        <w:rPr>
          <w:rFonts w:ascii="Arial" w:hAnsi="Arial" w:cs="Arial"/>
        </w:rPr>
        <w:t xml:space="preserve"> this case complicates the case adding restrictions to being classified as a rescuer, Mary must of put herself in physical danger or thought she was at risk. The fireworks continue to go off, and the stampede could increase the risk of danger so that Mary can claim as a rescuer. </w:t>
      </w:r>
    </w:p>
    <w:p w14:paraId="626A83A6" w14:textId="669752B8" w:rsidR="005873E2" w:rsidRPr="00BE465E" w:rsidRDefault="00450D1A" w:rsidP="0039045D">
      <w:pPr>
        <w:rPr>
          <w:rFonts w:ascii="Arial" w:hAnsi="Arial" w:cs="Arial"/>
        </w:rPr>
      </w:pPr>
      <w:r w:rsidRPr="00BE465E">
        <w:rPr>
          <w:rFonts w:ascii="Arial" w:hAnsi="Arial" w:cs="Arial"/>
        </w:rPr>
        <w:t xml:space="preserve">Next, due to Janice suffering clinical depression after the event, Barry's liability will be assessed based on the secondary victim principles set out in </w:t>
      </w:r>
      <w:r w:rsidRPr="00BE465E">
        <w:rPr>
          <w:rFonts w:ascii="Arial" w:hAnsi="Arial" w:cs="Arial"/>
          <w:highlight w:val="yellow"/>
        </w:rPr>
        <w:t>Alcock v Chief Constable of South Yorkshire (1991);</w:t>
      </w:r>
      <w:r w:rsidRPr="00BE465E">
        <w:rPr>
          <w:rFonts w:ascii="Arial" w:hAnsi="Arial" w:cs="Arial"/>
        </w:rPr>
        <w:t xml:space="preserve"> Janice must prove she was physically close to the incident in terms of time and space since Janice did not witness the accident first hand and instead heard screams and came back to the scene she may not satisfy the proximity criteria, the Alcock test has been subject to scrutiny and Wheat, K. (2003), argues that the physical proximity principle produces unjust results despite this</w:t>
      </w:r>
      <w:r w:rsidRPr="00BE465E">
        <w:rPr>
          <w:rFonts w:ascii="Arial" w:hAnsi="Arial" w:cs="Arial"/>
          <w:highlight w:val="yellow"/>
        </w:rPr>
        <w:t>, Mcloughlin v O'Brian (1983)</w:t>
      </w:r>
      <w:r w:rsidRPr="00BE465E">
        <w:rPr>
          <w:rFonts w:ascii="Arial" w:hAnsi="Arial" w:cs="Arial"/>
        </w:rPr>
        <w:t xml:space="preserve"> allows secondary victim claims to be pursued if the immediate aftermath was witnessed, in this case, Janice saw Sarah covered in blood and unconscious on the floor, either immediately or shortly after the accident, arguing that she experienced the aftermath may strengthen her case. Another principle of the Alcock test is a close relationship; as Janice is Sarah's mother, she has a recognised close relationship. The last part of the Alcock test is having a recognised </w:t>
      </w:r>
      <w:r w:rsidRPr="00BE465E">
        <w:rPr>
          <w:rFonts w:ascii="Arial" w:hAnsi="Arial" w:cs="Arial"/>
        </w:rPr>
        <w:lastRenderedPageBreak/>
        <w:t xml:space="preserve">psychiatric disorder; </w:t>
      </w:r>
      <w:r w:rsidRPr="00BE465E">
        <w:rPr>
          <w:rFonts w:ascii="Arial" w:hAnsi="Arial" w:cs="Arial"/>
          <w:highlight w:val="yellow"/>
        </w:rPr>
        <w:t>Heinz v Berry (1970)</w:t>
      </w:r>
      <w:r w:rsidRPr="00BE465E">
        <w:rPr>
          <w:rFonts w:ascii="Arial" w:hAnsi="Arial" w:cs="Arial"/>
        </w:rPr>
        <w:t xml:space="preserve"> requires a medically diagnosed psychiatric condition; since Janice was sectioned, this could help her case in displaying that she has depression and that it is clinically significant. </w:t>
      </w:r>
    </w:p>
    <w:p w14:paraId="201FE1F2" w14:textId="4A78B428" w:rsidR="00421860" w:rsidRPr="00BE465E" w:rsidRDefault="009263B2">
      <w:pPr>
        <w:rPr>
          <w:rFonts w:ascii="Arial" w:hAnsi="Arial" w:cs="Arial"/>
        </w:rPr>
      </w:pPr>
      <w:r w:rsidRPr="00BE465E">
        <w:rPr>
          <w:rFonts w:ascii="Arial" w:hAnsi="Arial" w:cs="Arial"/>
        </w:rPr>
        <w:t xml:space="preserve">In addition, to establish causation, it must be proven that Barry's negligence was the direct cause of Janice's clinical depression; as formerly mentioned, this is called the 'but for' test established in </w:t>
      </w:r>
      <w:r w:rsidRPr="00BE465E">
        <w:rPr>
          <w:rFonts w:ascii="Arial" w:hAnsi="Arial" w:cs="Arial"/>
          <w:highlight w:val="yellow"/>
        </w:rPr>
        <w:t>Barnett v Chelsea &amp; Kensington Hospital (1969)</w:t>
      </w:r>
      <w:r w:rsidRPr="00BE465E">
        <w:rPr>
          <w:rFonts w:ascii="Arial" w:hAnsi="Arial" w:cs="Arial"/>
        </w:rPr>
        <w:t xml:space="preserve">. It is fair to presume Janice would not have developed clinical depression if Barry had implemented better precautions to ensure crowd control and firework safety. If Janice was already diagnosed with depression, Barry might argue that he was not the sole cause of her depression and that the 'but for' test is not satisfied; nevertheless, </w:t>
      </w:r>
      <w:r w:rsidRPr="00BE465E">
        <w:rPr>
          <w:rFonts w:ascii="Arial" w:hAnsi="Arial" w:cs="Arial"/>
          <w:highlight w:val="yellow"/>
        </w:rPr>
        <w:t>Brice v Brown (1984</w:t>
      </w:r>
      <w:r w:rsidRPr="00BE465E">
        <w:rPr>
          <w:rFonts w:ascii="Arial" w:hAnsi="Arial" w:cs="Arial"/>
        </w:rPr>
        <w:t>) affirms that if psychiatric harm is foreseeable, then the defendant must take the victim as they are found, the thin skull rule further supports this (</w:t>
      </w:r>
      <w:r w:rsidRPr="00BE465E">
        <w:rPr>
          <w:rFonts w:ascii="Arial" w:hAnsi="Arial" w:cs="Arial"/>
          <w:highlight w:val="yellow"/>
        </w:rPr>
        <w:t>Smith v Leech Brain &amp; Co Ltd, 1962).</w:t>
      </w:r>
      <w:r w:rsidRPr="00BE465E">
        <w:rPr>
          <w:rFonts w:ascii="Arial" w:hAnsi="Arial" w:cs="Arial"/>
        </w:rPr>
        <w:t xml:space="preserve"> </w:t>
      </w:r>
    </w:p>
    <w:sectPr w:rsidR="00421860" w:rsidRPr="00BE4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171"/>
    <w:rsid w:val="00185904"/>
    <w:rsid w:val="001D35A3"/>
    <w:rsid w:val="001D487C"/>
    <w:rsid w:val="0039045D"/>
    <w:rsid w:val="003A4781"/>
    <w:rsid w:val="00421860"/>
    <w:rsid w:val="00450D1A"/>
    <w:rsid w:val="00466C3A"/>
    <w:rsid w:val="004E3AE6"/>
    <w:rsid w:val="005873E2"/>
    <w:rsid w:val="005C1A14"/>
    <w:rsid w:val="0063463C"/>
    <w:rsid w:val="006B43F8"/>
    <w:rsid w:val="00700534"/>
    <w:rsid w:val="00715210"/>
    <w:rsid w:val="009263B2"/>
    <w:rsid w:val="009D39F3"/>
    <w:rsid w:val="00BC4391"/>
    <w:rsid w:val="00BE465E"/>
    <w:rsid w:val="00D550B7"/>
    <w:rsid w:val="00D74340"/>
    <w:rsid w:val="00E36171"/>
    <w:rsid w:val="00FC5845"/>
    <w:rsid w:val="01C0E00B"/>
    <w:rsid w:val="0C033F4E"/>
    <w:rsid w:val="0D14F085"/>
    <w:rsid w:val="21FD911B"/>
    <w:rsid w:val="232E92B4"/>
    <w:rsid w:val="24ABE229"/>
    <w:rsid w:val="33D50ABA"/>
    <w:rsid w:val="363AB60B"/>
    <w:rsid w:val="4FD34217"/>
    <w:rsid w:val="55A27542"/>
    <w:rsid w:val="5C119EEB"/>
    <w:rsid w:val="5C7C806A"/>
    <w:rsid w:val="5D7E16CC"/>
    <w:rsid w:val="5F32F970"/>
    <w:rsid w:val="60C989A0"/>
    <w:rsid w:val="6B0B7789"/>
    <w:rsid w:val="76A4B8F2"/>
    <w:rsid w:val="782F2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9F49AB"/>
  <w15:chartTrackingRefBased/>
  <w15:docId w15:val="{996FC5F7-4962-43C8-8498-3B33A3B81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904"/>
  </w:style>
  <w:style w:type="paragraph" w:styleId="Heading1">
    <w:name w:val="heading 1"/>
    <w:basedOn w:val="Normal"/>
    <w:next w:val="Normal"/>
    <w:link w:val="Heading1Char"/>
    <w:uiPriority w:val="9"/>
    <w:qFormat/>
    <w:rsid w:val="00E361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61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61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61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61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61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1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1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1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1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61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61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61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61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61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1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1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171"/>
    <w:rPr>
      <w:rFonts w:eastAsiaTheme="majorEastAsia" w:cstheme="majorBidi"/>
      <w:color w:val="272727" w:themeColor="text1" w:themeTint="D8"/>
    </w:rPr>
  </w:style>
  <w:style w:type="paragraph" w:styleId="Title">
    <w:name w:val="Title"/>
    <w:basedOn w:val="Normal"/>
    <w:next w:val="Normal"/>
    <w:link w:val="TitleChar"/>
    <w:uiPriority w:val="10"/>
    <w:qFormat/>
    <w:rsid w:val="00E361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1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1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1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171"/>
    <w:pPr>
      <w:spacing w:before="160"/>
      <w:jc w:val="center"/>
    </w:pPr>
    <w:rPr>
      <w:i/>
      <w:iCs/>
      <w:color w:val="404040" w:themeColor="text1" w:themeTint="BF"/>
    </w:rPr>
  </w:style>
  <w:style w:type="character" w:customStyle="1" w:styleId="QuoteChar">
    <w:name w:val="Quote Char"/>
    <w:basedOn w:val="DefaultParagraphFont"/>
    <w:link w:val="Quote"/>
    <w:uiPriority w:val="29"/>
    <w:rsid w:val="00E36171"/>
    <w:rPr>
      <w:i/>
      <w:iCs/>
      <w:color w:val="404040" w:themeColor="text1" w:themeTint="BF"/>
    </w:rPr>
  </w:style>
  <w:style w:type="paragraph" w:styleId="ListParagraph">
    <w:name w:val="List Paragraph"/>
    <w:basedOn w:val="Normal"/>
    <w:uiPriority w:val="34"/>
    <w:qFormat/>
    <w:rsid w:val="00E36171"/>
    <w:pPr>
      <w:ind w:left="720"/>
      <w:contextualSpacing/>
    </w:pPr>
  </w:style>
  <w:style w:type="character" w:styleId="IntenseEmphasis">
    <w:name w:val="Intense Emphasis"/>
    <w:basedOn w:val="DefaultParagraphFont"/>
    <w:uiPriority w:val="21"/>
    <w:qFormat/>
    <w:rsid w:val="00E36171"/>
    <w:rPr>
      <w:i/>
      <w:iCs/>
      <w:color w:val="2F5496" w:themeColor="accent1" w:themeShade="BF"/>
    </w:rPr>
  </w:style>
  <w:style w:type="paragraph" w:styleId="IntenseQuote">
    <w:name w:val="Intense Quote"/>
    <w:basedOn w:val="Normal"/>
    <w:next w:val="Normal"/>
    <w:link w:val="IntenseQuoteChar"/>
    <w:uiPriority w:val="30"/>
    <w:qFormat/>
    <w:rsid w:val="00E361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6171"/>
    <w:rPr>
      <w:i/>
      <w:iCs/>
      <w:color w:val="2F5496" w:themeColor="accent1" w:themeShade="BF"/>
    </w:rPr>
  </w:style>
  <w:style w:type="character" w:styleId="IntenseReference">
    <w:name w:val="Intense Reference"/>
    <w:basedOn w:val="DefaultParagraphFont"/>
    <w:uiPriority w:val="32"/>
    <w:qFormat/>
    <w:rsid w:val="00E3617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cf453e58328fec31073bd3ee7d904a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afeb4becee64491c29fba15b49cdb5f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655FC1-DE47-4E32-AB45-D8B5C5EB6720}">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FE80AA62-435D-40F1-8B03-73B91DCFEED3}">
  <ds:schemaRefs>
    <ds:schemaRef ds:uri="http://schemas.microsoft.com/sharepoint/v3/contenttype/forms"/>
  </ds:schemaRefs>
</ds:datastoreItem>
</file>

<file path=customXml/itemProps3.xml><?xml version="1.0" encoding="utf-8"?>
<ds:datastoreItem xmlns:ds="http://schemas.openxmlformats.org/officeDocument/2006/customXml" ds:itemID="{8FDA85FA-C401-402B-9099-EDE08A368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3040</Words>
  <Characters>15718</Characters>
  <Application>Microsoft Office Word</Application>
  <DocSecurity>0</DocSecurity>
  <Lines>212</Lines>
  <Paragraphs>22</Paragraphs>
  <ScaleCrop>false</ScaleCrop>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16</cp:revision>
  <dcterms:created xsi:type="dcterms:W3CDTF">2025-02-24T13:05:00Z</dcterms:created>
  <dcterms:modified xsi:type="dcterms:W3CDTF">2025-02-25T20:54:00Z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