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F2856" w14:textId="5F13CE03" w:rsidR="006B5891" w:rsidRDefault="006B5891" w:rsidP="006B5891">
      <w:pPr>
        <w:rPr>
          <w:sz w:val="44"/>
          <w:szCs w:val="44"/>
        </w:rPr>
      </w:pPr>
      <w:r>
        <w:rPr>
          <w:sz w:val="44"/>
          <w:szCs w:val="44"/>
        </w:rPr>
        <w:t>Student: Teodora Papazova</w:t>
      </w:r>
    </w:p>
    <w:p w14:paraId="5FB658B8" w14:textId="7C944F66" w:rsidR="006B5891" w:rsidRDefault="006B5891" w:rsidP="006B5891">
      <w:pPr>
        <w:rPr>
          <w:sz w:val="44"/>
          <w:szCs w:val="44"/>
        </w:rPr>
      </w:pPr>
      <w:r>
        <w:rPr>
          <w:sz w:val="44"/>
          <w:szCs w:val="44"/>
        </w:rPr>
        <w:t>ID:2114277</w:t>
      </w:r>
    </w:p>
    <w:p w14:paraId="4E0B4884" w14:textId="3807984F" w:rsidR="006B5891" w:rsidRPr="006B5891" w:rsidRDefault="006B5891" w:rsidP="006B5891">
      <w:pPr>
        <w:rPr>
          <w:sz w:val="44"/>
          <w:szCs w:val="44"/>
        </w:rPr>
      </w:pPr>
      <w:r w:rsidRPr="006B5891">
        <w:rPr>
          <w:sz w:val="44"/>
          <w:szCs w:val="44"/>
        </w:rPr>
        <w:t>BSc Health and Social Care</w:t>
      </w:r>
    </w:p>
    <w:p w14:paraId="21E9BDBB" w14:textId="77777777" w:rsidR="006B5891" w:rsidRPr="006B5891" w:rsidRDefault="006B5891" w:rsidP="006B5891">
      <w:pPr>
        <w:rPr>
          <w:sz w:val="44"/>
          <w:szCs w:val="44"/>
        </w:rPr>
      </w:pPr>
      <w:r w:rsidRPr="006B5891">
        <w:rPr>
          <w:sz w:val="44"/>
          <w:szCs w:val="44"/>
        </w:rPr>
        <w:t>Module: Living with Care: The Older Person</w:t>
      </w:r>
    </w:p>
    <w:p w14:paraId="1F20773E" w14:textId="42CE57AF" w:rsidR="006B5891" w:rsidRPr="006B5891" w:rsidRDefault="006B5891" w:rsidP="006B5891">
      <w:pPr>
        <w:rPr>
          <w:sz w:val="44"/>
          <w:szCs w:val="44"/>
        </w:rPr>
      </w:pPr>
      <w:r w:rsidRPr="006B5891">
        <w:rPr>
          <w:sz w:val="44"/>
          <w:szCs w:val="44"/>
        </w:rPr>
        <w:t xml:space="preserve">Module code: BMHP6009 </w:t>
      </w:r>
    </w:p>
    <w:p w14:paraId="2206D434" w14:textId="49FFAE43" w:rsidR="006B5891" w:rsidRPr="006B5891" w:rsidRDefault="006B5891" w:rsidP="006B5891">
      <w:pPr>
        <w:rPr>
          <w:sz w:val="44"/>
          <w:szCs w:val="44"/>
        </w:rPr>
      </w:pPr>
      <w:r w:rsidRPr="006B5891">
        <w:rPr>
          <w:sz w:val="44"/>
          <w:szCs w:val="44"/>
        </w:rPr>
        <w:t xml:space="preserve">Lecturer: Dr Laila Surani </w:t>
      </w:r>
    </w:p>
    <w:p w14:paraId="6E7C6FA4" w14:textId="7C8A7237" w:rsidR="006B5891" w:rsidRPr="006B5891" w:rsidRDefault="006B5891" w:rsidP="006639DE">
      <w:pPr>
        <w:rPr>
          <w:sz w:val="44"/>
          <w:szCs w:val="44"/>
        </w:rPr>
      </w:pPr>
      <w:r w:rsidRPr="006B5891">
        <w:rPr>
          <w:sz w:val="44"/>
          <w:szCs w:val="44"/>
        </w:rPr>
        <w:t>Assignment Title:</w:t>
      </w:r>
      <w:r w:rsidR="006639DE">
        <w:rPr>
          <w:sz w:val="44"/>
          <w:szCs w:val="44"/>
        </w:rPr>
        <w:t xml:space="preserve"> </w:t>
      </w:r>
      <w:r w:rsidR="006639DE" w:rsidRPr="006639DE">
        <w:rPr>
          <w:sz w:val="44"/>
          <w:szCs w:val="44"/>
        </w:rPr>
        <w:t>Does population ageing challenge health and social care? ​ – in favour​</w:t>
      </w:r>
    </w:p>
    <w:p w14:paraId="5827E8D2" w14:textId="60B70A0B" w:rsidR="006B5891" w:rsidRDefault="006B5891" w:rsidP="006B5891">
      <w:pPr>
        <w:rPr>
          <w:sz w:val="44"/>
          <w:szCs w:val="44"/>
        </w:rPr>
      </w:pPr>
      <w:r w:rsidRPr="006B5891">
        <w:rPr>
          <w:sz w:val="44"/>
          <w:szCs w:val="44"/>
        </w:rPr>
        <w:t>Component 2: Supporting Paper</w:t>
      </w:r>
    </w:p>
    <w:p w14:paraId="7E59C816" w14:textId="77777777" w:rsidR="006B5891" w:rsidRDefault="006B5891" w:rsidP="006B5891">
      <w:pPr>
        <w:rPr>
          <w:sz w:val="44"/>
          <w:szCs w:val="44"/>
        </w:rPr>
      </w:pPr>
    </w:p>
    <w:p w14:paraId="0F00E443" w14:textId="77777777" w:rsidR="006B5891" w:rsidRDefault="006B5891" w:rsidP="006B5891">
      <w:pPr>
        <w:rPr>
          <w:sz w:val="44"/>
          <w:szCs w:val="44"/>
        </w:rPr>
      </w:pPr>
    </w:p>
    <w:p w14:paraId="622446D3" w14:textId="77777777" w:rsidR="006B5891" w:rsidRDefault="006B5891" w:rsidP="006B5891">
      <w:pPr>
        <w:rPr>
          <w:sz w:val="44"/>
          <w:szCs w:val="44"/>
        </w:rPr>
      </w:pPr>
    </w:p>
    <w:p w14:paraId="25EC8E2D" w14:textId="77777777" w:rsidR="006B5891" w:rsidRDefault="006B5891" w:rsidP="006B5891">
      <w:pPr>
        <w:rPr>
          <w:sz w:val="44"/>
          <w:szCs w:val="44"/>
        </w:rPr>
      </w:pPr>
    </w:p>
    <w:p w14:paraId="3739DA46" w14:textId="77777777" w:rsidR="006B5891" w:rsidRDefault="006B5891" w:rsidP="006B5891">
      <w:pPr>
        <w:rPr>
          <w:sz w:val="44"/>
          <w:szCs w:val="44"/>
        </w:rPr>
      </w:pPr>
    </w:p>
    <w:p w14:paraId="219AB096" w14:textId="77777777" w:rsidR="006B5891" w:rsidRDefault="006B5891" w:rsidP="006B5891">
      <w:pPr>
        <w:rPr>
          <w:sz w:val="44"/>
          <w:szCs w:val="44"/>
        </w:rPr>
      </w:pPr>
    </w:p>
    <w:p w14:paraId="1810ED7D" w14:textId="77777777" w:rsidR="006B5891" w:rsidRDefault="006B5891" w:rsidP="006B5891">
      <w:pPr>
        <w:rPr>
          <w:sz w:val="44"/>
          <w:szCs w:val="44"/>
        </w:rPr>
      </w:pPr>
    </w:p>
    <w:p w14:paraId="5AF0F5F1" w14:textId="77777777" w:rsidR="006B5891" w:rsidRDefault="006B5891" w:rsidP="006B5891">
      <w:pPr>
        <w:rPr>
          <w:sz w:val="44"/>
          <w:szCs w:val="44"/>
        </w:rPr>
      </w:pPr>
    </w:p>
    <w:p w14:paraId="5841DEC2" w14:textId="77777777" w:rsidR="006B5891" w:rsidRDefault="006B5891" w:rsidP="006B5891">
      <w:pPr>
        <w:rPr>
          <w:sz w:val="44"/>
          <w:szCs w:val="44"/>
        </w:rPr>
      </w:pPr>
    </w:p>
    <w:p w14:paraId="0EDBDDB1" w14:textId="77777777" w:rsidR="000155C3" w:rsidRDefault="000155C3" w:rsidP="00462469">
      <w:pPr>
        <w:spacing w:line="360" w:lineRule="auto"/>
        <w:rPr>
          <w:sz w:val="44"/>
          <w:szCs w:val="44"/>
        </w:rPr>
      </w:pPr>
    </w:p>
    <w:p w14:paraId="4CED9D32" w14:textId="7EC2B663" w:rsidR="00462469" w:rsidRPr="00733EDA" w:rsidRDefault="00462469" w:rsidP="00733EDA">
      <w:pPr>
        <w:spacing w:line="360" w:lineRule="auto"/>
        <w:rPr>
          <w:rFonts w:ascii="Arial" w:hAnsi="Arial" w:cs="Arial"/>
          <w:b/>
          <w:bCs/>
        </w:rPr>
      </w:pPr>
      <w:r w:rsidRPr="00733EDA">
        <w:rPr>
          <w:rFonts w:ascii="Arial" w:hAnsi="Arial" w:cs="Arial"/>
          <w:b/>
          <w:bCs/>
        </w:rPr>
        <w:lastRenderedPageBreak/>
        <w:t>Introduction:</w:t>
      </w:r>
    </w:p>
    <w:p w14:paraId="52B47515" w14:textId="0C3D4CAD" w:rsidR="00462469" w:rsidRPr="00733EDA" w:rsidRDefault="00462469" w:rsidP="00733EDA">
      <w:pPr>
        <w:spacing w:line="360" w:lineRule="auto"/>
        <w:rPr>
          <w:rFonts w:ascii="Arial" w:hAnsi="Arial" w:cs="Arial"/>
        </w:rPr>
      </w:pPr>
      <w:r w:rsidRPr="00733EDA">
        <w:rPr>
          <w:rFonts w:ascii="Arial" w:hAnsi="Arial" w:cs="Arial"/>
        </w:rPr>
        <w:t xml:space="preserve">While we are in the process of embarking on the complex journey of tackling the problems posed by an ageing population, our group, staunchly in </w:t>
      </w:r>
      <w:r w:rsidR="00575506" w:rsidRPr="00733EDA">
        <w:rPr>
          <w:rFonts w:ascii="Arial" w:hAnsi="Arial" w:cs="Arial"/>
        </w:rPr>
        <w:t>favour</w:t>
      </w:r>
      <w:r w:rsidRPr="00733EDA">
        <w:rPr>
          <w:rFonts w:ascii="Arial" w:hAnsi="Arial" w:cs="Arial"/>
        </w:rPr>
        <w:t xml:space="preserve"> of the topic 'Does population ageing challenge health and social care,' has conducted extensive research on the myriad of issues that cast a shadow over the healthcare and social care systems. Firmly rooted in the belief that population ageing indeed poses significant challenges, our investigation serves as a critical examination of the contours that define how society must adapt to meet the needs of its ageing members. From the pressing concerns of financial constraints and human resource shortages to the nuanced intricacies of infrastructure limitations, the burgeoning demand for healthcare services, and the profound impact of loneliness and social isolation, our exploration includes all of these aspects.</w:t>
      </w:r>
    </w:p>
    <w:p w14:paraId="74D9C0C1" w14:textId="77777777" w:rsidR="000155C3" w:rsidRPr="00733EDA" w:rsidRDefault="000155C3" w:rsidP="00733EDA">
      <w:pPr>
        <w:spacing w:line="360" w:lineRule="auto"/>
        <w:rPr>
          <w:rFonts w:ascii="Arial" w:hAnsi="Arial" w:cs="Arial"/>
          <w:b/>
          <w:bCs/>
        </w:rPr>
      </w:pPr>
      <w:r w:rsidRPr="00733EDA">
        <w:rPr>
          <w:rFonts w:ascii="Arial" w:hAnsi="Arial" w:cs="Arial"/>
          <w:b/>
          <w:bCs/>
        </w:rPr>
        <w:t>Impact of COVID-19 on Seniors:</w:t>
      </w:r>
    </w:p>
    <w:p w14:paraId="51B0B9C5" w14:textId="18C66924" w:rsidR="000155C3" w:rsidRPr="00733EDA" w:rsidRDefault="000155C3" w:rsidP="00733EDA">
      <w:pPr>
        <w:spacing w:line="360" w:lineRule="auto"/>
        <w:rPr>
          <w:rFonts w:ascii="Arial" w:hAnsi="Arial" w:cs="Arial"/>
        </w:rPr>
      </w:pPr>
      <w:r w:rsidRPr="00733EDA">
        <w:rPr>
          <w:rFonts w:ascii="Arial" w:hAnsi="Arial" w:cs="Arial"/>
        </w:rPr>
        <w:t xml:space="preserve">The global pandemic has presented new challenges, especially for seniors. COVID-19 has increased the risk of severe disease and death in the elderly. The current system is vulnerable due to </w:t>
      </w:r>
      <w:r w:rsidRPr="00733EDA">
        <w:rPr>
          <w:rFonts w:ascii="Arial" w:hAnsi="Arial" w:cs="Arial"/>
        </w:rPr>
        <w:t xml:space="preserve">the </w:t>
      </w:r>
      <w:r w:rsidRPr="00733EDA">
        <w:rPr>
          <w:rFonts w:ascii="Arial" w:hAnsi="Arial" w:cs="Arial"/>
        </w:rPr>
        <w:t>massive load on healthcare services. Lockdowns and social distancing have increased loneliness and isolation in older adults, emphasising the need for adaptive social care techniques. Our study highlights the pandemic's specific issues and the need to incorporate them into healthcare planning.</w:t>
      </w:r>
    </w:p>
    <w:p w14:paraId="47884E5B" w14:textId="77777777" w:rsidR="00462469" w:rsidRPr="00733EDA" w:rsidRDefault="00462469" w:rsidP="00733EDA">
      <w:pPr>
        <w:spacing w:line="360" w:lineRule="auto"/>
        <w:rPr>
          <w:rFonts w:ascii="Arial" w:hAnsi="Arial" w:cs="Arial"/>
          <w:b/>
          <w:bCs/>
        </w:rPr>
      </w:pPr>
      <w:r w:rsidRPr="00733EDA">
        <w:rPr>
          <w:rFonts w:ascii="Arial" w:hAnsi="Arial" w:cs="Arial"/>
          <w:b/>
          <w:bCs/>
        </w:rPr>
        <w:t>Constraints on Financial Resources and Rising Consumer Demand for Healthcare:</w:t>
      </w:r>
    </w:p>
    <w:p w14:paraId="5332DF09" w14:textId="77777777" w:rsidR="00462469" w:rsidRPr="00733EDA" w:rsidRDefault="00462469" w:rsidP="00733EDA">
      <w:pPr>
        <w:spacing w:line="360" w:lineRule="auto"/>
        <w:rPr>
          <w:rFonts w:ascii="Arial" w:hAnsi="Arial" w:cs="Arial"/>
        </w:rPr>
      </w:pPr>
      <w:r w:rsidRPr="00733EDA">
        <w:rPr>
          <w:rFonts w:ascii="Arial" w:hAnsi="Arial" w:cs="Arial"/>
        </w:rPr>
        <w:t>One of the most critical issues that we discussed was the tremendous problem of financial strain caused by an ageing population. As a painful plea to address the anticipated escalation in expenses connected with healthcare and social support, our argument that age is a driver of health spending serves as a call to action. It is not an issue that is far off in the future; rather, it is a current reality that requires an immediate response. It is necessary to have a comprehensive financial strategy to meet the ever-changing requirements of our growing elderly population, which include medical assistance, rehabilitation, and palliative care. There is a possibility that the robustness of our healthcare infrastructure could be jeopardized in the absence of such steps (Rudnicka et al., 2020).</w:t>
      </w:r>
    </w:p>
    <w:p w14:paraId="4E98F3BF" w14:textId="77777777" w:rsidR="00462469" w:rsidRPr="00733EDA" w:rsidRDefault="00462469" w:rsidP="00733EDA">
      <w:pPr>
        <w:spacing w:line="360" w:lineRule="auto"/>
        <w:rPr>
          <w:rFonts w:ascii="Arial" w:hAnsi="Arial" w:cs="Arial"/>
          <w:b/>
          <w:bCs/>
        </w:rPr>
      </w:pPr>
      <w:r w:rsidRPr="00733EDA">
        <w:rPr>
          <w:rFonts w:ascii="Arial" w:hAnsi="Arial" w:cs="Arial"/>
          <w:b/>
          <w:bCs/>
        </w:rPr>
        <w:t>Shortages of Human Resources and the Necessity of Adopting Adaptive Strategies:</w:t>
      </w:r>
    </w:p>
    <w:p w14:paraId="5CCBCAF0" w14:textId="77777777" w:rsidR="00462469" w:rsidRPr="00733EDA" w:rsidRDefault="00462469" w:rsidP="00733EDA">
      <w:pPr>
        <w:spacing w:line="360" w:lineRule="auto"/>
        <w:rPr>
          <w:rFonts w:ascii="Arial" w:hAnsi="Arial" w:cs="Arial"/>
        </w:rPr>
      </w:pPr>
      <w:r w:rsidRPr="00733EDA">
        <w:rPr>
          <w:rFonts w:ascii="Arial" w:hAnsi="Arial" w:cs="Arial"/>
        </w:rPr>
        <w:t xml:space="preserve">This shortage of human resources in the healthcare sector, which was brought to light by Age UK (2023), offers a significant obstacle in addition to the financial issues that are now being faced. Our emphasis on the urgent need for qualified professionals to address long-lasting ailments and mental health concerns is indicative of a systemic difficulty that goes beyond simple staff shortages. This challenge extends beyond the limited availability of </w:t>
      </w:r>
      <w:r w:rsidRPr="00733EDA">
        <w:rPr>
          <w:rFonts w:ascii="Arial" w:hAnsi="Arial" w:cs="Arial"/>
        </w:rPr>
        <w:lastRenderedPageBreak/>
        <w:t>workers. Educational institutions, healthcare professionals, and lawmakers must work together through collaborative efforts to address this issue comprehensively (Care Quality Commission, 2022). Furthermore, to ensure the long-term viability and adaptability of our healthcare systems, it is essential to incorporate technological solutions that optimize human resources.</w:t>
      </w:r>
    </w:p>
    <w:p w14:paraId="455472C7" w14:textId="77777777" w:rsidR="00462469" w:rsidRPr="00733EDA" w:rsidRDefault="00462469" w:rsidP="00733EDA">
      <w:pPr>
        <w:spacing w:line="360" w:lineRule="auto"/>
        <w:rPr>
          <w:rFonts w:ascii="Arial" w:hAnsi="Arial" w:cs="Arial"/>
          <w:b/>
          <w:bCs/>
        </w:rPr>
      </w:pPr>
      <w:r w:rsidRPr="00733EDA">
        <w:rPr>
          <w:rFonts w:ascii="Arial" w:hAnsi="Arial" w:cs="Arial"/>
          <w:b/>
          <w:bCs/>
        </w:rPr>
        <w:t>The Absence of Adequate Infrastructure and the Search for All-Encompassing Therapy:</w:t>
      </w:r>
    </w:p>
    <w:p w14:paraId="53C419BA" w14:textId="77777777" w:rsidR="00462469" w:rsidRPr="00733EDA" w:rsidRDefault="00462469" w:rsidP="00733EDA">
      <w:pPr>
        <w:spacing w:line="360" w:lineRule="auto"/>
        <w:rPr>
          <w:rFonts w:ascii="Arial" w:hAnsi="Arial" w:cs="Arial"/>
        </w:rPr>
      </w:pPr>
      <w:r w:rsidRPr="00733EDA">
        <w:rPr>
          <w:rFonts w:ascii="Arial" w:hAnsi="Arial" w:cs="Arial"/>
        </w:rPr>
        <w:t>When it comes to healthcare systems, the absence of infrastructure makes the issues that come with an ageing population even more difficult to manage (Araujo de Carvalho et al., 2017). As our group has pointed out, the urgent requirement for the creation of comprehensive infrastructure is highlighted by the fact that emergency services are being neglected and are under tremendous pressure. Not only does this entail improving the physical infrastructure of healthcare, but it also entails fostering community-based initiatives, helping vulnerable populations, and refining the processes of discharge planning. An approach that takes a holistic perspective is not a luxury but rather a necessity to improve the continuity of care and make certain that all aspects of the requirements of an elderly person are met (</w:t>
      </w:r>
      <w:proofErr w:type="spellStart"/>
      <w:r w:rsidRPr="00733EDA">
        <w:rPr>
          <w:rFonts w:ascii="Arial" w:hAnsi="Arial" w:cs="Arial"/>
        </w:rPr>
        <w:t>Straßner</w:t>
      </w:r>
      <w:proofErr w:type="spellEnd"/>
      <w:r w:rsidRPr="00733EDA">
        <w:rPr>
          <w:rFonts w:ascii="Arial" w:hAnsi="Arial" w:cs="Arial"/>
        </w:rPr>
        <w:t xml:space="preserve"> et al., 2019).</w:t>
      </w:r>
    </w:p>
    <w:p w14:paraId="39B2E252" w14:textId="77777777" w:rsidR="00462469" w:rsidRPr="00733EDA" w:rsidRDefault="00462469" w:rsidP="00733EDA">
      <w:pPr>
        <w:spacing w:line="360" w:lineRule="auto"/>
        <w:rPr>
          <w:rFonts w:ascii="Arial" w:hAnsi="Arial" w:cs="Arial"/>
          <w:b/>
          <w:bCs/>
        </w:rPr>
      </w:pPr>
      <w:r w:rsidRPr="00733EDA">
        <w:rPr>
          <w:rFonts w:ascii="Arial" w:hAnsi="Arial" w:cs="Arial"/>
          <w:b/>
          <w:bCs/>
        </w:rPr>
        <w:t>Isolation from Others, Feelings of Loneliness, and Mental Health:</w:t>
      </w:r>
    </w:p>
    <w:p w14:paraId="1EA14400" w14:textId="3328ADBF" w:rsidR="00462469" w:rsidRPr="00733EDA" w:rsidRDefault="006A17D1" w:rsidP="00733EDA">
      <w:pPr>
        <w:spacing w:line="360" w:lineRule="auto"/>
        <w:rPr>
          <w:rFonts w:ascii="Arial" w:hAnsi="Arial" w:cs="Arial"/>
        </w:rPr>
      </w:pPr>
      <w:r w:rsidRPr="00733EDA">
        <w:rPr>
          <w:rFonts w:ascii="Arial" w:hAnsi="Arial" w:cs="Arial"/>
        </w:rPr>
        <w:t xml:space="preserve">Our research shows that loneliness and social isolation affect older mental and physical health (CDC, 2021). This is a moving aspect of our inquiry. Beyond clinical care, housing, social integration, and mental health are priorities. Our clarion appeal addresses both senior loneliness and </w:t>
      </w:r>
      <w:r w:rsidR="00AE751D" w:rsidRPr="00733EDA">
        <w:rPr>
          <w:rFonts w:ascii="Arial" w:hAnsi="Arial" w:cs="Arial"/>
        </w:rPr>
        <w:t>isolation,</w:t>
      </w:r>
      <w:r w:rsidRPr="00733EDA">
        <w:rPr>
          <w:rFonts w:ascii="Arial" w:hAnsi="Arial" w:cs="Arial"/>
        </w:rPr>
        <w:t xml:space="preserve"> and the role communities play in helping seniors live fulfilling and dignified lives (Donovan and Blazer, 2020). Respect, inclusion, and empathy must be promoted to address these deep-rooted </w:t>
      </w:r>
      <w:r w:rsidR="00AE751D" w:rsidRPr="00733EDA">
        <w:rPr>
          <w:rFonts w:ascii="Arial" w:hAnsi="Arial" w:cs="Arial"/>
        </w:rPr>
        <w:t>issues.</w:t>
      </w:r>
    </w:p>
    <w:p w14:paraId="2BBA702B" w14:textId="77777777" w:rsidR="00462469" w:rsidRPr="00733EDA" w:rsidRDefault="00462469" w:rsidP="00733EDA">
      <w:pPr>
        <w:spacing w:line="360" w:lineRule="auto"/>
        <w:rPr>
          <w:rFonts w:ascii="Arial" w:hAnsi="Arial" w:cs="Arial"/>
        </w:rPr>
      </w:pPr>
    </w:p>
    <w:p w14:paraId="2A6DF5FE" w14:textId="77777777" w:rsidR="00462469" w:rsidRPr="00733EDA" w:rsidRDefault="00462469" w:rsidP="00733EDA">
      <w:pPr>
        <w:spacing w:line="360" w:lineRule="auto"/>
        <w:rPr>
          <w:rFonts w:ascii="Arial" w:hAnsi="Arial" w:cs="Arial"/>
          <w:b/>
          <w:bCs/>
        </w:rPr>
      </w:pPr>
      <w:r w:rsidRPr="00733EDA">
        <w:rPr>
          <w:rFonts w:ascii="Arial" w:hAnsi="Arial" w:cs="Arial"/>
          <w:b/>
          <w:bCs/>
        </w:rPr>
        <w:t>Incorporating Opposing Views:</w:t>
      </w:r>
    </w:p>
    <w:p w14:paraId="5782D8FB" w14:textId="77777777" w:rsidR="00462469" w:rsidRPr="00733EDA" w:rsidRDefault="00462469" w:rsidP="00733EDA">
      <w:pPr>
        <w:spacing w:line="360" w:lineRule="auto"/>
        <w:rPr>
          <w:rFonts w:ascii="Arial" w:hAnsi="Arial" w:cs="Arial"/>
        </w:rPr>
      </w:pPr>
      <w:r w:rsidRPr="00733EDA">
        <w:rPr>
          <w:rFonts w:ascii="Arial" w:hAnsi="Arial" w:cs="Arial"/>
        </w:rPr>
        <w:t>As we study an ageing society, we include the opposing group's nuanced views. Our worries have been financial limits, human resource shortages, infrastructure limitations, the growing demand for healthcare services, and the terrible impact of loneliness and social isolation, but the opposing group's arguments bring new variables to consider.</w:t>
      </w:r>
    </w:p>
    <w:p w14:paraId="7046761A" w14:textId="31F88C91" w:rsidR="00462469" w:rsidRPr="00733EDA" w:rsidRDefault="00E043F5" w:rsidP="00733EDA">
      <w:pPr>
        <w:spacing w:line="360" w:lineRule="auto"/>
        <w:rPr>
          <w:rFonts w:ascii="Arial" w:hAnsi="Arial" w:cs="Arial"/>
        </w:rPr>
      </w:pPr>
      <w:r w:rsidRPr="00733EDA">
        <w:rPr>
          <w:rFonts w:ascii="Arial" w:hAnsi="Arial" w:cs="Arial"/>
          <w:b/>
          <w:bCs/>
        </w:rPr>
        <w:t>-</w:t>
      </w:r>
      <w:r w:rsidR="00462469" w:rsidRPr="00733EDA">
        <w:rPr>
          <w:rFonts w:ascii="Arial" w:hAnsi="Arial" w:cs="Arial"/>
          <w:b/>
          <w:bCs/>
        </w:rPr>
        <w:t>Economic Contribution</w:t>
      </w:r>
      <w:r w:rsidR="00462469" w:rsidRPr="00733EDA">
        <w:rPr>
          <w:rFonts w:ascii="Arial" w:hAnsi="Arial" w:cs="Arial"/>
        </w:rPr>
        <w:t xml:space="preserve">: </w:t>
      </w:r>
      <w:r w:rsidR="001C6F89" w:rsidRPr="00733EDA">
        <w:rPr>
          <w:rFonts w:ascii="Arial" w:hAnsi="Arial" w:cs="Arial"/>
        </w:rPr>
        <w:t xml:space="preserve">The opposition correctly emphasises seniors' often-underestimated economic contribution. This strategy emphasises senior people's skills and work ethic rather than financial burden (Government Office for Science, 2016). Beyond </w:t>
      </w:r>
      <w:r w:rsidR="001C6F89" w:rsidRPr="00733EDA">
        <w:rPr>
          <w:rFonts w:ascii="Arial" w:hAnsi="Arial" w:cs="Arial"/>
        </w:rPr>
        <w:lastRenderedPageBreak/>
        <w:t>financial concerns, this raises challenges about how society should foster intergenerational knowledge and skill transfer to boost economic growth and community well-being.</w:t>
      </w:r>
    </w:p>
    <w:p w14:paraId="5A2DAA19" w14:textId="1A70530C" w:rsidR="00462469" w:rsidRPr="00733EDA" w:rsidRDefault="00902D9D" w:rsidP="00733EDA">
      <w:pPr>
        <w:spacing w:line="360" w:lineRule="auto"/>
        <w:rPr>
          <w:rFonts w:ascii="Arial" w:hAnsi="Arial" w:cs="Arial"/>
        </w:rPr>
      </w:pPr>
      <w:r w:rsidRPr="00733EDA">
        <w:rPr>
          <w:rFonts w:ascii="Arial" w:hAnsi="Arial" w:cs="Arial"/>
          <w:b/>
          <w:bCs/>
        </w:rPr>
        <w:t>-</w:t>
      </w:r>
      <w:r w:rsidR="00462469" w:rsidRPr="00733EDA">
        <w:rPr>
          <w:rFonts w:ascii="Arial" w:hAnsi="Arial" w:cs="Arial"/>
          <w:b/>
          <w:bCs/>
        </w:rPr>
        <w:t>Volunteering Improves Health and Boosts Optimism</w:t>
      </w:r>
      <w:r w:rsidR="00462469" w:rsidRPr="00733EDA">
        <w:rPr>
          <w:rFonts w:ascii="Arial" w:hAnsi="Arial" w:cs="Arial"/>
        </w:rPr>
        <w:t>: We worried about healthcare resource strains, while the other group indicated vigorous community engagement helps keep older persons healthy. This information inspires us to volunteer because of its advantages to individual and community well-being.</w:t>
      </w:r>
    </w:p>
    <w:p w14:paraId="24E3553A" w14:textId="622EB6F1" w:rsidR="00462469" w:rsidRPr="00733EDA" w:rsidRDefault="00902D9D" w:rsidP="00733EDA">
      <w:pPr>
        <w:spacing w:line="360" w:lineRule="auto"/>
        <w:rPr>
          <w:rFonts w:ascii="Arial" w:hAnsi="Arial" w:cs="Arial"/>
        </w:rPr>
      </w:pPr>
      <w:r w:rsidRPr="00733EDA">
        <w:rPr>
          <w:rFonts w:ascii="Arial" w:hAnsi="Arial" w:cs="Arial"/>
          <w:b/>
          <w:bCs/>
        </w:rPr>
        <w:t>-</w:t>
      </w:r>
      <w:r w:rsidR="00462469" w:rsidRPr="00733EDA">
        <w:rPr>
          <w:rFonts w:ascii="Arial" w:hAnsi="Arial" w:cs="Arial"/>
          <w:b/>
          <w:bCs/>
        </w:rPr>
        <w:t>Healthy Living</w:t>
      </w:r>
      <w:r w:rsidR="00462469" w:rsidRPr="00733EDA">
        <w:rPr>
          <w:rFonts w:ascii="Arial" w:hAnsi="Arial" w:cs="Arial"/>
        </w:rPr>
        <w:t>: Health promotes prevention. The opposition stresses healthy lifestyles for older folks. This component suggests examining reactive and initiative-taking healthcare to address ageing population challenges.</w:t>
      </w:r>
    </w:p>
    <w:p w14:paraId="40496B3C" w14:textId="352D359C" w:rsidR="00462469" w:rsidRPr="00733EDA" w:rsidRDefault="00902D9D" w:rsidP="00733EDA">
      <w:pPr>
        <w:spacing w:line="360" w:lineRule="auto"/>
        <w:rPr>
          <w:rFonts w:ascii="Arial" w:hAnsi="Arial" w:cs="Arial"/>
        </w:rPr>
      </w:pPr>
      <w:r w:rsidRPr="00733EDA">
        <w:rPr>
          <w:rFonts w:ascii="Arial" w:hAnsi="Arial" w:cs="Arial"/>
          <w:b/>
          <w:bCs/>
        </w:rPr>
        <w:t>-</w:t>
      </w:r>
      <w:r w:rsidR="00462469" w:rsidRPr="00733EDA">
        <w:rPr>
          <w:rFonts w:ascii="Arial" w:hAnsi="Arial" w:cs="Arial"/>
          <w:b/>
          <w:bCs/>
        </w:rPr>
        <w:t>Less Dependence</w:t>
      </w:r>
      <w:r w:rsidR="00462469" w:rsidRPr="00733EDA">
        <w:rPr>
          <w:rFonts w:ascii="Arial" w:hAnsi="Arial" w:cs="Arial"/>
        </w:rPr>
        <w:t>: Reducing older individuals' dependency challenges ageing ideas. Our discussions noted resource constraints, but the other group encourages older adults to live independently. This promotes independent and self-sufficient ageing, prompting us to explore new techniques and policies (Motamed-Jahromi and Kaveh, 2021).</w:t>
      </w:r>
    </w:p>
    <w:p w14:paraId="5BA3BC7B" w14:textId="226E7764" w:rsidR="00462469" w:rsidRPr="00733EDA" w:rsidRDefault="00902D9D" w:rsidP="00733EDA">
      <w:pPr>
        <w:spacing w:line="360" w:lineRule="auto"/>
        <w:rPr>
          <w:rFonts w:ascii="Arial" w:hAnsi="Arial" w:cs="Arial"/>
          <w:b/>
          <w:bCs/>
        </w:rPr>
      </w:pPr>
      <w:r w:rsidRPr="00733EDA">
        <w:rPr>
          <w:rFonts w:ascii="Arial" w:hAnsi="Arial" w:cs="Arial"/>
          <w:b/>
          <w:bCs/>
        </w:rPr>
        <w:t>-</w:t>
      </w:r>
      <w:r w:rsidR="00462469" w:rsidRPr="00733EDA">
        <w:rPr>
          <w:rFonts w:ascii="Arial" w:hAnsi="Arial" w:cs="Arial"/>
          <w:b/>
          <w:bCs/>
        </w:rPr>
        <w:t>Synthesizing Perspectives and Conclusion:</w:t>
      </w:r>
    </w:p>
    <w:p w14:paraId="338292CD" w14:textId="77777777" w:rsidR="00462469" w:rsidRPr="00733EDA" w:rsidRDefault="00462469" w:rsidP="00733EDA">
      <w:pPr>
        <w:spacing w:line="360" w:lineRule="auto"/>
        <w:rPr>
          <w:rFonts w:ascii="Arial" w:hAnsi="Arial" w:cs="Arial"/>
        </w:rPr>
      </w:pPr>
      <w:r w:rsidRPr="00733EDA">
        <w:rPr>
          <w:rFonts w:ascii="Arial" w:hAnsi="Arial" w:cs="Arial"/>
        </w:rPr>
        <w:t>Synthesizing perspectives reveal a rich tapestry of ageing population concerns and potential. Our concerns emphasize critical issues, while the opposing group's optimism inspires a more holistic and forward-thinking approach. The synthesis offers a balanced approach that uses the ageing demographic's assets to address difficulties (</w:t>
      </w:r>
      <w:proofErr w:type="spellStart"/>
      <w:r w:rsidRPr="00733EDA">
        <w:rPr>
          <w:rFonts w:ascii="Arial" w:hAnsi="Arial" w:cs="Arial"/>
        </w:rPr>
        <w:t>Haighton</w:t>
      </w:r>
      <w:proofErr w:type="spellEnd"/>
      <w:r w:rsidRPr="00733EDA">
        <w:rPr>
          <w:rFonts w:ascii="Arial" w:hAnsi="Arial" w:cs="Arial"/>
        </w:rPr>
        <w:t>, Dalkin, and Brittain, 2019).</w:t>
      </w:r>
    </w:p>
    <w:p w14:paraId="34A8949A" w14:textId="77777777" w:rsidR="00462469" w:rsidRPr="00733EDA" w:rsidRDefault="00462469" w:rsidP="00733EDA">
      <w:pPr>
        <w:spacing w:line="360" w:lineRule="auto"/>
        <w:rPr>
          <w:rFonts w:ascii="Arial" w:hAnsi="Arial" w:cs="Arial"/>
          <w:b/>
          <w:bCs/>
        </w:rPr>
      </w:pPr>
      <w:r w:rsidRPr="00733EDA">
        <w:rPr>
          <w:rFonts w:ascii="Arial" w:hAnsi="Arial" w:cs="Arial"/>
          <w:b/>
          <w:bCs/>
        </w:rPr>
        <w:t>Conclusion:</w:t>
      </w:r>
    </w:p>
    <w:p w14:paraId="51434CF0" w14:textId="42599D8E" w:rsidR="00462469" w:rsidRPr="00733EDA" w:rsidRDefault="00462469" w:rsidP="00733EDA">
      <w:pPr>
        <w:spacing w:line="360" w:lineRule="auto"/>
        <w:rPr>
          <w:rFonts w:ascii="Arial" w:hAnsi="Arial" w:cs="Arial"/>
        </w:rPr>
      </w:pPr>
      <w:r w:rsidRPr="00733EDA">
        <w:rPr>
          <w:rFonts w:ascii="Arial" w:hAnsi="Arial" w:cs="Arial"/>
        </w:rPr>
        <w:t>To summarize, our comprehensive examination of the difficulties posed by a growing elderly population emphasizes the necessity for prompt and resolute measures. While recognizing opposing perspectives, such as the economic contributions and potential health advantages emphasized by the other group, we remain steadfast in our dedication to the challenges we have identified—financial constraints, human resource deficiencies, infrastructure limitations, and the consequences of social isolation. An integral and interrelated approach is essential, encompassing financial strategizing, human capital maximization, infrastructure enhancement, and loneliness mitigation. We are committed to working together to prioritize the specific requirements of our ageing population, creating a compassionate and sustainable future that directly tackles difficulties.</w:t>
      </w:r>
    </w:p>
    <w:p w14:paraId="44B73A0A" w14:textId="77777777" w:rsidR="00A73F02" w:rsidRDefault="00A73F02" w:rsidP="004C73B9">
      <w:pPr>
        <w:spacing w:line="360" w:lineRule="auto"/>
        <w:rPr>
          <w:rFonts w:ascii="Arial" w:hAnsi="Arial" w:cs="Arial"/>
        </w:rPr>
      </w:pPr>
    </w:p>
    <w:p w14:paraId="107BEFA8" w14:textId="77777777" w:rsidR="00A73F02" w:rsidRDefault="00A73F02" w:rsidP="004C73B9">
      <w:pPr>
        <w:spacing w:line="360" w:lineRule="auto"/>
        <w:rPr>
          <w:rFonts w:ascii="Arial" w:hAnsi="Arial" w:cs="Arial"/>
        </w:rPr>
      </w:pPr>
    </w:p>
    <w:p w14:paraId="5BDE11A0" w14:textId="77777777" w:rsidR="00A73F02" w:rsidRPr="004C73B9" w:rsidRDefault="00A73F02" w:rsidP="004C73B9">
      <w:pPr>
        <w:spacing w:line="360" w:lineRule="auto"/>
        <w:rPr>
          <w:rFonts w:ascii="Arial" w:hAnsi="Arial" w:cs="Arial"/>
        </w:rPr>
      </w:pPr>
    </w:p>
    <w:p w14:paraId="599096A5" w14:textId="037BA8F6" w:rsidR="004C73B9" w:rsidRPr="00213AF3" w:rsidRDefault="00A71FD1" w:rsidP="004C73B9">
      <w:pPr>
        <w:spacing w:line="360" w:lineRule="auto"/>
        <w:rPr>
          <w:rFonts w:ascii="Arial" w:hAnsi="Arial" w:cs="Arial"/>
          <w:b/>
          <w:bCs/>
        </w:rPr>
      </w:pPr>
      <w:r w:rsidRPr="00213AF3">
        <w:rPr>
          <w:rFonts w:ascii="Arial" w:hAnsi="Arial" w:cs="Arial"/>
          <w:b/>
          <w:bCs/>
        </w:rPr>
        <w:t>Reference</w:t>
      </w:r>
    </w:p>
    <w:p w14:paraId="45BC53BF" w14:textId="377FE0A7" w:rsidR="00A71FD1" w:rsidRDefault="00A71FD1" w:rsidP="00A71FD1">
      <w:pPr>
        <w:pStyle w:val="NormalWeb"/>
        <w:spacing w:before="0" w:beforeAutospacing="0" w:after="240" w:afterAutospacing="0" w:line="360" w:lineRule="auto"/>
      </w:pPr>
      <w:r>
        <w:t>Age UK. (2023)</w:t>
      </w:r>
      <w:r w:rsidR="00213AF3">
        <w:t xml:space="preserve"> ‘</w:t>
      </w:r>
      <w:r>
        <w:rPr>
          <w:i/>
          <w:iCs/>
        </w:rPr>
        <w:t xml:space="preserve">Age UK issues clarion call for a big shift towards joined up home and </w:t>
      </w:r>
      <w:r w:rsidR="00213AF3">
        <w:rPr>
          <w:i/>
          <w:iCs/>
        </w:rPr>
        <w:t>community-based</w:t>
      </w:r>
      <w:r>
        <w:rPr>
          <w:i/>
          <w:iCs/>
        </w:rPr>
        <w:t xml:space="preserve"> health and social care services for older people</w:t>
      </w:r>
      <w:r w:rsidR="00213AF3">
        <w:t>’,</w:t>
      </w:r>
      <w:r>
        <w:t xml:space="preserve"> [online] Available at: </w:t>
      </w:r>
      <w:hyperlink r:id="rId5" w:history="1">
        <w:r w:rsidR="00213AF3" w:rsidRPr="00F60611">
          <w:rPr>
            <w:rStyle w:val="Hyperlink"/>
          </w:rPr>
          <w:t>https://www.ageuk.org.uk/latest-press/articles/2023/age-uk-issues-clarion-call-for-a-big-shift-towards-joined-up-home-and-community-based-health-and-social-care-services-for-older-people/</w:t>
        </w:r>
      </w:hyperlink>
      <w:r w:rsidR="00213AF3">
        <w:t xml:space="preserve"> </w:t>
      </w:r>
      <w:r>
        <w:t xml:space="preserve"> [Accessed 4 Dec. 2023].</w:t>
      </w:r>
    </w:p>
    <w:p w14:paraId="64E599A1" w14:textId="6783061E" w:rsidR="00A71FD1" w:rsidRDefault="00A71FD1" w:rsidP="00A71FD1">
      <w:pPr>
        <w:pStyle w:val="NormalWeb"/>
        <w:spacing w:before="0" w:beforeAutospacing="0" w:after="240" w:afterAutospacing="0" w:line="360" w:lineRule="auto"/>
      </w:pPr>
      <w:r>
        <w:t>Araujo de Carvalho, I., Epping-Jordan, J., Pot, A.M., Kelley, E., Toro, N., Thiyagarajan, J.A. and Beard, J.R. (2017)</w:t>
      </w:r>
      <w:r w:rsidR="00574794">
        <w:t xml:space="preserve"> ‘</w:t>
      </w:r>
      <w:r>
        <w:t xml:space="preserve">Organizing integrated </w:t>
      </w:r>
      <w:r w:rsidR="00574794">
        <w:t>healthcare</w:t>
      </w:r>
      <w:r>
        <w:t xml:space="preserve"> services to meet older people’s needs</w:t>
      </w:r>
      <w:r w:rsidR="00213AF3">
        <w:t>’,</w:t>
      </w:r>
      <w:r>
        <w:t xml:space="preserve"> </w:t>
      </w:r>
      <w:r>
        <w:rPr>
          <w:i/>
          <w:iCs/>
        </w:rPr>
        <w:t>Bulletin of the World Health Organization</w:t>
      </w:r>
      <w:r>
        <w:t xml:space="preserve">, [online] 95(11), pp.756–763. </w:t>
      </w:r>
      <w:r w:rsidR="0040418E">
        <w:t>Doi: HTTPs</w:t>
      </w:r>
      <w:r>
        <w:t>://doi.org/10.2471/blt.16.187617.</w:t>
      </w:r>
    </w:p>
    <w:p w14:paraId="5743AE1F" w14:textId="0996DD92" w:rsidR="00A71FD1" w:rsidRDefault="00A71FD1" w:rsidP="00A71FD1">
      <w:pPr>
        <w:pStyle w:val="NormalWeb"/>
        <w:spacing w:before="0" w:beforeAutospacing="0" w:after="240" w:afterAutospacing="0" w:line="360" w:lineRule="auto"/>
      </w:pPr>
      <w:r>
        <w:t>Care Quality Commission (2022</w:t>
      </w:r>
      <w:r w:rsidR="00574794">
        <w:t xml:space="preserve">) </w:t>
      </w:r>
      <w:r>
        <w:t xml:space="preserve"> </w:t>
      </w:r>
      <w:r w:rsidR="00574794">
        <w:t>‘</w:t>
      </w:r>
      <w:r>
        <w:rPr>
          <w:i/>
          <w:iCs/>
        </w:rPr>
        <w:t>Staff shortages and the impact on patients - Care Quality Commission</w:t>
      </w:r>
      <w:r w:rsidR="00574794">
        <w:t>’,</w:t>
      </w:r>
      <w:r>
        <w:t xml:space="preserve"> [online] www.cqc.org.uk. Available at: </w:t>
      </w:r>
      <w:hyperlink r:id="rId6" w:history="1">
        <w:r w:rsidR="00FE41E4" w:rsidRPr="00F60611">
          <w:rPr>
            <w:rStyle w:val="Hyperlink"/>
          </w:rPr>
          <w:t>https://www.cqc.org.uk/publications/monitoring-mental-health-act/2021-2022/staff-shortages</w:t>
        </w:r>
      </w:hyperlink>
      <w:r w:rsidR="00FE41E4">
        <w:t xml:space="preserve"> </w:t>
      </w:r>
      <w:r>
        <w:t xml:space="preserve"> [Accessed 4 Dec. 2023].</w:t>
      </w:r>
    </w:p>
    <w:p w14:paraId="5A7BC609" w14:textId="686C11B0" w:rsidR="00A71FD1" w:rsidRDefault="00A71FD1" w:rsidP="00A71FD1">
      <w:pPr>
        <w:pStyle w:val="NormalWeb"/>
        <w:spacing w:before="0" w:beforeAutospacing="0" w:after="240" w:afterAutospacing="0" w:line="360" w:lineRule="auto"/>
      </w:pPr>
      <w:r>
        <w:t>CDC (2021)</w:t>
      </w:r>
      <w:r w:rsidR="00FE41E4">
        <w:t xml:space="preserve"> ’</w:t>
      </w:r>
      <w:r>
        <w:rPr>
          <w:i/>
          <w:iCs/>
        </w:rPr>
        <w:t>Loneliness and Social Isolation Linked to Serious Health Conditions</w:t>
      </w:r>
      <w:r w:rsidR="00FE41E4">
        <w:t>’,</w:t>
      </w:r>
      <w:r>
        <w:t xml:space="preserve"> [online] www.cdc.gov. Available at:</w:t>
      </w:r>
      <w:r w:rsidR="00FE41E4">
        <w:t xml:space="preserve"> </w:t>
      </w:r>
      <w:r>
        <w:t xml:space="preserve"> </w:t>
      </w:r>
      <w:hyperlink r:id="rId7" w:anchor=":~:text=1" w:history="1">
        <w:r w:rsidR="00FE41E4" w:rsidRPr="00F60611">
          <w:rPr>
            <w:rStyle w:val="Hyperlink"/>
          </w:rPr>
          <w:t>https://www.cdc.gov/aging/publications/features/lonely-older-adults.html#:~:text=1</w:t>
        </w:r>
      </w:hyperlink>
      <w:r w:rsidR="00FE41E4">
        <w:t xml:space="preserve"> </w:t>
      </w:r>
      <w:r>
        <w:t xml:space="preserve"> </w:t>
      </w:r>
      <w:r w:rsidR="00FE41E4">
        <w:t xml:space="preserve"> </w:t>
      </w:r>
      <w:r>
        <w:t>[Accessed 4 Dec. 2023].</w:t>
      </w:r>
    </w:p>
    <w:p w14:paraId="59691AE3" w14:textId="1539F786" w:rsidR="00A71FD1" w:rsidRDefault="00A71FD1" w:rsidP="00A71FD1">
      <w:pPr>
        <w:pStyle w:val="NormalWeb"/>
        <w:spacing w:before="0" w:beforeAutospacing="0" w:after="240" w:afterAutospacing="0" w:line="360" w:lineRule="auto"/>
      </w:pPr>
      <w:r>
        <w:t>Donovan, N.J. and Blazer, D. (2020)</w:t>
      </w:r>
      <w:r w:rsidR="00FE41E4">
        <w:t xml:space="preserve"> ‘</w:t>
      </w:r>
      <w:r>
        <w:t xml:space="preserve"> Social Isolation and Loneliness in Older Adults: Review and Commentary of a National Academies Report</w:t>
      </w:r>
      <w:r w:rsidR="00FE41E4">
        <w:t>’,</w:t>
      </w:r>
      <w:r>
        <w:t xml:space="preserve"> </w:t>
      </w:r>
      <w:r>
        <w:rPr>
          <w:i/>
          <w:iCs/>
        </w:rPr>
        <w:t>The American Journal of Geriatric Psychiatry</w:t>
      </w:r>
      <w:r>
        <w:t xml:space="preserve">, 28(12), pp.1233–1244. </w:t>
      </w:r>
      <w:r w:rsidR="0040418E">
        <w:t>Doi: HTTPs</w:t>
      </w:r>
      <w:r>
        <w:t>://doi.org/10.1016/j.jagp.2020.08.005.</w:t>
      </w:r>
    </w:p>
    <w:p w14:paraId="30396B94" w14:textId="30C313E9" w:rsidR="00A71FD1" w:rsidRDefault="00A71FD1" w:rsidP="00A71FD1">
      <w:pPr>
        <w:pStyle w:val="NormalWeb"/>
        <w:spacing w:before="0" w:beforeAutospacing="0" w:after="240" w:afterAutospacing="0" w:line="360" w:lineRule="auto"/>
      </w:pPr>
      <w:r>
        <w:t>Government Office for Science (2016)</w:t>
      </w:r>
      <w:r w:rsidR="006B32A3">
        <w:t xml:space="preserve"> ‘</w:t>
      </w:r>
      <w:r>
        <w:t xml:space="preserve"> </w:t>
      </w:r>
      <w:r>
        <w:rPr>
          <w:i/>
          <w:iCs/>
        </w:rPr>
        <w:t>Future of an Ageing Population</w:t>
      </w:r>
      <w:r w:rsidR="006B32A3">
        <w:t>’,</w:t>
      </w:r>
      <w:r>
        <w:t xml:space="preserve"> [online] Available at: </w:t>
      </w:r>
      <w:hyperlink r:id="rId8" w:history="1">
        <w:r w:rsidR="006B32A3" w:rsidRPr="00F60611">
          <w:rPr>
            <w:rStyle w:val="Hyperlink"/>
          </w:rPr>
          <w:t>https://assets.publishing.service.gov.uk/media/5d273adce5274a5862768ff9/future-of-an-ageing-population.pdf</w:t>
        </w:r>
      </w:hyperlink>
      <w:r w:rsidR="006B32A3">
        <w:t xml:space="preserve"> </w:t>
      </w:r>
      <w:r>
        <w:t xml:space="preserve"> [Accessed 4 Dec. 2023].</w:t>
      </w:r>
    </w:p>
    <w:p w14:paraId="25E0E2EF" w14:textId="2C5CB86A" w:rsidR="00A71FD1" w:rsidRDefault="00A71FD1" w:rsidP="00A71FD1">
      <w:pPr>
        <w:pStyle w:val="NormalWeb"/>
        <w:spacing w:before="0" w:beforeAutospacing="0" w:after="240" w:afterAutospacing="0" w:line="360" w:lineRule="auto"/>
      </w:pPr>
      <w:r>
        <w:t>Haighton, D.C., Dalkin, D.S. and Brittain, D.K. (2019)</w:t>
      </w:r>
      <w:r w:rsidR="00F443B5">
        <w:t xml:space="preserve"> ’</w:t>
      </w:r>
      <w:r>
        <w:t xml:space="preserve"> </w:t>
      </w:r>
      <w:r>
        <w:rPr>
          <w:i/>
          <w:iCs/>
        </w:rPr>
        <w:t>An evidence summary of health inequalities in older populations in coastal and rural areas Full report</w:t>
      </w:r>
      <w:r w:rsidR="00F443B5">
        <w:t>’,</w:t>
      </w:r>
      <w:r>
        <w:t xml:space="preserve"> [online] Available at:</w:t>
      </w:r>
      <w:hyperlink r:id="rId9" w:history="1">
        <w:r w:rsidR="006B32A3" w:rsidRPr="00F60611">
          <w:rPr>
            <w:rStyle w:val="Hyperlink"/>
          </w:rPr>
          <w:t>https://assets.publishing.service.gov.uk/media/5d517ce3ed915d7646dea423/Health_Inequalities_in_Ageing_in_Rural_and_Coastal_Areas-Full_report.pdf</w:t>
        </w:r>
      </w:hyperlink>
      <w:r w:rsidR="006B32A3">
        <w:t xml:space="preserve"> </w:t>
      </w:r>
      <w:r>
        <w:t xml:space="preserve"> [Accessed 4 Dec. 2023].</w:t>
      </w:r>
    </w:p>
    <w:p w14:paraId="3F6EC051" w14:textId="33F2D062" w:rsidR="00A71FD1" w:rsidRDefault="00A71FD1" w:rsidP="00A71FD1">
      <w:pPr>
        <w:pStyle w:val="NormalWeb"/>
        <w:spacing w:before="0" w:beforeAutospacing="0" w:after="240" w:afterAutospacing="0" w:line="360" w:lineRule="auto"/>
      </w:pPr>
      <w:r>
        <w:lastRenderedPageBreak/>
        <w:t>Motamed-Jahromi, M. and Kaveh, M.H. (2021)</w:t>
      </w:r>
      <w:r w:rsidR="001318E4">
        <w:t xml:space="preserve"> ’</w:t>
      </w:r>
      <w:r>
        <w:t>Effective Interventions on Improving Elderly’s Independence in Activity of Daily Living: A Systematic Review and Logic Model</w:t>
      </w:r>
      <w:r w:rsidR="00D54C23">
        <w:t>’</w:t>
      </w:r>
      <w:r w:rsidR="00805585">
        <w:t>,</w:t>
      </w:r>
      <w:r>
        <w:t xml:space="preserve"> </w:t>
      </w:r>
      <w:r>
        <w:rPr>
          <w:i/>
          <w:iCs/>
        </w:rPr>
        <w:t>Frontiers in Public Health</w:t>
      </w:r>
      <w:r>
        <w:t xml:space="preserve">, 8(516151). </w:t>
      </w:r>
      <w:r w:rsidR="0040418E">
        <w:t>Doi: HTTPs</w:t>
      </w:r>
      <w:r>
        <w:t>://doi.org/10.3389/fpubh.2020.516151.</w:t>
      </w:r>
    </w:p>
    <w:p w14:paraId="16D4C6EF" w14:textId="32CC9583" w:rsidR="00A71FD1" w:rsidRDefault="00A71FD1" w:rsidP="00A71FD1">
      <w:pPr>
        <w:pStyle w:val="NormalWeb"/>
        <w:spacing w:before="0" w:beforeAutospacing="0" w:after="240" w:afterAutospacing="0" w:line="360" w:lineRule="auto"/>
      </w:pPr>
      <w:r>
        <w:t xml:space="preserve">Rudnicka, E., Napierała, P., Podfigurna, A., Męczekalski, B., Smolarczyk, R. and Grymowicz, M. (2020) </w:t>
      </w:r>
      <w:r w:rsidR="00D54C23">
        <w:t>‘</w:t>
      </w:r>
      <w:r>
        <w:t>The World Health Organization (WHO) approach to healthy ageing</w:t>
      </w:r>
      <w:r w:rsidR="00D54C23">
        <w:t>’</w:t>
      </w:r>
      <w:r w:rsidR="00805585">
        <w:t>,</w:t>
      </w:r>
      <w:r>
        <w:t xml:space="preserve"> </w:t>
      </w:r>
      <w:r>
        <w:rPr>
          <w:i/>
          <w:iCs/>
        </w:rPr>
        <w:t>Maturitas</w:t>
      </w:r>
      <w:r>
        <w:t>, 139(139), pp.6–11.</w:t>
      </w:r>
    </w:p>
    <w:p w14:paraId="7BE07AB0" w14:textId="04124F6F" w:rsidR="00A71FD1" w:rsidRDefault="00A71FD1" w:rsidP="00A71FD1">
      <w:pPr>
        <w:pStyle w:val="NormalWeb"/>
        <w:spacing w:before="0" w:beforeAutospacing="0" w:after="240" w:afterAutospacing="0" w:line="360" w:lineRule="auto"/>
      </w:pPr>
      <w:r>
        <w:t>Straßner, C., Frick, E., Stotz-Ingenlath, G., Buhlinger-Göpfarth, N., Szecsenyi, J., Krisam, J., Schalhorn, F., Valentini, J., Stolz, R. and Joos, S. (2019)</w:t>
      </w:r>
      <w:r w:rsidR="00805585">
        <w:t xml:space="preserve"> ’</w:t>
      </w:r>
      <w:r>
        <w:t xml:space="preserve"> Holistic care program for elderly patients to integrate spiritual needs, social activity, and self-care into disease management in primary care (HoPES3): study protocol for a cluster-randomized trial</w:t>
      </w:r>
      <w:r w:rsidR="00F443B5">
        <w:t>’,</w:t>
      </w:r>
      <w:r>
        <w:t xml:space="preserve"> </w:t>
      </w:r>
      <w:r>
        <w:rPr>
          <w:i/>
          <w:iCs/>
        </w:rPr>
        <w:t>Trials</w:t>
      </w:r>
      <w:r>
        <w:t>, 20(1). doi:https://doi.org/10.1186/s13063-019-3435-z.</w:t>
      </w:r>
    </w:p>
    <w:p w14:paraId="381D5796" w14:textId="77777777" w:rsidR="00A71FD1" w:rsidRPr="004C73B9" w:rsidRDefault="00A71FD1" w:rsidP="004C73B9">
      <w:pPr>
        <w:spacing w:line="360" w:lineRule="auto"/>
        <w:rPr>
          <w:rFonts w:ascii="Arial" w:hAnsi="Arial" w:cs="Arial"/>
        </w:rPr>
      </w:pPr>
    </w:p>
    <w:p w14:paraId="1AF00CB0" w14:textId="77777777" w:rsidR="004C73B9" w:rsidRPr="004C73B9" w:rsidRDefault="004C73B9" w:rsidP="004C73B9">
      <w:pPr>
        <w:spacing w:line="360" w:lineRule="auto"/>
        <w:rPr>
          <w:rFonts w:ascii="Arial" w:hAnsi="Arial" w:cs="Arial"/>
        </w:rPr>
      </w:pPr>
    </w:p>
    <w:p w14:paraId="06238020" w14:textId="77777777" w:rsidR="004C73B9" w:rsidRPr="004C73B9" w:rsidRDefault="004C73B9" w:rsidP="004C73B9">
      <w:pPr>
        <w:spacing w:line="360" w:lineRule="auto"/>
        <w:rPr>
          <w:rFonts w:ascii="Arial" w:hAnsi="Arial" w:cs="Arial"/>
        </w:rPr>
      </w:pPr>
    </w:p>
    <w:p w14:paraId="1AF70A58" w14:textId="77777777" w:rsidR="004C73B9" w:rsidRPr="004C73B9" w:rsidRDefault="004C73B9" w:rsidP="004C73B9">
      <w:pPr>
        <w:spacing w:line="360" w:lineRule="auto"/>
        <w:rPr>
          <w:rFonts w:ascii="Arial" w:hAnsi="Arial" w:cs="Arial"/>
        </w:rPr>
      </w:pPr>
    </w:p>
    <w:p w14:paraId="125486B9" w14:textId="77777777" w:rsidR="004C73B9" w:rsidRPr="004C73B9" w:rsidRDefault="004C73B9" w:rsidP="004C73B9">
      <w:pPr>
        <w:spacing w:line="360" w:lineRule="auto"/>
        <w:rPr>
          <w:rFonts w:ascii="Arial" w:hAnsi="Arial" w:cs="Arial"/>
        </w:rPr>
      </w:pPr>
    </w:p>
    <w:p w14:paraId="201533A8" w14:textId="77777777" w:rsidR="00ED0BCC" w:rsidRPr="00ED0BCC" w:rsidRDefault="00ED0BCC" w:rsidP="00ED0BCC">
      <w:pPr>
        <w:spacing w:line="360" w:lineRule="auto"/>
        <w:rPr>
          <w:rFonts w:ascii="Arial" w:hAnsi="Arial" w:cs="Arial"/>
        </w:rPr>
      </w:pPr>
    </w:p>
    <w:p w14:paraId="7BE1B2B9" w14:textId="77777777" w:rsidR="00ED0BCC" w:rsidRPr="00ED0BCC" w:rsidRDefault="00ED0BCC" w:rsidP="00ED0BCC">
      <w:pPr>
        <w:spacing w:line="360" w:lineRule="auto"/>
        <w:rPr>
          <w:rFonts w:ascii="Arial" w:hAnsi="Arial" w:cs="Arial"/>
        </w:rPr>
      </w:pPr>
    </w:p>
    <w:p w14:paraId="1C925793" w14:textId="77777777" w:rsidR="00ED0BCC" w:rsidRPr="00ED0BCC" w:rsidRDefault="00ED0BCC" w:rsidP="00ED0BCC">
      <w:pPr>
        <w:spacing w:line="360" w:lineRule="auto"/>
        <w:rPr>
          <w:rFonts w:ascii="Arial" w:hAnsi="Arial" w:cs="Arial"/>
        </w:rPr>
      </w:pPr>
    </w:p>
    <w:p w14:paraId="35365953" w14:textId="77777777" w:rsidR="00ED0BCC" w:rsidRPr="00ED0BCC" w:rsidRDefault="00ED0BCC" w:rsidP="00ED0BCC">
      <w:pPr>
        <w:spacing w:line="360" w:lineRule="auto"/>
        <w:rPr>
          <w:rFonts w:ascii="Arial" w:hAnsi="Arial" w:cs="Arial"/>
        </w:rPr>
      </w:pPr>
    </w:p>
    <w:p w14:paraId="010DA477" w14:textId="77777777" w:rsidR="00ED0BCC" w:rsidRPr="00ED0BCC" w:rsidRDefault="00ED0BCC" w:rsidP="00ED0BCC">
      <w:pPr>
        <w:spacing w:line="360" w:lineRule="auto"/>
        <w:rPr>
          <w:rFonts w:ascii="Arial" w:hAnsi="Arial" w:cs="Arial"/>
        </w:rPr>
      </w:pPr>
    </w:p>
    <w:p w14:paraId="036B1E82" w14:textId="77777777" w:rsidR="00ED0BCC" w:rsidRPr="00ED0BCC" w:rsidRDefault="00ED0BCC" w:rsidP="00ED0BCC">
      <w:pPr>
        <w:spacing w:line="360" w:lineRule="auto"/>
        <w:rPr>
          <w:rFonts w:ascii="Arial" w:hAnsi="Arial" w:cs="Arial"/>
        </w:rPr>
      </w:pPr>
    </w:p>
    <w:p w14:paraId="3F7E1A53" w14:textId="77777777" w:rsidR="00ED0BCC" w:rsidRPr="00ED0BCC" w:rsidRDefault="00ED0BCC" w:rsidP="00ED0BCC">
      <w:pPr>
        <w:spacing w:line="360" w:lineRule="auto"/>
        <w:rPr>
          <w:rFonts w:ascii="Arial" w:hAnsi="Arial" w:cs="Arial"/>
        </w:rPr>
      </w:pPr>
    </w:p>
    <w:p w14:paraId="63C4B0DC" w14:textId="77777777" w:rsidR="00ED0BCC" w:rsidRPr="00ED0BCC" w:rsidRDefault="00ED0BCC" w:rsidP="00ED0BCC">
      <w:pPr>
        <w:spacing w:line="360" w:lineRule="auto"/>
        <w:rPr>
          <w:rFonts w:ascii="Arial" w:hAnsi="Arial" w:cs="Arial"/>
        </w:rPr>
      </w:pPr>
    </w:p>
    <w:p w14:paraId="0BC1C62F" w14:textId="77777777" w:rsidR="00ED0BCC" w:rsidRPr="00ED0BCC" w:rsidRDefault="00ED0BCC" w:rsidP="00ED0BCC">
      <w:pPr>
        <w:spacing w:line="360" w:lineRule="auto"/>
        <w:rPr>
          <w:rFonts w:ascii="Arial" w:hAnsi="Arial" w:cs="Arial"/>
        </w:rPr>
      </w:pPr>
    </w:p>
    <w:p w14:paraId="23DCBFE2" w14:textId="77777777" w:rsidR="00ED0BCC" w:rsidRPr="00ED0BCC" w:rsidRDefault="00ED0BCC" w:rsidP="00ED0BCC">
      <w:pPr>
        <w:spacing w:line="360" w:lineRule="auto"/>
        <w:rPr>
          <w:rFonts w:ascii="Arial" w:hAnsi="Arial" w:cs="Arial"/>
        </w:rPr>
      </w:pPr>
    </w:p>
    <w:p w14:paraId="66BA0D87" w14:textId="77777777" w:rsidR="00ED0BCC" w:rsidRPr="00ED0BCC" w:rsidRDefault="00ED0BCC" w:rsidP="00ED0BCC">
      <w:pPr>
        <w:spacing w:line="360" w:lineRule="auto"/>
        <w:rPr>
          <w:rFonts w:ascii="Arial" w:hAnsi="Arial" w:cs="Arial"/>
        </w:rPr>
      </w:pPr>
    </w:p>
    <w:p w14:paraId="0AA5D860" w14:textId="77777777" w:rsidR="00ED0BCC" w:rsidRPr="00ED0BCC" w:rsidRDefault="00ED0BCC" w:rsidP="00ED0BCC">
      <w:pPr>
        <w:spacing w:line="360" w:lineRule="auto"/>
        <w:rPr>
          <w:rFonts w:ascii="Arial" w:hAnsi="Arial" w:cs="Arial"/>
        </w:rPr>
      </w:pPr>
    </w:p>
    <w:p w14:paraId="176A96AC" w14:textId="77777777" w:rsidR="00ED0BCC" w:rsidRPr="00ED0BCC" w:rsidRDefault="00ED0BCC" w:rsidP="00ED0BCC">
      <w:pPr>
        <w:spacing w:line="360" w:lineRule="auto"/>
        <w:rPr>
          <w:rFonts w:ascii="Arial" w:hAnsi="Arial" w:cs="Arial"/>
        </w:rPr>
      </w:pPr>
    </w:p>
    <w:p w14:paraId="471C3A46" w14:textId="64281F06" w:rsidR="004C73B9" w:rsidRPr="004C73B9" w:rsidRDefault="004C73B9" w:rsidP="004C73B9">
      <w:pPr>
        <w:spacing w:line="360" w:lineRule="auto"/>
        <w:rPr>
          <w:rFonts w:ascii="Arial" w:hAnsi="Arial" w:cs="Arial"/>
        </w:rPr>
      </w:pPr>
    </w:p>
    <w:p w14:paraId="20F46C0B" w14:textId="77777777" w:rsidR="004C73B9" w:rsidRPr="004C73B9" w:rsidRDefault="004C73B9" w:rsidP="004C73B9">
      <w:pPr>
        <w:spacing w:line="360" w:lineRule="auto"/>
        <w:rPr>
          <w:rFonts w:ascii="Arial" w:hAnsi="Arial" w:cs="Arial"/>
        </w:rPr>
      </w:pPr>
    </w:p>
    <w:p w14:paraId="5BE1A8F4" w14:textId="77777777" w:rsidR="004C73B9" w:rsidRPr="004C73B9" w:rsidRDefault="004C73B9" w:rsidP="004C73B9">
      <w:pPr>
        <w:spacing w:line="360" w:lineRule="auto"/>
        <w:rPr>
          <w:rFonts w:ascii="Arial" w:hAnsi="Arial" w:cs="Arial"/>
        </w:rPr>
      </w:pPr>
    </w:p>
    <w:p w14:paraId="53B066F9" w14:textId="77777777" w:rsidR="001A56A7" w:rsidRDefault="001A56A7" w:rsidP="00F15C17">
      <w:pPr>
        <w:spacing w:line="360" w:lineRule="auto"/>
        <w:rPr>
          <w:rFonts w:ascii="Arial" w:hAnsi="Arial" w:cs="Arial"/>
        </w:rPr>
      </w:pPr>
    </w:p>
    <w:p w14:paraId="7BDF704F" w14:textId="77777777" w:rsidR="001A56A7" w:rsidRDefault="001A56A7" w:rsidP="00F15C17">
      <w:pPr>
        <w:spacing w:line="360" w:lineRule="auto"/>
        <w:rPr>
          <w:rFonts w:ascii="Arial" w:hAnsi="Arial" w:cs="Arial"/>
        </w:rPr>
      </w:pPr>
    </w:p>
    <w:p w14:paraId="1A83C496" w14:textId="1A18E8F0" w:rsidR="00C477FA" w:rsidRPr="000D028B" w:rsidRDefault="00C477FA" w:rsidP="00C477FA">
      <w:pPr>
        <w:spacing w:line="360" w:lineRule="auto"/>
        <w:rPr>
          <w:rFonts w:ascii="Arial" w:hAnsi="Arial" w:cs="Arial"/>
          <w:lang w:val="en-US"/>
        </w:rPr>
      </w:pPr>
    </w:p>
    <w:sectPr w:rsidR="00C477FA" w:rsidRPr="000D0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04DD2"/>
    <w:multiLevelType w:val="multilevel"/>
    <w:tmpl w:val="5D8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2017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891"/>
    <w:rsid w:val="000155C3"/>
    <w:rsid w:val="000A58DF"/>
    <w:rsid w:val="000B022B"/>
    <w:rsid w:val="000B50B6"/>
    <w:rsid w:val="000C3117"/>
    <w:rsid w:val="000C79D7"/>
    <w:rsid w:val="000D028B"/>
    <w:rsid w:val="00116088"/>
    <w:rsid w:val="001174D3"/>
    <w:rsid w:val="001318E4"/>
    <w:rsid w:val="00191E74"/>
    <w:rsid w:val="001A56A7"/>
    <w:rsid w:val="001B7B73"/>
    <w:rsid w:val="001C6F89"/>
    <w:rsid w:val="001F1101"/>
    <w:rsid w:val="00211CEA"/>
    <w:rsid w:val="00213AF3"/>
    <w:rsid w:val="0025585C"/>
    <w:rsid w:val="002A4852"/>
    <w:rsid w:val="002B1B32"/>
    <w:rsid w:val="002E4754"/>
    <w:rsid w:val="00350A9B"/>
    <w:rsid w:val="00384B84"/>
    <w:rsid w:val="0040418E"/>
    <w:rsid w:val="004169B6"/>
    <w:rsid w:val="00462469"/>
    <w:rsid w:val="00466F08"/>
    <w:rsid w:val="004C0E71"/>
    <w:rsid w:val="004C6A4A"/>
    <w:rsid w:val="004C73B9"/>
    <w:rsid w:val="005530BD"/>
    <w:rsid w:val="00574794"/>
    <w:rsid w:val="00575506"/>
    <w:rsid w:val="005E4AC0"/>
    <w:rsid w:val="006639DE"/>
    <w:rsid w:val="006726EF"/>
    <w:rsid w:val="006A17D1"/>
    <w:rsid w:val="006B32A3"/>
    <w:rsid w:val="006B5891"/>
    <w:rsid w:val="006D16D4"/>
    <w:rsid w:val="00733EDA"/>
    <w:rsid w:val="007B400A"/>
    <w:rsid w:val="007C2B7B"/>
    <w:rsid w:val="007E753D"/>
    <w:rsid w:val="00805585"/>
    <w:rsid w:val="00812FAD"/>
    <w:rsid w:val="008220C3"/>
    <w:rsid w:val="008271B1"/>
    <w:rsid w:val="0087421F"/>
    <w:rsid w:val="008753C8"/>
    <w:rsid w:val="008918B6"/>
    <w:rsid w:val="00902D9D"/>
    <w:rsid w:val="009442DC"/>
    <w:rsid w:val="00956861"/>
    <w:rsid w:val="009638E9"/>
    <w:rsid w:val="0097063B"/>
    <w:rsid w:val="0098728B"/>
    <w:rsid w:val="009877B2"/>
    <w:rsid w:val="009C732D"/>
    <w:rsid w:val="00A10F8E"/>
    <w:rsid w:val="00A112F4"/>
    <w:rsid w:val="00A27171"/>
    <w:rsid w:val="00A55BB0"/>
    <w:rsid w:val="00A6448D"/>
    <w:rsid w:val="00A67CDF"/>
    <w:rsid w:val="00A71FD1"/>
    <w:rsid w:val="00A729E7"/>
    <w:rsid w:val="00A73F02"/>
    <w:rsid w:val="00AC5B20"/>
    <w:rsid w:val="00AC7BAE"/>
    <w:rsid w:val="00AE751D"/>
    <w:rsid w:val="00B44F0A"/>
    <w:rsid w:val="00B91B51"/>
    <w:rsid w:val="00B933DE"/>
    <w:rsid w:val="00C4441D"/>
    <w:rsid w:val="00C477FA"/>
    <w:rsid w:val="00C54F5D"/>
    <w:rsid w:val="00C55815"/>
    <w:rsid w:val="00C71B24"/>
    <w:rsid w:val="00C720BF"/>
    <w:rsid w:val="00CB473F"/>
    <w:rsid w:val="00CD3A49"/>
    <w:rsid w:val="00D52A07"/>
    <w:rsid w:val="00D54C23"/>
    <w:rsid w:val="00D66605"/>
    <w:rsid w:val="00D86C89"/>
    <w:rsid w:val="00D87D3E"/>
    <w:rsid w:val="00D92169"/>
    <w:rsid w:val="00DB0B10"/>
    <w:rsid w:val="00DC726F"/>
    <w:rsid w:val="00DE478B"/>
    <w:rsid w:val="00DF15CB"/>
    <w:rsid w:val="00E043F5"/>
    <w:rsid w:val="00E06542"/>
    <w:rsid w:val="00E36DE2"/>
    <w:rsid w:val="00EC0419"/>
    <w:rsid w:val="00ED0BCC"/>
    <w:rsid w:val="00F15C17"/>
    <w:rsid w:val="00F443B5"/>
    <w:rsid w:val="00F57818"/>
    <w:rsid w:val="00F737D0"/>
    <w:rsid w:val="00F8713A"/>
    <w:rsid w:val="00FE2069"/>
    <w:rsid w:val="00FE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C5C83"/>
  <w15:chartTrackingRefBased/>
  <w15:docId w15:val="{3689F4BB-0C86-497C-9994-82999E262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71F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B32A3"/>
    <w:rPr>
      <w:color w:val="0563C1" w:themeColor="hyperlink"/>
      <w:u w:val="single"/>
    </w:rPr>
  </w:style>
  <w:style w:type="character" w:styleId="UnresolvedMention">
    <w:name w:val="Unresolved Mention"/>
    <w:basedOn w:val="DefaultParagraphFont"/>
    <w:uiPriority w:val="99"/>
    <w:semiHidden/>
    <w:unhideWhenUsed/>
    <w:rsid w:val="006B3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982079">
      <w:bodyDiv w:val="1"/>
      <w:marLeft w:val="0"/>
      <w:marRight w:val="0"/>
      <w:marTop w:val="0"/>
      <w:marBottom w:val="0"/>
      <w:divBdr>
        <w:top w:val="none" w:sz="0" w:space="0" w:color="auto"/>
        <w:left w:val="none" w:sz="0" w:space="0" w:color="auto"/>
        <w:bottom w:val="none" w:sz="0" w:space="0" w:color="auto"/>
        <w:right w:val="none" w:sz="0" w:space="0" w:color="auto"/>
      </w:divBdr>
    </w:div>
    <w:div w:id="1313482479">
      <w:bodyDiv w:val="1"/>
      <w:marLeft w:val="0"/>
      <w:marRight w:val="0"/>
      <w:marTop w:val="0"/>
      <w:marBottom w:val="0"/>
      <w:divBdr>
        <w:top w:val="none" w:sz="0" w:space="0" w:color="auto"/>
        <w:left w:val="none" w:sz="0" w:space="0" w:color="auto"/>
        <w:bottom w:val="none" w:sz="0" w:space="0" w:color="auto"/>
        <w:right w:val="none" w:sz="0" w:space="0" w:color="auto"/>
      </w:divBdr>
    </w:div>
    <w:div w:id="2044790699">
      <w:bodyDiv w:val="1"/>
      <w:marLeft w:val="0"/>
      <w:marRight w:val="0"/>
      <w:marTop w:val="0"/>
      <w:marBottom w:val="0"/>
      <w:divBdr>
        <w:top w:val="none" w:sz="0" w:space="0" w:color="auto"/>
        <w:left w:val="none" w:sz="0" w:space="0" w:color="auto"/>
        <w:bottom w:val="none" w:sz="0" w:space="0" w:color="auto"/>
        <w:right w:val="none" w:sz="0" w:space="0" w:color="auto"/>
      </w:divBdr>
      <w:divsChild>
        <w:div w:id="1001008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d273adce5274a5862768ff9/future-of-an-ageing-population.pdf" TargetMode="External"/><Relationship Id="rId3" Type="http://schemas.openxmlformats.org/officeDocument/2006/relationships/settings" Target="settings.xml"/><Relationship Id="rId7" Type="http://schemas.openxmlformats.org/officeDocument/2006/relationships/hyperlink" Target="https://www.cdc.gov/aging/publications/features/lonely-older-adult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qc.org.uk/publications/monitoring-mental-health-act/2021-2022/staff-shortages" TargetMode="External"/><Relationship Id="rId11" Type="http://schemas.openxmlformats.org/officeDocument/2006/relationships/theme" Target="theme/theme1.xml"/><Relationship Id="rId5" Type="http://schemas.openxmlformats.org/officeDocument/2006/relationships/hyperlink" Target="https://www.ageuk.org.uk/latest-press/articles/2023/age-uk-issues-clarion-call-for-a-big-shift-towards-joined-up-home-and-community-based-health-and-social-care-services-for-older-peopl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media/5d517ce3ed915d7646dea423/Health_Inequalities_in_Ageing_in_Rural_and_Coastal_Areas-Ful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5412</TotalTime>
  <Pages>7</Pages>
  <Words>1421</Words>
  <Characters>9372</Characters>
  <Application>Microsoft Office Word</Application>
  <DocSecurity>0</DocSecurity>
  <Lines>181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Papazova</dc:creator>
  <cp:keywords/>
  <dc:description/>
  <cp:lastModifiedBy>Teodora Papazova</cp:lastModifiedBy>
  <cp:revision>103</cp:revision>
  <dcterms:created xsi:type="dcterms:W3CDTF">2023-11-03T11:51:00Z</dcterms:created>
  <dcterms:modified xsi:type="dcterms:W3CDTF">2023-12-06T17:11:00Z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ede15582-b373-4d8f-9ef4-0d1489058a16</vt:lpwstr>
  </property>
</Properties>
</file>