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3C56E7" w14:textId="112F44A7" w:rsidR="003971B8" w:rsidRPr="00090588" w:rsidRDefault="003971B8" w:rsidP="003971B8">
      <w:pPr>
        <w:rPr>
          <w:sz w:val="36"/>
          <w:szCs w:val="36"/>
        </w:rPr>
      </w:pPr>
      <w:r w:rsidRPr="00090588">
        <w:rPr>
          <w:sz w:val="36"/>
          <w:szCs w:val="36"/>
        </w:rPr>
        <w:t>Article Review of “Bringing Things to Life: Creative Entanglements in a World of Materials”</w:t>
      </w:r>
      <w:r w:rsidR="007C0BE1" w:rsidRPr="00090588">
        <w:rPr>
          <w:sz w:val="36"/>
          <w:szCs w:val="36"/>
        </w:rPr>
        <w:t xml:space="preserve"> by Tim Ingold (2010)</w:t>
      </w:r>
    </w:p>
    <w:p w14:paraId="06C0DFFE" w14:textId="6C1182AB" w:rsidR="003971B8" w:rsidRDefault="00090588" w:rsidP="000836D0">
      <w:pPr>
        <w:rPr>
          <w:sz w:val="28"/>
          <w:szCs w:val="28"/>
        </w:rPr>
      </w:pPr>
      <w:r>
        <w:rPr>
          <w:sz w:val="28"/>
          <w:szCs w:val="28"/>
        </w:rPr>
        <w:t>Ingold’s article begins by explaining the position that he will be arguing against, the “</w:t>
      </w:r>
      <w:r w:rsidR="008850A5">
        <w:rPr>
          <w:sz w:val="28"/>
          <w:szCs w:val="28"/>
        </w:rPr>
        <w:t>h</w:t>
      </w:r>
      <w:r w:rsidR="000836D0">
        <w:rPr>
          <w:sz w:val="28"/>
          <w:szCs w:val="28"/>
        </w:rPr>
        <w:t>y</w:t>
      </w:r>
      <w:r>
        <w:rPr>
          <w:sz w:val="28"/>
          <w:szCs w:val="28"/>
        </w:rPr>
        <w:t xml:space="preserve">lomorphic </w:t>
      </w:r>
      <w:r w:rsidR="008850A5">
        <w:rPr>
          <w:sz w:val="28"/>
          <w:szCs w:val="28"/>
        </w:rPr>
        <w:t>m</w:t>
      </w:r>
      <w:r>
        <w:rPr>
          <w:sz w:val="28"/>
          <w:szCs w:val="28"/>
        </w:rPr>
        <w:t>odel” outlying his “ultimate aim” as to “</w:t>
      </w:r>
      <w:r w:rsidRPr="00090588">
        <w:rPr>
          <w:sz w:val="28"/>
          <w:szCs w:val="28"/>
        </w:rPr>
        <w:t>overthrow the model itself</w:t>
      </w:r>
      <w:r>
        <w:rPr>
          <w:sz w:val="28"/>
          <w:szCs w:val="28"/>
        </w:rPr>
        <w:t>”.</w:t>
      </w:r>
      <w:r w:rsidR="00366B7F">
        <w:rPr>
          <w:sz w:val="28"/>
          <w:szCs w:val="28"/>
        </w:rPr>
        <w:t xml:space="preserve"> The </w:t>
      </w:r>
      <w:r w:rsidR="008850A5">
        <w:rPr>
          <w:sz w:val="28"/>
          <w:szCs w:val="28"/>
        </w:rPr>
        <w:t>h</w:t>
      </w:r>
      <w:r w:rsidR="000836D0">
        <w:rPr>
          <w:sz w:val="28"/>
          <w:szCs w:val="28"/>
        </w:rPr>
        <w:t>y</w:t>
      </w:r>
      <w:r w:rsidR="00366B7F">
        <w:rPr>
          <w:sz w:val="28"/>
          <w:szCs w:val="28"/>
        </w:rPr>
        <w:t xml:space="preserve">lomorphic </w:t>
      </w:r>
      <w:r w:rsidR="008850A5">
        <w:rPr>
          <w:sz w:val="28"/>
          <w:szCs w:val="28"/>
        </w:rPr>
        <w:t>m</w:t>
      </w:r>
      <w:r w:rsidR="00366B7F">
        <w:rPr>
          <w:sz w:val="28"/>
          <w:szCs w:val="28"/>
        </w:rPr>
        <w:t xml:space="preserve">odel is a </w:t>
      </w:r>
      <w:r w:rsidR="000836D0">
        <w:rPr>
          <w:sz w:val="28"/>
          <w:szCs w:val="28"/>
        </w:rPr>
        <w:t xml:space="preserve">model </w:t>
      </w:r>
      <w:r w:rsidR="004F0027">
        <w:rPr>
          <w:sz w:val="28"/>
          <w:szCs w:val="28"/>
        </w:rPr>
        <w:t xml:space="preserve">that’s origins are </w:t>
      </w:r>
      <w:r w:rsidR="000836D0">
        <w:rPr>
          <w:sz w:val="28"/>
          <w:szCs w:val="28"/>
        </w:rPr>
        <w:t>associated with the ancient Greek philosopher Aristotle, who claimed that to create anything you have to “</w:t>
      </w:r>
      <w:r w:rsidR="000836D0" w:rsidRPr="000836D0">
        <w:rPr>
          <w:sz w:val="28"/>
          <w:szCs w:val="28"/>
        </w:rPr>
        <w:t>bring together form</w:t>
      </w:r>
      <w:r w:rsidR="000836D0">
        <w:rPr>
          <w:sz w:val="28"/>
          <w:szCs w:val="28"/>
        </w:rPr>
        <w:t xml:space="preserve"> </w:t>
      </w:r>
      <w:r w:rsidR="000836D0" w:rsidRPr="000836D0">
        <w:rPr>
          <w:sz w:val="28"/>
          <w:szCs w:val="28"/>
        </w:rPr>
        <w:t>(morphe) and matter (hyle)</w:t>
      </w:r>
      <w:r w:rsidR="000836D0">
        <w:rPr>
          <w:sz w:val="28"/>
          <w:szCs w:val="28"/>
        </w:rPr>
        <w:t>”</w:t>
      </w:r>
      <w:r w:rsidR="00A6054C">
        <w:rPr>
          <w:sz w:val="28"/>
          <w:szCs w:val="28"/>
        </w:rPr>
        <w:t>.</w:t>
      </w:r>
      <w:r w:rsidR="004F0027">
        <w:rPr>
          <w:sz w:val="28"/>
          <w:szCs w:val="28"/>
        </w:rPr>
        <w:t xml:space="preserve"> Th</w:t>
      </w:r>
      <w:r w:rsidR="008850A5">
        <w:rPr>
          <w:sz w:val="28"/>
          <w:szCs w:val="28"/>
        </w:rPr>
        <w:t xml:space="preserve">e primary point of the hylomorphic model that Ingold intends to </w:t>
      </w:r>
      <w:r w:rsidR="009D4F26">
        <w:rPr>
          <w:sz w:val="28"/>
          <w:szCs w:val="28"/>
        </w:rPr>
        <w:t>challenge is the belief that focus should be given to the final outcome, and to replace it with an idea that is more focused on the flows and transformations</w:t>
      </w:r>
      <w:r w:rsidR="00F26362">
        <w:rPr>
          <w:sz w:val="28"/>
          <w:szCs w:val="28"/>
        </w:rPr>
        <w:t xml:space="preserve"> of the things</w:t>
      </w:r>
      <w:r w:rsidR="004F4836">
        <w:rPr>
          <w:sz w:val="28"/>
          <w:szCs w:val="28"/>
        </w:rPr>
        <w:t xml:space="preserve"> involved</w:t>
      </w:r>
      <w:r w:rsidR="009D4F26">
        <w:rPr>
          <w:sz w:val="28"/>
          <w:szCs w:val="28"/>
        </w:rPr>
        <w:t>.</w:t>
      </w:r>
    </w:p>
    <w:p w14:paraId="0099C30C" w14:textId="1EFB8071" w:rsidR="00756402" w:rsidRDefault="00285FC3" w:rsidP="007F57DA">
      <w:pPr>
        <w:rPr>
          <w:sz w:val="28"/>
          <w:szCs w:val="28"/>
        </w:rPr>
      </w:pPr>
      <w:r>
        <w:rPr>
          <w:sz w:val="28"/>
          <w:szCs w:val="28"/>
        </w:rPr>
        <w:t>Ingold’s first point is insistence on the use of “thing” rather than “object” to describe material entities, with a clear distinction between the two. His second point is to establish what is meant in his use of the term “life”</w:t>
      </w:r>
      <w:r w:rsidR="002E7F2B">
        <w:rPr>
          <w:sz w:val="28"/>
          <w:szCs w:val="28"/>
        </w:rPr>
        <w:t xml:space="preserve"> as the capacity for forms to arise and be held in place. His third point is to </w:t>
      </w:r>
      <w:r w:rsidR="009E3CE4">
        <w:rPr>
          <w:sz w:val="28"/>
          <w:szCs w:val="28"/>
        </w:rPr>
        <w:t>focus not on materiality itself, but on the idea of “</w:t>
      </w:r>
      <w:r w:rsidR="009E3CE4" w:rsidRPr="009E3CE4">
        <w:rPr>
          <w:sz w:val="28"/>
          <w:szCs w:val="28"/>
        </w:rPr>
        <w:t>the fluxes and flows of materials</w:t>
      </w:r>
      <w:r w:rsidR="009E3CE4">
        <w:rPr>
          <w:sz w:val="28"/>
          <w:szCs w:val="28"/>
        </w:rPr>
        <w:t>”.</w:t>
      </w:r>
      <w:r w:rsidR="004B04F7">
        <w:rPr>
          <w:sz w:val="28"/>
          <w:szCs w:val="28"/>
        </w:rPr>
        <w:t xml:space="preserve"> Ingold’s fourth point is</w:t>
      </w:r>
      <w:r w:rsidR="0022591F">
        <w:rPr>
          <w:sz w:val="28"/>
          <w:szCs w:val="28"/>
        </w:rPr>
        <w:t xml:space="preserve"> to determine the “specific sense in which movement along these paths is creative”. His fifth and final point is to show that the pathways upon which </w:t>
      </w:r>
      <w:r w:rsidR="007F57DA">
        <w:rPr>
          <w:sz w:val="28"/>
          <w:szCs w:val="28"/>
        </w:rPr>
        <w:t>“</w:t>
      </w:r>
      <w:r w:rsidR="007F57DA" w:rsidRPr="007F57DA">
        <w:rPr>
          <w:sz w:val="28"/>
          <w:szCs w:val="28"/>
        </w:rPr>
        <w:t>improvisatory</w:t>
      </w:r>
      <w:r w:rsidR="007F57DA">
        <w:rPr>
          <w:sz w:val="28"/>
          <w:szCs w:val="28"/>
        </w:rPr>
        <w:t xml:space="preserve"> </w:t>
      </w:r>
      <w:r w:rsidR="007F57DA" w:rsidRPr="007F57DA">
        <w:rPr>
          <w:sz w:val="28"/>
          <w:szCs w:val="28"/>
        </w:rPr>
        <w:t>practice unfolds</w:t>
      </w:r>
      <w:r w:rsidR="007F57DA">
        <w:rPr>
          <w:sz w:val="28"/>
          <w:szCs w:val="28"/>
        </w:rPr>
        <w:t>” are not connections but are in fact “lines upon which things continuously come into being”.</w:t>
      </w:r>
    </w:p>
    <w:p w14:paraId="7E01EDE9" w14:textId="3D54275F" w:rsidR="00A472CB" w:rsidRDefault="00024695" w:rsidP="000836D0">
      <w:pPr>
        <w:rPr>
          <w:sz w:val="28"/>
          <w:szCs w:val="28"/>
        </w:rPr>
      </w:pPr>
      <w:r>
        <w:rPr>
          <w:sz w:val="28"/>
          <w:szCs w:val="28"/>
        </w:rPr>
        <w:t xml:space="preserve">Ingold then goes on to </w:t>
      </w:r>
      <w:r w:rsidR="00EA7148">
        <w:rPr>
          <w:sz w:val="28"/>
          <w:szCs w:val="28"/>
        </w:rPr>
        <w:t>turn to the</w:t>
      </w:r>
      <w:r>
        <w:rPr>
          <w:sz w:val="28"/>
          <w:szCs w:val="28"/>
        </w:rPr>
        <w:t xml:space="preserve"> specific uses of “thing” and “object”.</w:t>
      </w:r>
      <w:r w:rsidR="0005124E">
        <w:rPr>
          <w:sz w:val="28"/>
          <w:szCs w:val="28"/>
        </w:rPr>
        <w:t xml:space="preserve"> </w:t>
      </w:r>
      <w:r w:rsidR="00EA7148">
        <w:rPr>
          <w:sz w:val="28"/>
          <w:szCs w:val="28"/>
        </w:rPr>
        <w:t xml:space="preserve">Starting with the environment, heavily making use of the work of </w:t>
      </w:r>
      <w:r w:rsidR="00756402">
        <w:rPr>
          <w:sz w:val="28"/>
          <w:szCs w:val="28"/>
        </w:rPr>
        <w:t>psychologist James Gibson (1979)</w:t>
      </w:r>
      <w:r w:rsidR="00526E51">
        <w:rPr>
          <w:sz w:val="28"/>
          <w:szCs w:val="28"/>
        </w:rPr>
        <w:t xml:space="preserve"> to raise questions about the nature of “things” and “objects”, supposing that objects are defined by their function, and are what is needed to make life liveable.</w:t>
      </w:r>
      <w:r w:rsidR="00DB404B">
        <w:rPr>
          <w:sz w:val="28"/>
          <w:szCs w:val="28"/>
        </w:rPr>
        <w:t xml:space="preserve"> </w:t>
      </w:r>
    </w:p>
    <w:p w14:paraId="0D07EDFE" w14:textId="6F9BA12C" w:rsidR="00BF305E" w:rsidRDefault="00A562CE" w:rsidP="000836D0">
      <w:pPr>
        <w:rPr>
          <w:sz w:val="28"/>
          <w:szCs w:val="28"/>
        </w:rPr>
      </w:pPr>
      <w:r>
        <w:rPr>
          <w:sz w:val="28"/>
          <w:szCs w:val="28"/>
        </w:rPr>
        <w:t>Ingold’s next enquiry is into the boundaries typically applied to “objects”, using a tree as an example, specifically exploring how a tree can be part of several larger entities (such as a forest), and is made up of a number of far smaller entities (such as the leaves, the trunk, and the branches)</w:t>
      </w:r>
      <w:r w:rsidR="00A65C75">
        <w:rPr>
          <w:sz w:val="28"/>
          <w:szCs w:val="28"/>
        </w:rPr>
        <w:t>, along with other entities that are found in conjunction, such as lichen or insects</w:t>
      </w:r>
      <w:r>
        <w:rPr>
          <w:sz w:val="28"/>
          <w:szCs w:val="28"/>
        </w:rPr>
        <w:t>.</w:t>
      </w:r>
      <w:r w:rsidR="00A65C75">
        <w:rPr>
          <w:sz w:val="28"/>
          <w:szCs w:val="28"/>
        </w:rPr>
        <w:t xml:space="preserve"> </w:t>
      </w:r>
      <w:r w:rsidR="00A46FA5">
        <w:rPr>
          <w:sz w:val="28"/>
          <w:szCs w:val="28"/>
        </w:rPr>
        <w:lastRenderedPageBreak/>
        <w:t>Ingold concludes from this that a tree is not a single bounded “object”, but instead a “thing”, which he defines as “</w:t>
      </w:r>
      <w:r w:rsidR="00A46FA5" w:rsidRPr="00A46FA5">
        <w:rPr>
          <w:sz w:val="28"/>
          <w:szCs w:val="28"/>
        </w:rPr>
        <w:t>a certain gathering together of the threads of life.</w:t>
      </w:r>
      <w:r w:rsidR="00A46FA5">
        <w:rPr>
          <w:sz w:val="28"/>
          <w:szCs w:val="28"/>
        </w:rPr>
        <w:t>”.</w:t>
      </w:r>
      <w:r w:rsidR="00896CF6">
        <w:rPr>
          <w:sz w:val="28"/>
          <w:szCs w:val="28"/>
        </w:rPr>
        <w:t xml:space="preserve"> </w:t>
      </w:r>
      <w:r w:rsidR="00BF6471">
        <w:rPr>
          <w:sz w:val="28"/>
          <w:szCs w:val="28"/>
        </w:rPr>
        <w:br/>
      </w:r>
      <w:r w:rsidR="00D80BE5">
        <w:rPr>
          <w:sz w:val="28"/>
          <w:szCs w:val="28"/>
        </w:rPr>
        <w:t xml:space="preserve">Ingold proceeds to explain that the idea is loosely following the idea that is kept by the </w:t>
      </w:r>
      <w:r w:rsidR="006140B2">
        <w:rPr>
          <w:sz w:val="28"/>
          <w:szCs w:val="28"/>
        </w:rPr>
        <w:t xml:space="preserve">philosopher Martin </w:t>
      </w:r>
      <w:r w:rsidR="006140B2" w:rsidRPr="006140B2">
        <w:rPr>
          <w:sz w:val="28"/>
          <w:szCs w:val="28"/>
        </w:rPr>
        <w:t>Heidegger</w:t>
      </w:r>
      <w:r w:rsidR="006140B2">
        <w:rPr>
          <w:sz w:val="28"/>
          <w:szCs w:val="28"/>
        </w:rPr>
        <w:t xml:space="preserve">, </w:t>
      </w:r>
      <w:r w:rsidR="00E67A47">
        <w:rPr>
          <w:sz w:val="28"/>
          <w:szCs w:val="28"/>
        </w:rPr>
        <w:t>who himself</w:t>
      </w:r>
      <w:r w:rsidR="00B71233">
        <w:rPr>
          <w:sz w:val="28"/>
          <w:szCs w:val="28"/>
        </w:rPr>
        <w:t xml:space="preserve"> works to</w:t>
      </w:r>
      <w:r w:rsidR="00E67A47">
        <w:rPr>
          <w:sz w:val="28"/>
          <w:szCs w:val="28"/>
        </w:rPr>
        <w:t xml:space="preserve"> define the difference </w:t>
      </w:r>
      <w:r w:rsidR="00B71233">
        <w:rPr>
          <w:sz w:val="28"/>
          <w:szCs w:val="28"/>
        </w:rPr>
        <w:t>between “things” and “objects.</w:t>
      </w:r>
      <w:r w:rsidR="002E4429">
        <w:rPr>
          <w:sz w:val="28"/>
          <w:szCs w:val="28"/>
        </w:rPr>
        <w:t xml:space="preserve"> Heidegger considers </w:t>
      </w:r>
      <w:r w:rsidR="00F83CCF">
        <w:rPr>
          <w:sz w:val="28"/>
          <w:szCs w:val="28"/>
        </w:rPr>
        <w:t>an object to be a single entity, defined by it’s “againstness” when compared to its surroundings. Things however, are</w:t>
      </w:r>
      <w:r w:rsidR="006877FD">
        <w:rPr>
          <w:sz w:val="28"/>
          <w:szCs w:val="28"/>
        </w:rPr>
        <w:t xml:space="preserve"> “goings on”, or are several “goings on” coming together and being defined alongside each other</w:t>
      </w:r>
      <w:r w:rsidR="00DB74C1">
        <w:rPr>
          <w:sz w:val="28"/>
          <w:szCs w:val="28"/>
        </w:rPr>
        <w:t>. The biggest difference between the two is that the “object” is bounded, while the “thing” is not.</w:t>
      </w:r>
      <w:r w:rsidR="00EB0616">
        <w:rPr>
          <w:sz w:val="28"/>
          <w:szCs w:val="28"/>
        </w:rPr>
        <w:t xml:space="preserve"> Ingold goes on to name several more examples including a stone that is tripped on, and a house as examples of “things” rather than “objects” due to their ever-changing nature.</w:t>
      </w:r>
    </w:p>
    <w:p w14:paraId="366C9762" w14:textId="5AAAA2A0" w:rsidR="002D4707" w:rsidRDefault="00C71099" w:rsidP="000836D0">
      <w:pPr>
        <w:rPr>
          <w:sz w:val="28"/>
          <w:szCs w:val="28"/>
        </w:rPr>
      </w:pPr>
      <w:r>
        <w:rPr>
          <w:sz w:val="28"/>
          <w:szCs w:val="28"/>
        </w:rPr>
        <w:t>In the next section of the article, “Life and Agency”, Ingold starts by explaining and emphasizing that while at a glance the material world may appear to be in its final form, it is in fact still in part of the continual process of change that makes up all “things”</w:t>
      </w:r>
      <w:r w:rsidR="00D060CE">
        <w:rPr>
          <w:sz w:val="28"/>
          <w:szCs w:val="28"/>
        </w:rPr>
        <w:t>, and that b</w:t>
      </w:r>
      <w:r w:rsidR="000A7A5A">
        <w:rPr>
          <w:sz w:val="28"/>
          <w:szCs w:val="28"/>
        </w:rPr>
        <w:t>y</w:t>
      </w:r>
      <w:r w:rsidR="00D060CE">
        <w:rPr>
          <w:sz w:val="28"/>
          <w:szCs w:val="28"/>
        </w:rPr>
        <w:t xml:space="preserve"> inhabiting the world you are joining in on the </w:t>
      </w:r>
      <w:r w:rsidR="007733DD">
        <w:rPr>
          <w:sz w:val="28"/>
          <w:szCs w:val="28"/>
        </w:rPr>
        <w:t>process of change.</w:t>
      </w:r>
      <w:r w:rsidR="002F3AC4">
        <w:rPr>
          <w:sz w:val="28"/>
          <w:szCs w:val="28"/>
        </w:rPr>
        <w:t xml:space="preserve"> He also talks with heavy reference to Gibson (1979) about the difference between “living in” and “inhabiting” a space, concluding that the difference is if the space is filled with interacting “things” rather than static “objects”.</w:t>
      </w:r>
      <w:r w:rsidR="000A7A5A">
        <w:rPr>
          <w:sz w:val="28"/>
          <w:szCs w:val="28"/>
        </w:rPr>
        <w:t xml:space="preserve"> </w:t>
      </w:r>
    </w:p>
    <w:p w14:paraId="5110BFE6" w14:textId="4DE8E021" w:rsidR="006931FB" w:rsidRDefault="00CB10A1" w:rsidP="000836D0">
      <w:pPr>
        <w:rPr>
          <w:sz w:val="28"/>
          <w:szCs w:val="28"/>
        </w:rPr>
      </w:pPr>
      <w:r>
        <w:rPr>
          <w:sz w:val="28"/>
          <w:szCs w:val="28"/>
        </w:rPr>
        <w:t xml:space="preserve">Ingold proceeds to </w:t>
      </w:r>
      <w:r w:rsidR="00380D69">
        <w:rPr>
          <w:sz w:val="28"/>
          <w:szCs w:val="28"/>
        </w:rPr>
        <w:t>explain Gibson’s thoughts on the relationship between “surfaces” of physical entities that can be viewed and interacted with, and the “volatile medium” that is found in between them.</w:t>
      </w:r>
      <w:r w:rsidR="002702BD">
        <w:rPr>
          <w:sz w:val="28"/>
          <w:szCs w:val="28"/>
        </w:rPr>
        <w:t xml:space="preserve"> </w:t>
      </w:r>
      <w:r w:rsidR="005A5090">
        <w:rPr>
          <w:sz w:val="28"/>
          <w:szCs w:val="28"/>
        </w:rPr>
        <w:t>He also notes Gibson’s</w:t>
      </w:r>
      <w:r w:rsidR="002702BD">
        <w:rPr>
          <w:sz w:val="28"/>
          <w:szCs w:val="28"/>
        </w:rPr>
        <w:t xml:space="preserve"> </w:t>
      </w:r>
      <w:r w:rsidR="005A5090">
        <w:rPr>
          <w:sz w:val="28"/>
          <w:szCs w:val="28"/>
        </w:rPr>
        <w:t xml:space="preserve">idea that when the material world is stripped down to the most basic form, </w:t>
      </w:r>
      <w:r w:rsidR="00294799">
        <w:rPr>
          <w:sz w:val="28"/>
          <w:szCs w:val="28"/>
        </w:rPr>
        <w:t>it will show a single surface (the ground of the earth itself) and a single medium (the sky</w:t>
      </w:r>
      <w:r w:rsidR="00C86349">
        <w:rPr>
          <w:sz w:val="28"/>
          <w:szCs w:val="28"/>
        </w:rPr>
        <w:t xml:space="preserve"> above</w:t>
      </w:r>
      <w:r w:rsidR="00294799">
        <w:rPr>
          <w:sz w:val="28"/>
          <w:szCs w:val="28"/>
        </w:rPr>
        <w:t>)</w:t>
      </w:r>
      <w:r w:rsidR="00C86349">
        <w:rPr>
          <w:sz w:val="28"/>
          <w:szCs w:val="28"/>
        </w:rPr>
        <w:t xml:space="preserve">. </w:t>
      </w:r>
      <w:r w:rsidR="009111C0">
        <w:rPr>
          <w:sz w:val="28"/>
          <w:szCs w:val="28"/>
        </w:rPr>
        <w:t xml:space="preserve">Ingold somewhat disagrees with Gibson’s final </w:t>
      </w:r>
      <w:r w:rsidR="0067573E">
        <w:rPr>
          <w:sz w:val="28"/>
          <w:szCs w:val="28"/>
        </w:rPr>
        <w:t>conclusion</w:t>
      </w:r>
      <w:r w:rsidR="009111C0">
        <w:rPr>
          <w:sz w:val="28"/>
          <w:szCs w:val="28"/>
        </w:rPr>
        <w:t xml:space="preserve"> on this</w:t>
      </w:r>
      <w:r w:rsidR="008A752A">
        <w:rPr>
          <w:sz w:val="28"/>
          <w:szCs w:val="28"/>
        </w:rPr>
        <w:t xml:space="preserve">, eschewing the idea that the land and ground are truly separate in favour of following the idea that </w:t>
      </w:r>
      <w:r w:rsidR="005F5529">
        <w:rPr>
          <w:sz w:val="28"/>
          <w:szCs w:val="28"/>
        </w:rPr>
        <w:t xml:space="preserve">everything, even the ground and sky are part of an ever-intermingling network </w:t>
      </w:r>
      <w:r w:rsidR="003D5C26">
        <w:rPr>
          <w:sz w:val="28"/>
          <w:szCs w:val="28"/>
        </w:rPr>
        <w:t xml:space="preserve">of </w:t>
      </w:r>
      <w:r w:rsidR="008250BC">
        <w:rPr>
          <w:sz w:val="28"/>
          <w:szCs w:val="28"/>
        </w:rPr>
        <w:t>“things” that has no real end.</w:t>
      </w:r>
      <w:r w:rsidR="0055151D">
        <w:rPr>
          <w:sz w:val="28"/>
          <w:szCs w:val="28"/>
        </w:rPr>
        <w:t xml:space="preserve"> Ingold also concludes that the mixing of ground and sky, “surface” and “medium” are required for life to exist</w:t>
      </w:r>
      <w:r w:rsidR="007308C1">
        <w:rPr>
          <w:sz w:val="28"/>
          <w:szCs w:val="28"/>
        </w:rPr>
        <w:t>, and that the cycles of change that continues eternally with all things in a vast network</w:t>
      </w:r>
      <w:r w:rsidR="00F01993">
        <w:rPr>
          <w:sz w:val="28"/>
          <w:szCs w:val="28"/>
        </w:rPr>
        <w:t xml:space="preserve">, and </w:t>
      </w:r>
      <w:r w:rsidR="007308C1">
        <w:rPr>
          <w:sz w:val="28"/>
          <w:szCs w:val="28"/>
        </w:rPr>
        <w:t>Ingold says that through this cycle “things are brought to life”.</w:t>
      </w:r>
      <w:r w:rsidR="007C21F1">
        <w:rPr>
          <w:sz w:val="28"/>
          <w:szCs w:val="28"/>
        </w:rPr>
        <w:t xml:space="preserve"> </w:t>
      </w:r>
    </w:p>
    <w:p w14:paraId="72E22244" w14:textId="03DEB737" w:rsidR="00EA2567" w:rsidRDefault="00EA2567" w:rsidP="000836D0">
      <w:pPr>
        <w:rPr>
          <w:sz w:val="28"/>
          <w:szCs w:val="28"/>
        </w:rPr>
      </w:pPr>
      <w:r>
        <w:rPr>
          <w:sz w:val="28"/>
          <w:szCs w:val="28"/>
        </w:rPr>
        <w:lastRenderedPageBreak/>
        <w:t xml:space="preserve">Ingold continues to explain that his theory is a counter to “the problem of agency”, which is the problem that arises when trying to differentiate the agency of humans and “objects”. Ingold argues that the flows of “life” that he had previously discussed </w:t>
      </w:r>
      <w:r w:rsidR="00683BD8">
        <w:rPr>
          <w:sz w:val="28"/>
          <w:szCs w:val="28"/>
        </w:rPr>
        <w:t xml:space="preserve">solve this problem by incorporating all “things” into the world itself, and holds the idea that separation is not </w:t>
      </w:r>
      <w:r w:rsidR="003862BD">
        <w:rPr>
          <w:sz w:val="28"/>
          <w:szCs w:val="28"/>
        </w:rPr>
        <w:t>something that is possible</w:t>
      </w:r>
      <w:r w:rsidR="00D14992">
        <w:rPr>
          <w:sz w:val="28"/>
          <w:szCs w:val="28"/>
        </w:rPr>
        <w:t>, and as such agency comes from the constant flow caused by this</w:t>
      </w:r>
      <w:r w:rsidR="003862BD">
        <w:rPr>
          <w:sz w:val="28"/>
          <w:szCs w:val="28"/>
        </w:rPr>
        <w:t>.</w:t>
      </w:r>
    </w:p>
    <w:p w14:paraId="44E503EA" w14:textId="25B18ECA" w:rsidR="00F6430F" w:rsidRDefault="006A1D17" w:rsidP="00431C8A">
      <w:pPr>
        <w:rPr>
          <w:sz w:val="28"/>
          <w:szCs w:val="28"/>
        </w:rPr>
      </w:pPr>
      <w:r>
        <w:rPr>
          <w:sz w:val="28"/>
          <w:szCs w:val="28"/>
        </w:rPr>
        <w:t>Ingold then moves on to “Materials and Materiality”</w:t>
      </w:r>
      <w:r w:rsidR="00686327">
        <w:rPr>
          <w:sz w:val="28"/>
          <w:szCs w:val="28"/>
        </w:rPr>
        <w:t>, stating that materiality is a term that few agree on the definition of</w:t>
      </w:r>
      <w:r w:rsidR="00F577F7">
        <w:rPr>
          <w:sz w:val="28"/>
          <w:szCs w:val="28"/>
        </w:rPr>
        <w:t>, but that the Hylomorphic model gives some answers to a definition</w:t>
      </w:r>
      <w:r w:rsidR="00431C8A">
        <w:rPr>
          <w:sz w:val="28"/>
          <w:szCs w:val="28"/>
        </w:rPr>
        <w:t>, arguing that materiality has two sides, “</w:t>
      </w:r>
      <w:r w:rsidR="00431C8A" w:rsidRPr="00431C8A">
        <w:rPr>
          <w:sz w:val="28"/>
          <w:szCs w:val="28"/>
        </w:rPr>
        <w:t>brute</w:t>
      </w:r>
      <w:r w:rsidR="00431C8A">
        <w:rPr>
          <w:sz w:val="28"/>
          <w:szCs w:val="28"/>
        </w:rPr>
        <w:t xml:space="preserve"> </w:t>
      </w:r>
      <w:r w:rsidR="00431C8A" w:rsidRPr="00431C8A">
        <w:rPr>
          <w:sz w:val="28"/>
          <w:szCs w:val="28"/>
        </w:rPr>
        <w:t>materiality or the world’s ‘material character’; on the other, the form-bestowing</w:t>
      </w:r>
      <w:r w:rsidR="00431C8A">
        <w:rPr>
          <w:sz w:val="28"/>
          <w:szCs w:val="28"/>
        </w:rPr>
        <w:t xml:space="preserve"> </w:t>
      </w:r>
      <w:r w:rsidR="00431C8A" w:rsidRPr="00431C8A">
        <w:rPr>
          <w:sz w:val="28"/>
          <w:szCs w:val="28"/>
        </w:rPr>
        <w:t>agency of human beings</w:t>
      </w:r>
      <w:r w:rsidR="00431C8A">
        <w:rPr>
          <w:sz w:val="28"/>
          <w:szCs w:val="28"/>
        </w:rPr>
        <w:t>”</w:t>
      </w:r>
      <w:r w:rsidR="00F6430F">
        <w:rPr>
          <w:sz w:val="28"/>
          <w:szCs w:val="28"/>
        </w:rPr>
        <w:t xml:space="preserve">. </w:t>
      </w:r>
      <w:r w:rsidR="00380DE7">
        <w:rPr>
          <w:sz w:val="28"/>
          <w:szCs w:val="28"/>
        </w:rPr>
        <w:t>Ingold then explains that the model itself also has some disagreement over what the nature of materiality is, but always holds that it is dependent on movement.</w:t>
      </w:r>
    </w:p>
    <w:p w14:paraId="0AF1270A" w14:textId="18D5AA79" w:rsidR="00EA2567" w:rsidRDefault="00DA4EDF" w:rsidP="000836D0">
      <w:pPr>
        <w:rPr>
          <w:sz w:val="28"/>
          <w:szCs w:val="28"/>
        </w:rPr>
      </w:pPr>
      <w:r>
        <w:rPr>
          <w:sz w:val="28"/>
          <w:szCs w:val="28"/>
        </w:rPr>
        <w:t>Ingold also puts forward the idea that “</w:t>
      </w:r>
      <w:r w:rsidRPr="00DA4EDF">
        <w:rPr>
          <w:sz w:val="28"/>
          <w:szCs w:val="28"/>
        </w:rPr>
        <w:t>Modern society, of course, is averse to such chaos</w:t>
      </w:r>
      <w:r>
        <w:rPr>
          <w:sz w:val="28"/>
          <w:szCs w:val="28"/>
        </w:rPr>
        <w:t>”, and that society tries to hold a very strict order, particularly to its built environment</w:t>
      </w:r>
      <w:r w:rsidR="000F6B25">
        <w:rPr>
          <w:sz w:val="28"/>
          <w:szCs w:val="28"/>
        </w:rPr>
        <w:t>.</w:t>
      </w:r>
      <w:r w:rsidR="00A065FB">
        <w:rPr>
          <w:sz w:val="28"/>
          <w:szCs w:val="28"/>
        </w:rPr>
        <w:t xml:space="preserve"> </w:t>
      </w:r>
      <w:r w:rsidR="000F6B25">
        <w:rPr>
          <w:sz w:val="28"/>
          <w:szCs w:val="28"/>
        </w:rPr>
        <w:t>He concludes however,</w:t>
      </w:r>
      <w:r w:rsidR="00A065FB">
        <w:rPr>
          <w:sz w:val="28"/>
          <w:szCs w:val="28"/>
        </w:rPr>
        <w:t xml:space="preserve"> that despite this they cannot avoid the weaving network of things that makes up the material world.</w:t>
      </w:r>
    </w:p>
    <w:p w14:paraId="658158A5" w14:textId="215C8F5F" w:rsidR="004B0D06" w:rsidRDefault="000F6B25" w:rsidP="000836D0">
      <w:pPr>
        <w:rPr>
          <w:sz w:val="28"/>
          <w:szCs w:val="28"/>
        </w:rPr>
      </w:pPr>
      <w:r>
        <w:rPr>
          <w:sz w:val="28"/>
          <w:szCs w:val="28"/>
        </w:rPr>
        <w:t xml:space="preserve">Ingold’s next topic is “improvisation and abduction”. </w:t>
      </w:r>
      <w:r w:rsidR="00EF0FCD">
        <w:rPr>
          <w:sz w:val="28"/>
          <w:szCs w:val="28"/>
        </w:rPr>
        <w:t xml:space="preserve">He starts by talking about Klee (1961)’s idea of “form-giving”, </w:t>
      </w:r>
      <w:r w:rsidR="008B4482">
        <w:rPr>
          <w:sz w:val="28"/>
          <w:szCs w:val="28"/>
        </w:rPr>
        <w:t xml:space="preserve">and the tendency of literature on materiality to start from the outcome of a form and trace it backward. </w:t>
      </w:r>
      <w:r w:rsidR="0070297C">
        <w:rPr>
          <w:sz w:val="28"/>
          <w:szCs w:val="28"/>
        </w:rPr>
        <w:t>He then moves on to talk about the relationship between the theories of materialism and the hylomorphic model, and the idea of “art”</w:t>
      </w:r>
      <w:r w:rsidR="00543C12">
        <w:rPr>
          <w:sz w:val="28"/>
          <w:szCs w:val="28"/>
        </w:rPr>
        <w:t>, and how any work of art is by nature not an “object” but a “thing”</w:t>
      </w:r>
      <w:r w:rsidR="0070297C">
        <w:rPr>
          <w:sz w:val="28"/>
          <w:szCs w:val="28"/>
        </w:rPr>
        <w:t>.</w:t>
      </w:r>
      <w:r w:rsidR="00543C12">
        <w:rPr>
          <w:sz w:val="28"/>
          <w:szCs w:val="28"/>
        </w:rPr>
        <w:t xml:space="preserve"> </w:t>
      </w:r>
      <w:r w:rsidR="00E5745F">
        <w:rPr>
          <w:sz w:val="28"/>
          <w:szCs w:val="28"/>
        </w:rPr>
        <w:br/>
      </w:r>
      <w:r w:rsidR="00B22E81">
        <w:rPr>
          <w:sz w:val="28"/>
          <w:szCs w:val="28"/>
        </w:rPr>
        <w:t xml:space="preserve">He then goes on to talk about improvising as a </w:t>
      </w:r>
      <w:r w:rsidR="00E5745F">
        <w:rPr>
          <w:sz w:val="28"/>
          <w:szCs w:val="28"/>
        </w:rPr>
        <w:t xml:space="preserve">way of interacting with the flow of the world, going with the </w:t>
      </w:r>
      <w:r w:rsidR="00B9350B">
        <w:rPr>
          <w:sz w:val="28"/>
          <w:szCs w:val="28"/>
        </w:rPr>
        <w:t>change in the material world as it unfolds as opposed to trying to work it out in reverse</w:t>
      </w:r>
      <w:r w:rsidR="00AB6B80">
        <w:rPr>
          <w:sz w:val="28"/>
          <w:szCs w:val="28"/>
        </w:rPr>
        <w:t>.</w:t>
      </w:r>
      <w:r w:rsidR="009259F6">
        <w:rPr>
          <w:sz w:val="28"/>
          <w:szCs w:val="28"/>
        </w:rPr>
        <w:t xml:space="preserve"> </w:t>
      </w:r>
      <w:r w:rsidR="004B0D06">
        <w:rPr>
          <w:sz w:val="28"/>
          <w:szCs w:val="28"/>
        </w:rPr>
        <w:br/>
        <w:t xml:space="preserve">Ingold then explains the “threads of life”, and how a thing is not one but a gathering of threads that </w:t>
      </w:r>
      <w:r w:rsidR="00495F4F">
        <w:rPr>
          <w:sz w:val="28"/>
          <w:szCs w:val="28"/>
        </w:rPr>
        <w:t>are all interacting.</w:t>
      </w:r>
    </w:p>
    <w:p w14:paraId="24A2C9FD" w14:textId="1C251379" w:rsidR="000F6B25" w:rsidRDefault="007A6CE2" w:rsidP="000836D0">
      <w:pPr>
        <w:rPr>
          <w:sz w:val="28"/>
          <w:szCs w:val="28"/>
        </w:rPr>
      </w:pPr>
      <w:r>
        <w:rPr>
          <w:sz w:val="28"/>
          <w:szCs w:val="28"/>
        </w:rPr>
        <w:t xml:space="preserve">Ingold’s final topic is “network and meshwork”. </w:t>
      </w:r>
      <w:r w:rsidR="00E41FA0">
        <w:rPr>
          <w:sz w:val="28"/>
          <w:szCs w:val="28"/>
        </w:rPr>
        <w:t xml:space="preserve">Meshwork is a term that Ingold borrows from philosopher </w:t>
      </w:r>
      <w:r w:rsidR="00E41FA0" w:rsidRPr="00E41FA0">
        <w:rPr>
          <w:sz w:val="28"/>
          <w:szCs w:val="28"/>
        </w:rPr>
        <w:t>Henri Lefebvre</w:t>
      </w:r>
      <w:r w:rsidR="00E41FA0">
        <w:rPr>
          <w:sz w:val="28"/>
          <w:szCs w:val="28"/>
        </w:rPr>
        <w:t xml:space="preserve">, and describes the similarity between words on a page of writing, and how movements of </w:t>
      </w:r>
      <w:r w:rsidR="00E41FA0">
        <w:rPr>
          <w:sz w:val="28"/>
          <w:szCs w:val="28"/>
        </w:rPr>
        <w:lastRenderedPageBreak/>
        <w:t>entities are “registered in lived space”</w:t>
      </w:r>
      <w:r w:rsidR="00BA22CA">
        <w:rPr>
          <w:sz w:val="28"/>
          <w:szCs w:val="28"/>
        </w:rPr>
        <w:t>, before briefly touching on lines of flow and how they connect and interact into a web.</w:t>
      </w:r>
      <w:r w:rsidR="00031FD3">
        <w:rPr>
          <w:sz w:val="28"/>
          <w:szCs w:val="28"/>
        </w:rPr>
        <w:t xml:space="preserve"> He then goes on to </w:t>
      </w:r>
      <w:r w:rsidR="00F86205">
        <w:rPr>
          <w:sz w:val="28"/>
          <w:szCs w:val="28"/>
        </w:rPr>
        <w:t>explain the origin of the phrase “actor network” and use an extensive metaphor of a spider’s web to explain the idea.</w:t>
      </w:r>
    </w:p>
    <w:p w14:paraId="1D448E39" w14:textId="5D5F728E" w:rsidR="000F6B25" w:rsidRDefault="0050577B" w:rsidP="000836D0">
      <w:pPr>
        <w:rPr>
          <w:sz w:val="28"/>
          <w:szCs w:val="28"/>
        </w:rPr>
      </w:pPr>
      <w:r>
        <w:rPr>
          <w:sz w:val="28"/>
          <w:szCs w:val="28"/>
        </w:rPr>
        <w:t xml:space="preserve">This article is a somewhat effective explanation of all the influences on </w:t>
      </w:r>
      <w:r w:rsidR="00F26678">
        <w:rPr>
          <w:sz w:val="28"/>
          <w:szCs w:val="28"/>
        </w:rPr>
        <w:t xml:space="preserve">Ingold’s philosophical ideas on </w:t>
      </w:r>
      <w:r>
        <w:rPr>
          <w:sz w:val="28"/>
          <w:szCs w:val="28"/>
        </w:rPr>
        <w:t>modern materialism, and why Ingold has made all the decisions that they have made in deciding the specifics of his philosophy of enta</w:t>
      </w:r>
      <w:r w:rsidR="00F26678">
        <w:rPr>
          <w:sz w:val="28"/>
          <w:szCs w:val="28"/>
        </w:rPr>
        <w:t>n</w:t>
      </w:r>
      <w:r>
        <w:rPr>
          <w:sz w:val="28"/>
          <w:szCs w:val="28"/>
        </w:rPr>
        <w:t>glements</w:t>
      </w:r>
      <w:r w:rsidR="00F26678">
        <w:rPr>
          <w:sz w:val="28"/>
          <w:szCs w:val="28"/>
        </w:rPr>
        <w:t xml:space="preserve">. </w:t>
      </w:r>
      <w:r w:rsidR="00F26678">
        <w:rPr>
          <w:sz w:val="28"/>
          <w:szCs w:val="28"/>
        </w:rPr>
        <w:br/>
        <w:t xml:space="preserve">The article makes very extensive use of metaphor, while this could be useful as a way to explain the theories to someone who is not managing to grasp it from just the writing, it is however, somewhat over-zealous in its use of metaphor. Several of the metaphors, particularly the spider’s web </w:t>
      </w:r>
      <w:r w:rsidR="00680150">
        <w:rPr>
          <w:sz w:val="28"/>
          <w:szCs w:val="28"/>
        </w:rPr>
        <w:t>metaphor</w:t>
      </w:r>
      <w:r w:rsidR="00363C17">
        <w:rPr>
          <w:sz w:val="28"/>
          <w:szCs w:val="28"/>
        </w:rPr>
        <w:t xml:space="preserve">, are incredibly overcomplicated and </w:t>
      </w:r>
      <w:r w:rsidR="005B6BD3">
        <w:rPr>
          <w:sz w:val="28"/>
          <w:szCs w:val="28"/>
        </w:rPr>
        <w:t xml:space="preserve">over-extended, which </w:t>
      </w:r>
      <w:r w:rsidR="007E4A4B">
        <w:rPr>
          <w:sz w:val="28"/>
          <w:szCs w:val="28"/>
        </w:rPr>
        <w:t xml:space="preserve">causes </w:t>
      </w:r>
      <w:r w:rsidR="0087420C">
        <w:rPr>
          <w:sz w:val="28"/>
          <w:szCs w:val="28"/>
        </w:rPr>
        <w:t>the explanation to be made more convoluted instead of less, as the metaphor and analogy becomes to</w:t>
      </w:r>
      <w:r w:rsidR="00FF6C7E">
        <w:rPr>
          <w:sz w:val="28"/>
          <w:szCs w:val="28"/>
        </w:rPr>
        <w:t>o</w:t>
      </w:r>
      <w:r w:rsidR="0087420C">
        <w:rPr>
          <w:sz w:val="28"/>
          <w:szCs w:val="28"/>
        </w:rPr>
        <w:t xml:space="preserve"> specific.</w:t>
      </w:r>
    </w:p>
    <w:p w14:paraId="388D0EA4" w14:textId="5F833F01" w:rsidR="00BD2EA0" w:rsidRPr="001F77F2" w:rsidRDefault="001F77F2" w:rsidP="000836D0">
      <w:pPr>
        <w:rPr>
          <w:sz w:val="28"/>
          <w:szCs w:val="28"/>
          <w:lang w:val="en-US"/>
        </w:rPr>
      </w:pPr>
      <w:r>
        <w:rPr>
          <w:sz w:val="28"/>
          <w:szCs w:val="28"/>
          <w:lang w:val="en-US"/>
        </w:rPr>
        <w:t xml:space="preserve">Overall, the </w:t>
      </w:r>
      <w:r w:rsidR="00FD3BCB">
        <w:rPr>
          <w:sz w:val="28"/>
          <w:szCs w:val="28"/>
          <w:lang w:val="en-US"/>
        </w:rPr>
        <w:t>article is</w:t>
      </w:r>
      <w:r w:rsidR="00972A15">
        <w:rPr>
          <w:sz w:val="28"/>
          <w:szCs w:val="28"/>
          <w:lang w:val="en-US"/>
        </w:rPr>
        <w:t xml:space="preserve"> a</w:t>
      </w:r>
      <w:r w:rsidR="00FD3BCB">
        <w:rPr>
          <w:sz w:val="28"/>
          <w:szCs w:val="28"/>
          <w:lang w:val="en-US"/>
        </w:rPr>
        <w:t xml:space="preserve"> somewhat coherent</w:t>
      </w:r>
      <w:r w:rsidR="00972A15">
        <w:rPr>
          <w:sz w:val="28"/>
          <w:szCs w:val="28"/>
          <w:lang w:val="en-US"/>
        </w:rPr>
        <w:t xml:space="preserve"> explanation of the philosophical ideas of creative entanglements, new materialisms, and the hylomorphic model</w:t>
      </w:r>
      <w:r w:rsidR="00FD3BCB">
        <w:rPr>
          <w:sz w:val="28"/>
          <w:szCs w:val="28"/>
          <w:lang w:val="en-US"/>
        </w:rPr>
        <w:t xml:space="preserve">, but it is confused by the author’s overuse of overly long </w:t>
      </w:r>
      <w:r w:rsidR="00910EC1">
        <w:rPr>
          <w:sz w:val="28"/>
          <w:szCs w:val="28"/>
          <w:lang w:val="en-US"/>
        </w:rPr>
        <w:t>metaphors</w:t>
      </w:r>
      <w:r w:rsidR="00315010">
        <w:rPr>
          <w:sz w:val="28"/>
          <w:szCs w:val="28"/>
          <w:lang w:val="en-US"/>
        </w:rPr>
        <w:t xml:space="preserve"> and analogies. The</w:t>
      </w:r>
      <w:r w:rsidR="00586AA9">
        <w:rPr>
          <w:sz w:val="28"/>
          <w:szCs w:val="28"/>
          <w:lang w:val="en-US"/>
        </w:rPr>
        <w:t xml:space="preserve"> article also suffers from being too brief, almost too much information and too many ideas are brushed over in little depth outside of greatly extended metaphors.</w:t>
      </w:r>
    </w:p>
    <w:p w14:paraId="0859EF1B" w14:textId="77777777" w:rsidR="0050577B" w:rsidRDefault="0050577B" w:rsidP="000836D0">
      <w:pPr>
        <w:rPr>
          <w:sz w:val="28"/>
          <w:szCs w:val="28"/>
        </w:rPr>
      </w:pPr>
    </w:p>
    <w:p w14:paraId="6E0578E2" w14:textId="77777777" w:rsidR="0077582E" w:rsidRDefault="0077582E" w:rsidP="000836D0">
      <w:pPr>
        <w:rPr>
          <w:sz w:val="28"/>
          <w:szCs w:val="28"/>
        </w:rPr>
      </w:pPr>
    </w:p>
    <w:p w14:paraId="2ED3DC14" w14:textId="77777777" w:rsidR="00BF305E" w:rsidRDefault="00BF305E" w:rsidP="000836D0">
      <w:pPr>
        <w:rPr>
          <w:sz w:val="28"/>
          <w:szCs w:val="28"/>
        </w:rPr>
      </w:pPr>
    </w:p>
    <w:p w14:paraId="1ABE3AA4" w14:textId="5DDF2B39" w:rsidR="00BF305E" w:rsidRDefault="00BF305E" w:rsidP="000836D0">
      <w:pPr>
        <w:rPr>
          <w:sz w:val="28"/>
          <w:szCs w:val="28"/>
        </w:rPr>
      </w:pPr>
      <w:r>
        <w:rPr>
          <w:sz w:val="28"/>
          <w:szCs w:val="28"/>
        </w:rPr>
        <w:t>Bibliography:</w:t>
      </w:r>
    </w:p>
    <w:p w14:paraId="1E27AE1B" w14:textId="0D036A4A" w:rsidR="00EF0FCD" w:rsidRDefault="00EF0FCD" w:rsidP="000836D0">
      <w:pPr>
        <w:rPr>
          <w:sz w:val="28"/>
          <w:szCs w:val="28"/>
        </w:rPr>
      </w:pPr>
      <w:r w:rsidRPr="00EF0FCD">
        <w:rPr>
          <w:sz w:val="28"/>
          <w:szCs w:val="28"/>
        </w:rPr>
        <w:t xml:space="preserve">Gell, A. 1998. </w:t>
      </w:r>
      <w:r w:rsidRPr="00EF0FCD">
        <w:rPr>
          <w:i/>
          <w:iCs/>
          <w:sz w:val="28"/>
          <w:szCs w:val="28"/>
        </w:rPr>
        <w:t>Art and agency</w:t>
      </w:r>
      <w:r w:rsidRPr="00EF0FCD">
        <w:rPr>
          <w:sz w:val="28"/>
          <w:szCs w:val="28"/>
        </w:rPr>
        <w:t>. Oxford: Clarendon.</w:t>
      </w:r>
    </w:p>
    <w:p w14:paraId="3DECF5AB" w14:textId="77777777" w:rsidR="00756402" w:rsidRDefault="00756402" w:rsidP="00756402">
      <w:pPr>
        <w:rPr>
          <w:sz w:val="28"/>
          <w:szCs w:val="28"/>
        </w:rPr>
      </w:pPr>
      <w:r w:rsidRPr="00756402">
        <w:rPr>
          <w:sz w:val="28"/>
          <w:szCs w:val="28"/>
        </w:rPr>
        <w:t xml:space="preserve">Gibson, James J. (1979). </w:t>
      </w:r>
      <w:r w:rsidRPr="00756402">
        <w:rPr>
          <w:i/>
          <w:iCs/>
          <w:sz w:val="28"/>
          <w:szCs w:val="28"/>
        </w:rPr>
        <w:t>The Ecological Approach to Visual Perception: Classic Edition</w:t>
      </w:r>
      <w:r w:rsidRPr="00756402">
        <w:rPr>
          <w:sz w:val="28"/>
          <w:szCs w:val="28"/>
        </w:rPr>
        <w:t>. Houghton Mifflin.</w:t>
      </w:r>
    </w:p>
    <w:p w14:paraId="2C1B4D35" w14:textId="48D7C918" w:rsidR="00E46535" w:rsidRPr="00756402" w:rsidRDefault="00E46535" w:rsidP="00756402">
      <w:pPr>
        <w:rPr>
          <w:sz w:val="28"/>
          <w:szCs w:val="28"/>
        </w:rPr>
      </w:pPr>
      <w:r w:rsidRPr="002B6C44">
        <w:rPr>
          <w:sz w:val="28"/>
          <w:szCs w:val="28"/>
        </w:rPr>
        <w:t xml:space="preserve">Heidegger, M. 1971. </w:t>
      </w:r>
      <w:r w:rsidRPr="002B6C44">
        <w:rPr>
          <w:i/>
          <w:iCs/>
          <w:sz w:val="28"/>
          <w:szCs w:val="28"/>
        </w:rPr>
        <w:t>Poetry, language, thought, trans</w:t>
      </w:r>
      <w:r w:rsidRPr="002B6C44">
        <w:rPr>
          <w:sz w:val="28"/>
          <w:szCs w:val="28"/>
        </w:rPr>
        <w:t>. A. Hofstadter. New York:</w:t>
      </w:r>
      <w:r>
        <w:rPr>
          <w:sz w:val="28"/>
          <w:szCs w:val="28"/>
        </w:rPr>
        <w:t xml:space="preserve"> </w:t>
      </w:r>
      <w:r w:rsidRPr="002B6C44">
        <w:rPr>
          <w:sz w:val="28"/>
          <w:szCs w:val="28"/>
        </w:rPr>
        <w:t>Harper &amp; Row.</w:t>
      </w:r>
    </w:p>
    <w:p w14:paraId="2E6DB5B5" w14:textId="5A917F5C" w:rsidR="00E46535" w:rsidRDefault="00756402">
      <w:pPr>
        <w:rPr>
          <w:sz w:val="28"/>
          <w:szCs w:val="28"/>
        </w:rPr>
      </w:pPr>
      <w:r>
        <w:rPr>
          <w:sz w:val="28"/>
          <w:szCs w:val="28"/>
        </w:rPr>
        <w:lastRenderedPageBreak/>
        <w:t xml:space="preserve">Ingold, T. 2010. </w:t>
      </w:r>
      <w:r w:rsidRPr="00756402">
        <w:rPr>
          <w:i/>
          <w:iCs/>
          <w:sz w:val="28"/>
          <w:szCs w:val="28"/>
        </w:rPr>
        <w:t>Bringing Things to Life: Creative</w:t>
      </w:r>
      <w:r w:rsidRPr="00756402">
        <w:rPr>
          <w:i/>
          <w:iCs/>
          <w:sz w:val="28"/>
          <w:szCs w:val="28"/>
        </w:rPr>
        <w:t xml:space="preserve"> </w:t>
      </w:r>
      <w:r w:rsidRPr="00756402">
        <w:rPr>
          <w:i/>
          <w:iCs/>
          <w:sz w:val="28"/>
          <w:szCs w:val="28"/>
        </w:rPr>
        <w:t>Entanglements in a World</w:t>
      </w:r>
      <w:r w:rsidRPr="00756402">
        <w:rPr>
          <w:i/>
          <w:iCs/>
          <w:sz w:val="28"/>
          <w:szCs w:val="28"/>
        </w:rPr>
        <w:t xml:space="preserve"> </w:t>
      </w:r>
      <w:r w:rsidRPr="00756402">
        <w:rPr>
          <w:i/>
          <w:iCs/>
          <w:sz w:val="28"/>
          <w:szCs w:val="28"/>
        </w:rPr>
        <w:t>of Materials</w:t>
      </w:r>
      <w:r>
        <w:rPr>
          <w:sz w:val="28"/>
          <w:szCs w:val="28"/>
        </w:rPr>
        <w:t xml:space="preserve">, </w:t>
      </w:r>
      <w:r w:rsidR="002B6C44" w:rsidRPr="002B6C44">
        <w:rPr>
          <w:sz w:val="28"/>
          <w:szCs w:val="28"/>
        </w:rPr>
        <w:t>ESRC National Centre for Research Methods</w:t>
      </w:r>
      <w:r w:rsidR="000C3192">
        <w:rPr>
          <w:sz w:val="28"/>
          <w:szCs w:val="28"/>
        </w:rPr>
        <w:t>.</w:t>
      </w:r>
    </w:p>
    <w:p w14:paraId="36775F59" w14:textId="5C1BDBE7" w:rsidR="000C3192" w:rsidRPr="000C3192" w:rsidRDefault="000C3192" w:rsidP="000C3192">
      <w:pPr>
        <w:rPr>
          <w:sz w:val="28"/>
          <w:szCs w:val="28"/>
        </w:rPr>
      </w:pPr>
      <w:r w:rsidRPr="000C3192">
        <w:rPr>
          <w:sz w:val="28"/>
          <w:szCs w:val="28"/>
        </w:rPr>
        <w:t xml:space="preserve">Klee, P. 1961. </w:t>
      </w:r>
      <w:r w:rsidRPr="000C3192">
        <w:rPr>
          <w:i/>
          <w:iCs/>
          <w:sz w:val="28"/>
          <w:szCs w:val="28"/>
        </w:rPr>
        <w:t>Notebooks, volume 1: The thinking eye</w:t>
      </w:r>
      <w:r w:rsidRPr="000C3192">
        <w:rPr>
          <w:sz w:val="28"/>
          <w:szCs w:val="28"/>
        </w:rPr>
        <w:t>, ed. J. Spiller. London:</w:t>
      </w:r>
      <w:r>
        <w:rPr>
          <w:sz w:val="28"/>
          <w:szCs w:val="28"/>
        </w:rPr>
        <w:t xml:space="preserve"> </w:t>
      </w:r>
      <w:r w:rsidRPr="000C3192">
        <w:rPr>
          <w:sz w:val="28"/>
          <w:szCs w:val="28"/>
        </w:rPr>
        <w:t>Lund Humphries.</w:t>
      </w:r>
    </w:p>
    <w:p w14:paraId="077E5BA1" w14:textId="5711434B" w:rsidR="00EF0FCD" w:rsidRPr="00EA7148" w:rsidRDefault="000C3192" w:rsidP="000C3192">
      <w:pPr>
        <w:rPr>
          <w:sz w:val="28"/>
          <w:szCs w:val="28"/>
        </w:rPr>
      </w:pPr>
      <w:r w:rsidRPr="000C3192">
        <w:rPr>
          <w:sz w:val="28"/>
          <w:szCs w:val="28"/>
        </w:rPr>
        <w:t xml:space="preserve">Klee, P. 1973. </w:t>
      </w:r>
      <w:r w:rsidRPr="000C3192">
        <w:rPr>
          <w:i/>
          <w:iCs/>
          <w:sz w:val="28"/>
          <w:szCs w:val="28"/>
        </w:rPr>
        <w:t>Noteboooks, volume 2: The nature of nature</w:t>
      </w:r>
      <w:r w:rsidRPr="000C3192">
        <w:rPr>
          <w:sz w:val="28"/>
          <w:szCs w:val="28"/>
        </w:rPr>
        <w:t>, trans. H. Norden, ed.</w:t>
      </w:r>
      <w:r>
        <w:rPr>
          <w:sz w:val="28"/>
          <w:szCs w:val="28"/>
        </w:rPr>
        <w:t xml:space="preserve"> </w:t>
      </w:r>
      <w:r w:rsidRPr="000C3192">
        <w:rPr>
          <w:sz w:val="28"/>
          <w:szCs w:val="28"/>
        </w:rPr>
        <w:t>J. Spiller. London: Lund Humphries.</w:t>
      </w:r>
    </w:p>
    <w:sectPr w:rsidR="00EF0FCD" w:rsidRPr="00EA71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1B8"/>
    <w:rsid w:val="00024695"/>
    <w:rsid w:val="00031FD3"/>
    <w:rsid w:val="000473C0"/>
    <w:rsid w:val="0005124E"/>
    <w:rsid w:val="000836D0"/>
    <w:rsid w:val="00090588"/>
    <w:rsid w:val="000A7A5A"/>
    <w:rsid w:val="000C3192"/>
    <w:rsid w:val="000F6B25"/>
    <w:rsid w:val="001F77F2"/>
    <w:rsid w:val="0022591F"/>
    <w:rsid w:val="002702BD"/>
    <w:rsid w:val="00285FC3"/>
    <w:rsid w:val="00294799"/>
    <w:rsid w:val="002B6C44"/>
    <w:rsid w:val="002D4707"/>
    <w:rsid w:val="002E4429"/>
    <w:rsid w:val="002E7F2B"/>
    <w:rsid w:val="002F3AC4"/>
    <w:rsid w:val="00315010"/>
    <w:rsid w:val="003225FE"/>
    <w:rsid w:val="0035633F"/>
    <w:rsid w:val="00363C17"/>
    <w:rsid w:val="00366B7F"/>
    <w:rsid w:val="00380D69"/>
    <w:rsid w:val="00380DE7"/>
    <w:rsid w:val="003862BD"/>
    <w:rsid w:val="003971B8"/>
    <w:rsid w:val="003A4BD9"/>
    <w:rsid w:val="003D5C26"/>
    <w:rsid w:val="00431C8A"/>
    <w:rsid w:val="004425AE"/>
    <w:rsid w:val="00444685"/>
    <w:rsid w:val="0049169D"/>
    <w:rsid w:val="00495F4F"/>
    <w:rsid w:val="004B04F7"/>
    <w:rsid w:val="004B0D06"/>
    <w:rsid w:val="004F0027"/>
    <w:rsid w:val="004F4836"/>
    <w:rsid w:val="0050577B"/>
    <w:rsid w:val="00526E51"/>
    <w:rsid w:val="00543C12"/>
    <w:rsid w:val="0055151D"/>
    <w:rsid w:val="00586AA9"/>
    <w:rsid w:val="005A5090"/>
    <w:rsid w:val="005B6BD3"/>
    <w:rsid w:val="005F5529"/>
    <w:rsid w:val="006140B2"/>
    <w:rsid w:val="0067573E"/>
    <w:rsid w:val="00680150"/>
    <w:rsid w:val="00683BD8"/>
    <w:rsid w:val="00686327"/>
    <w:rsid w:val="006877FD"/>
    <w:rsid w:val="006931FB"/>
    <w:rsid w:val="006A1D17"/>
    <w:rsid w:val="006B5A60"/>
    <w:rsid w:val="0070297C"/>
    <w:rsid w:val="007308C1"/>
    <w:rsid w:val="00756402"/>
    <w:rsid w:val="007733DD"/>
    <w:rsid w:val="0077582E"/>
    <w:rsid w:val="007A49CB"/>
    <w:rsid w:val="007A6CE2"/>
    <w:rsid w:val="007C0BE1"/>
    <w:rsid w:val="007C21F1"/>
    <w:rsid w:val="007D6208"/>
    <w:rsid w:val="007E4A4B"/>
    <w:rsid w:val="007F57DA"/>
    <w:rsid w:val="008250BC"/>
    <w:rsid w:val="00830694"/>
    <w:rsid w:val="00852E08"/>
    <w:rsid w:val="0087420C"/>
    <w:rsid w:val="008850A5"/>
    <w:rsid w:val="00896CF6"/>
    <w:rsid w:val="008A752A"/>
    <w:rsid w:val="008B4482"/>
    <w:rsid w:val="00910EC1"/>
    <w:rsid w:val="009111C0"/>
    <w:rsid w:val="009259F6"/>
    <w:rsid w:val="00972A15"/>
    <w:rsid w:val="0097417A"/>
    <w:rsid w:val="009D4F26"/>
    <w:rsid w:val="009E3CE4"/>
    <w:rsid w:val="00A065FB"/>
    <w:rsid w:val="00A46FA5"/>
    <w:rsid w:val="00A472CB"/>
    <w:rsid w:val="00A562CE"/>
    <w:rsid w:val="00A6054C"/>
    <w:rsid w:val="00A636A5"/>
    <w:rsid w:val="00A65C75"/>
    <w:rsid w:val="00A9267B"/>
    <w:rsid w:val="00AB6B80"/>
    <w:rsid w:val="00B22E81"/>
    <w:rsid w:val="00B71233"/>
    <w:rsid w:val="00B9350B"/>
    <w:rsid w:val="00BA22CA"/>
    <w:rsid w:val="00BC7ED0"/>
    <w:rsid w:val="00BD2EA0"/>
    <w:rsid w:val="00BF305E"/>
    <w:rsid w:val="00BF6471"/>
    <w:rsid w:val="00C71099"/>
    <w:rsid w:val="00C86349"/>
    <w:rsid w:val="00CB10A1"/>
    <w:rsid w:val="00D060CE"/>
    <w:rsid w:val="00D14992"/>
    <w:rsid w:val="00D80BE5"/>
    <w:rsid w:val="00DA4EDF"/>
    <w:rsid w:val="00DB404B"/>
    <w:rsid w:val="00DB74C1"/>
    <w:rsid w:val="00E37D6B"/>
    <w:rsid w:val="00E41FA0"/>
    <w:rsid w:val="00E46535"/>
    <w:rsid w:val="00E5745F"/>
    <w:rsid w:val="00E67A47"/>
    <w:rsid w:val="00EA2567"/>
    <w:rsid w:val="00EA7148"/>
    <w:rsid w:val="00EB0616"/>
    <w:rsid w:val="00EE3572"/>
    <w:rsid w:val="00EF0FCD"/>
    <w:rsid w:val="00F01993"/>
    <w:rsid w:val="00F26362"/>
    <w:rsid w:val="00F26678"/>
    <w:rsid w:val="00F577F7"/>
    <w:rsid w:val="00F6430F"/>
    <w:rsid w:val="00F83CCF"/>
    <w:rsid w:val="00F86205"/>
    <w:rsid w:val="00FD3BCB"/>
    <w:rsid w:val="00FF6C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6706F"/>
  <w15:chartTrackingRefBased/>
  <w15:docId w15:val="{9C35A31E-4712-4A87-BBAE-AC7559444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71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71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71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71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71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71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71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71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71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71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71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71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71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71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71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71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71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71B8"/>
    <w:rPr>
      <w:rFonts w:eastAsiaTheme="majorEastAsia" w:cstheme="majorBidi"/>
      <w:color w:val="272727" w:themeColor="text1" w:themeTint="D8"/>
    </w:rPr>
  </w:style>
  <w:style w:type="paragraph" w:styleId="Title">
    <w:name w:val="Title"/>
    <w:basedOn w:val="Normal"/>
    <w:next w:val="Normal"/>
    <w:link w:val="TitleChar"/>
    <w:uiPriority w:val="10"/>
    <w:qFormat/>
    <w:rsid w:val="003971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71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71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71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71B8"/>
    <w:pPr>
      <w:spacing w:before="160"/>
      <w:jc w:val="center"/>
    </w:pPr>
    <w:rPr>
      <w:i/>
      <w:iCs/>
      <w:color w:val="404040" w:themeColor="text1" w:themeTint="BF"/>
    </w:rPr>
  </w:style>
  <w:style w:type="character" w:customStyle="1" w:styleId="QuoteChar">
    <w:name w:val="Quote Char"/>
    <w:basedOn w:val="DefaultParagraphFont"/>
    <w:link w:val="Quote"/>
    <w:uiPriority w:val="29"/>
    <w:rsid w:val="003971B8"/>
    <w:rPr>
      <w:i/>
      <w:iCs/>
      <w:color w:val="404040" w:themeColor="text1" w:themeTint="BF"/>
    </w:rPr>
  </w:style>
  <w:style w:type="paragraph" w:styleId="ListParagraph">
    <w:name w:val="List Paragraph"/>
    <w:basedOn w:val="Normal"/>
    <w:uiPriority w:val="34"/>
    <w:qFormat/>
    <w:rsid w:val="003971B8"/>
    <w:pPr>
      <w:ind w:left="720"/>
      <w:contextualSpacing/>
    </w:pPr>
  </w:style>
  <w:style w:type="character" w:styleId="IntenseEmphasis">
    <w:name w:val="Intense Emphasis"/>
    <w:basedOn w:val="DefaultParagraphFont"/>
    <w:uiPriority w:val="21"/>
    <w:qFormat/>
    <w:rsid w:val="003971B8"/>
    <w:rPr>
      <w:i/>
      <w:iCs/>
      <w:color w:val="0F4761" w:themeColor="accent1" w:themeShade="BF"/>
    </w:rPr>
  </w:style>
  <w:style w:type="paragraph" w:styleId="IntenseQuote">
    <w:name w:val="Intense Quote"/>
    <w:basedOn w:val="Normal"/>
    <w:next w:val="Normal"/>
    <w:link w:val="IntenseQuoteChar"/>
    <w:uiPriority w:val="30"/>
    <w:qFormat/>
    <w:rsid w:val="003971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71B8"/>
    <w:rPr>
      <w:i/>
      <w:iCs/>
      <w:color w:val="0F4761" w:themeColor="accent1" w:themeShade="BF"/>
    </w:rPr>
  </w:style>
  <w:style w:type="character" w:styleId="IntenseReference">
    <w:name w:val="Intense Reference"/>
    <w:basedOn w:val="DefaultParagraphFont"/>
    <w:uiPriority w:val="32"/>
    <w:qFormat/>
    <w:rsid w:val="003971B8"/>
    <w:rPr>
      <w:b/>
      <w:bCs/>
      <w:smallCaps/>
      <w:color w:val="0F4761" w:themeColor="accent1" w:themeShade="BF"/>
      <w:spacing w:val="5"/>
    </w:rPr>
  </w:style>
  <w:style w:type="character" w:styleId="Hyperlink">
    <w:name w:val="Hyperlink"/>
    <w:basedOn w:val="DefaultParagraphFont"/>
    <w:uiPriority w:val="99"/>
    <w:unhideWhenUsed/>
    <w:rsid w:val="00EA7148"/>
    <w:rPr>
      <w:color w:val="467886" w:themeColor="hyperlink"/>
      <w:u w:val="single"/>
    </w:rPr>
  </w:style>
  <w:style w:type="character" w:styleId="UnresolvedMention">
    <w:name w:val="Unresolved Mention"/>
    <w:basedOn w:val="DefaultParagraphFont"/>
    <w:uiPriority w:val="99"/>
    <w:semiHidden/>
    <w:unhideWhenUsed/>
    <w:rsid w:val="00EA71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1100997">
      <w:bodyDiv w:val="1"/>
      <w:marLeft w:val="0"/>
      <w:marRight w:val="0"/>
      <w:marTop w:val="0"/>
      <w:marBottom w:val="0"/>
      <w:divBdr>
        <w:top w:val="none" w:sz="0" w:space="0" w:color="auto"/>
        <w:left w:val="none" w:sz="0" w:space="0" w:color="auto"/>
        <w:bottom w:val="none" w:sz="0" w:space="0" w:color="auto"/>
        <w:right w:val="none" w:sz="0" w:space="0" w:color="auto"/>
      </w:divBdr>
    </w:div>
    <w:div w:id="1428572427">
      <w:bodyDiv w:val="1"/>
      <w:marLeft w:val="0"/>
      <w:marRight w:val="0"/>
      <w:marTop w:val="0"/>
      <w:marBottom w:val="0"/>
      <w:divBdr>
        <w:top w:val="none" w:sz="0" w:space="0" w:color="auto"/>
        <w:left w:val="none" w:sz="0" w:space="0" w:color="auto"/>
        <w:bottom w:val="none" w:sz="0" w:space="0" w:color="auto"/>
        <w:right w:val="none" w:sz="0" w:space="0" w:color="auto"/>
      </w:divBdr>
    </w:div>
    <w:div w:id="1818917850">
      <w:bodyDiv w:val="1"/>
      <w:marLeft w:val="0"/>
      <w:marRight w:val="0"/>
      <w:marTop w:val="0"/>
      <w:marBottom w:val="0"/>
      <w:divBdr>
        <w:top w:val="none" w:sz="0" w:space="0" w:color="auto"/>
        <w:left w:val="none" w:sz="0" w:space="0" w:color="auto"/>
        <w:bottom w:val="none" w:sz="0" w:space="0" w:color="auto"/>
        <w:right w:val="none" w:sz="0" w:space="0" w:color="auto"/>
      </w:divBdr>
    </w:div>
    <w:div w:id="2040276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1837</TotalTime>
  <Pages>5</Pages>
  <Words>1313</Words>
  <Characters>7486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Edwards (2304623)</dc:creator>
  <cp:keywords/>
  <dc:description/>
  <cp:lastModifiedBy>Robert Edwards (2304623)</cp:lastModifiedBy>
  <cp:revision>120</cp:revision>
  <dcterms:created xsi:type="dcterms:W3CDTF">2024-11-18T06:14:00Z</dcterms:created>
  <dcterms:modified xsi:type="dcterms:W3CDTF">2024-11-19T14:57:00Z</dcterms:modified>
</cp:coreProperties>
</file>