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63063" w:rsidRDefault="00B63063" w:rsidP="00002B0B">
      <w:pPr>
        <w:spacing w:line="360" w:lineRule="auto"/>
        <w:rPr>
          <w:sz w:val="24"/>
        </w:rPr>
      </w:pPr>
    </w:p>
    <w:p w:rsidR="0043776A" w:rsidRDefault="00FE1807" w:rsidP="00F07529">
      <w:pPr>
        <w:spacing w:line="480" w:lineRule="auto"/>
        <w:rPr>
          <w:sz w:val="24"/>
        </w:rPr>
      </w:pPr>
      <w:r>
        <w:rPr>
          <w:sz w:val="24"/>
        </w:rPr>
        <w:t xml:space="preserve">An article released </w:t>
      </w:r>
      <w:r w:rsidR="00DE624B">
        <w:rPr>
          <w:sz w:val="24"/>
        </w:rPr>
        <w:t>as part of a 2007 edition of the</w:t>
      </w:r>
      <w:r>
        <w:rPr>
          <w:sz w:val="24"/>
        </w:rPr>
        <w:t xml:space="preserve"> </w:t>
      </w:r>
      <w:proofErr w:type="spellStart"/>
      <w:r>
        <w:rPr>
          <w:i/>
          <w:sz w:val="24"/>
        </w:rPr>
        <w:t>The</w:t>
      </w:r>
      <w:proofErr w:type="spellEnd"/>
      <w:r>
        <w:rPr>
          <w:i/>
          <w:sz w:val="24"/>
        </w:rPr>
        <w:t xml:space="preserve"> Bryn </w:t>
      </w:r>
      <w:proofErr w:type="spellStart"/>
      <w:r>
        <w:rPr>
          <w:i/>
          <w:sz w:val="24"/>
        </w:rPr>
        <w:t>Mawr</w:t>
      </w:r>
      <w:proofErr w:type="spellEnd"/>
      <w:r>
        <w:rPr>
          <w:i/>
          <w:sz w:val="24"/>
        </w:rPr>
        <w:t xml:space="preserve"> Classical Review </w:t>
      </w:r>
      <w:r w:rsidR="00DE624B">
        <w:rPr>
          <w:sz w:val="24"/>
        </w:rPr>
        <w:t xml:space="preserve">primarily focuses on a review of the 2006 book, </w:t>
      </w:r>
      <w:r w:rsidR="00DE624B">
        <w:rPr>
          <w:i/>
          <w:sz w:val="24"/>
        </w:rPr>
        <w:t xml:space="preserve">The Beginnings of History: Herodotus and the Persian Wars, </w:t>
      </w:r>
      <w:r w:rsidR="00DE624B">
        <w:rPr>
          <w:sz w:val="24"/>
        </w:rPr>
        <w:t>written</w:t>
      </w:r>
      <w:r w:rsidR="00A23A5A">
        <w:rPr>
          <w:sz w:val="24"/>
        </w:rPr>
        <w:t xml:space="preserve"> by James Allan Evans</w:t>
      </w:r>
      <w:r w:rsidR="00DE624B">
        <w:rPr>
          <w:sz w:val="24"/>
        </w:rPr>
        <w:t>.</w:t>
      </w:r>
      <w:r w:rsidR="00DE624B">
        <w:rPr>
          <w:rStyle w:val="FootnoteReference"/>
          <w:sz w:val="24"/>
        </w:rPr>
        <w:footnoteReference w:id="1"/>
      </w:r>
      <w:r w:rsidR="00DE624B">
        <w:rPr>
          <w:sz w:val="24"/>
        </w:rPr>
        <w:t xml:space="preserve"> This article</w:t>
      </w:r>
      <w:r w:rsidR="00E90DBF">
        <w:rPr>
          <w:sz w:val="24"/>
        </w:rPr>
        <w:t>,</w:t>
      </w:r>
      <w:r w:rsidR="00DE624B">
        <w:rPr>
          <w:sz w:val="24"/>
        </w:rPr>
        <w:t xml:space="preserve"> which will be responded to </w:t>
      </w:r>
      <w:r w:rsidR="00E90DBF">
        <w:rPr>
          <w:sz w:val="24"/>
        </w:rPr>
        <w:t xml:space="preserve">throughout the course of this work, </w:t>
      </w:r>
      <w:r w:rsidR="00DE624B">
        <w:rPr>
          <w:sz w:val="24"/>
        </w:rPr>
        <w:t xml:space="preserve">is written by </w:t>
      </w:r>
      <w:r w:rsidR="00DE624B" w:rsidRPr="00DE624B">
        <w:rPr>
          <w:sz w:val="24"/>
        </w:rPr>
        <w:t>Maurizio Giangiulio</w:t>
      </w:r>
      <w:r w:rsidR="00DE624B">
        <w:rPr>
          <w:sz w:val="24"/>
        </w:rPr>
        <w:t xml:space="preserve"> from the University of Trento.</w:t>
      </w:r>
      <w:r w:rsidR="00491F4B">
        <w:rPr>
          <w:rStyle w:val="FootnoteReference"/>
          <w:sz w:val="24"/>
        </w:rPr>
        <w:footnoteReference w:id="2"/>
      </w:r>
      <w:r w:rsidR="002E4F6F">
        <w:rPr>
          <w:sz w:val="24"/>
        </w:rPr>
        <w:t xml:space="preserve"> </w:t>
      </w:r>
      <w:r w:rsidR="004D366F">
        <w:rPr>
          <w:sz w:val="24"/>
        </w:rPr>
        <w:t xml:space="preserve">The topic relating to this article is Herodotus and his writings, particularly </w:t>
      </w:r>
      <w:r w:rsidR="003C1583">
        <w:rPr>
          <w:sz w:val="24"/>
        </w:rPr>
        <w:t>focu</w:t>
      </w:r>
      <w:r w:rsidR="004D366F">
        <w:rPr>
          <w:sz w:val="24"/>
        </w:rPr>
        <w:t xml:space="preserve">sed on the Persian Wars, although other examples are found within the work of </w:t>
      </w:r>
      <w:r w:rsidR="00A23A5A">
        <w:rPr>
          <w:sz w:val="24"/>
        </w:rPr>
        <w:t>Evans</w:t>
      </w:r>
      <w:r w:rsidR="004D366F">
        <w:rPr>
          <w:sz w:val="24"/>
        </w:rPr>
        <w:t xml:space="preserve"> for comparison purposes. </w:t>
      </w:r>
      <w:r w:rsidR="002E4F6F">
        <w:rPr>
          <w:sz w:val="24"/>
        </w:rPr>
        <w:t>While some of the</w:t>
      </w:r>
      <w:r w:rsidR="00024CE2">
        <w:rPr>
          <w:sz w:val="24"/>
        </w:rPr>
        <w:t xml:space="preserve"> early paragraphs in the</w:t>
      </w:r>
      <w:r w:rsidR="002E4F6F">
        <w:rPr>
          <w:sz w:val="24"/>
        </w:rPr>
        <w:t xml:space="preserve"> </w:t>
      </w:r>
      <w:r w:rsidR="00024CE2">
        <w:rPr>
          <w:sz w:val="24"/>
        </w:rPr>
        <w:t>article simply describe</w:t>
      </w:r>
      <w:r w:rsidR="002E4F6F">
        <w:rPr>
          <w:sz w:val="24"/>
        </w:rPr>
        <w:t xml:space="preserve"> the work written by </w:t>
      </w:r>
      <w:r w:rsidR="00A23A5A">
        <w:rPr>
          <w:sz w:val="24"/>
        </w:rPr>
        <w:t>Evans</w:t>
      </w:r>
      <w:r w:rsidR="003C1583">
        <w:rPr>
          <w:sz w:val="24"/>
        </w:rPr>
        <w:t xml:space="preserve"> and the structure of the book</w:t>
      </w:r>
      <w:r w:rsidR="002E4F6F">
        <w:rPr>
          <w:sz w:val="24"/>
        </w:rPr>
        <w:t>, much of this piece features some key arguments and opinions from Giangiulio himself regarding his views on some topics addressed in the work he is discussing</w:t>
      </w:r>
      <w:r w:rsidR="00024CE2">
        <w:rPr>
          <w:sz w:val="24"/>
        </w:rPr>
        <w:t xml:space="preserve">, as well as some personal views on </w:t>
      </w:r>
      <w:r w:rsidR="00A23A5A">
        <w:rPr>
          <w:sz w:val="24"/>
        </w:rPr>
        <w:t>Evans</w:t>
      </w:r>
      <w:r w:rsidR="00024CE2">
        <w:rPr>
          <w:sz w:val="24"/>
        </w:rPr>
        <w:t xml:space="preserve"> as a writer</w:t>
      </w:r>
      <w:r w:rsidR="002E4F6F">
        <w:rPr>
          <w:sz w:val="24"/>
        </w:rPr>
        <w:t xml:space="preserve">. Therefore, the aim of this work is to investigate the arguments being made by Giangiulio within </w:t>
      </w:r>
      <w:r w:rsidR="002E4F6F" w:rsidRPr="002E4F6F">
        <w:rPr>
          <w:i/>
          <w:sz w:val="24"/>
        </w:rPr>
        <w:t xml:space="preserve">The Bryn </w:t>
      </w:r>
      <w:proofErr w:type="spellStart"/>
      <w:r w:rsidR="002E4F6F" w:rsidRPr="002E4F6F">
        <w:rPr>
          <w:i/>
          <w:sz w:val="24"/>
        </w:rPr>
        <w:t>Mawr</w:t>
      </w:r>
      <w:proofErr w:type="spellEnd"/>
      <w:r w:rsidR="002E4F6F" w:rsidRPr="002E4F6F">
        <w:rPr>
          <w:i/>
          <w:sz w:val="24"/>
        </w:rPr>
        <w:t xml:space="preserve"> Classical Review</w:t>
      </w:r>
      <w:r w:rsidR="002E4F6F">
        <w:rPr>
          <w:i/>
          <w:sz w:val="24"/>
        </w:rPr>
        <w:t xml:space="preserve"> </w:t>
      </w:r>
      <w:r w:rsidR="002E4F6F">
        <w:rPr>
          <w:sz w:val="24"/>
        </w:rPr>
        <w:t>and produce an academic reply based on</w:t>
      </w:r>
      <w:r w:rsidR="00134106">
        <w:rPr>
          <w:sz w:val="24"/>
        </w:rPr>
        <w:t xml:space="preserve"> further</w:t>
      </w:r>
      <w:r w:rsidR="002E4F6F">
        <w:rPr>
          <w:sz w:val="24"/>
        </w:rPr>
        <w:t xml:space="preserve"> modern and primary evidence</w:t>
      </w:r>
      <w:r w:rsidR="00134106">
        <w:rPr>
          <w:sz w:val="24"/>
        </w:rPr>
        <w:t xml:space="preserve"> surrounding this topic</w:t>
      </w:r>
      <w:r w:rsidR="002E4F6F">
        <w:rPr>
          <w:sz w:val="24"/>
        </w:rPr>
        <w:t xml:space="preserve">, as well as </w:t>
      </w:r>
      <w:r w:rsidR="00FC6532">
        <w:rPr>
          <w:sz w:val="24"/>
        </w:rPr>
        <w:t>one’s</w:t>
      </w:r>
      <w:r w:rsidR="002E4F6F">
        <w:rPr>
          <w:sz w:val="24"/>
        </w:rPr>
        <w:t xml:space="preserve"> own interpretation of the original ideas being presented by </w:t>
      </w:r>
      <w:r w:rsidR="00A23A5A">
        <w:rPr>
          <w:sz w:val="24"/>
        </w:rPr>
        <w:t>Evans</w:t>
      </w:r>
      <w:r w:rsidR="002E4F6F">
        <w:rPr>
          <w:sz w:val="24"/>
        </w:rPr>
        <w:t xml:space="preserve">. </w:t>
      </w:r>
      <w:r w:rsidR="00653777">
        <w:rPr>
          <w:sz w:val="24"/>
        </w:rPr>
        <w:t xml:space="preserve">The overall approach that this reply will take is mainly a positive one and will agree with many of the arguments </w:t>
      </w:r>
      <w:r w:rsidR="002E2B08">
        <w:rPr>
          <w:sz w:val="24"/>
        </w:rPr>
        <w:t>being put forward by Giangiul</w:t>
      </w:r>
      <w:r w:rsidR="00653777">
        <w:rPr>
          <w:sz w:val="24"/>
        </w:rPr>
        <w:t>io, with a few notable exceptions which will be highlighted throughout the course of the text</w:t>
      </w:r>
      <w:r w:rsidR="003C1583">
        <w:rPr>
          <w:sz w:val="24"/>
        </w:rPr>
        <w:t>, in particular his occasional critique of Evans</w:t>
      </w:r>
      <w:r w:rsidR="00653777">
        <w:rPr>
          <w:sz w:val="24"/>
        </w:rPr>
        <w:t>.</w:t>
      </w:r>
      <w:r w:rsidR="001F42BF">
        <w:rPr>
          <w:sz w:val="24"/>
        </w:rPr>
        <w:t xml:space="preserve"> </w:t>
      </w:r>
      <w:r w:rsidR="002E2B08">
        <w:rPr>
          <w:sz w:val="24"/>
        </w:rPr>
        <w:t xml:space="preserve">The main reasoning </w:t>
      </w:r>
      <w:r w:rsidR="00EC1559">
        <w:rPr>
          <w:sz w:val="24"/>
        </w:rPr>
        <w:t>for the</w:t>
      </w:r>
      <w:r w:rsidR="002E2B08">
        <w:rPr>
          <w:sz w:val="24"/>
        </w:rPr>
        <w:t xml:space="preserve"> mostly positive response </w:t>
      </w:r>
      <w:r w:rsidR="00EC1559">
        <w:rPr>
          <w:sz w:val="24"/>
        </w:rPr>
        <w:t xml:space="preserve">that will be made </w:t>
      </w:r>
      <w:r w:rsidR="002E2B08">
        <w:rPr>
          <w:sz w:val="24"/>
        </w:rPr>
        <w:t xml:space="preserve">to the arguments being presented by Giangiulio throughout his article is that his opinions on the ideas he is working with are fair and balanced, while also being reinforced with modern and primary evidence. This use of external evidence is </w:t>
      </w:r>
      <w:r w:rsidR="00EC1559">
        <w:rPr>
          <w:sz w:val="24"/>
        </w:rPr>
        <w:t>particularly</w:t>
      </w:r>
      <w:r w:rsidR="002E2B08">
        <w:rPr>
          <w:sz w:val="24"/>
        </w:rPr>
        <w:t xml:space="preserve"> prevalent </w:t>
      </w:r>
      <w:r w:rsidR="00EC1559">
        <w:rPr>
          <w:sz w:val="24"/>
        </w:rPr>
        <w:t>on the occasions where he disagrees with the</w:t>
      </w:r>
    </w:p>
    <w:p w:rsidR="002E2B08" w:rsidRDefault="00EC1559" w:rsidP="00F07529">
      <w:pPr>
        <w:spacing w:line="480" w:lineRule="auto"/>
        <w:rPr>
          <w:sz w:val="24"/>
        </w:rPr>
      </w:pPr>
      <w:r>
        <w:rPr>
          <w:sz w:val="24"/>
        </w:rPr>
        <w:lastRenderedPageBreak/>
        <w:t xml:space="preserve">arguments brought by </w:t>
      </w:r>
      <w:r w:rsidR="00A23A5A">
        <w:rPr>
          <w:sz w:val="24"/>
        </w:rPr>
        <w:t>Evans</w:t>
      </w:r>
      <w:r>
        <w:rPr>
          <w:sz w:val="24"/>
        </w:rPr>
        <w:t xml:space="preserve">, as shall be discussed in more detail </w:t>
      </w:r>
      <w:r w:rsidR="00BC0CB4">
        <w:rPr>
          <w:sz w:val="24"/>
        </w:rPr>
        <w:t xml:space="preserve">in later sections of this work. Before being able to successfully produce an adequate reply to the article, it is important to fully evaluate what is being said and the quality of the writing itself. Therefore, sections of this reply will also evaluate the overall workmanship and review how well Giangiulio makes his arguments </w:t>
      </w:r>
      <w:r w:rsidR="003C1583">
        <w:rPr>
          <w:sz w:val="24"/>
        </w:rPr>
        <w:t>with evidence</w:t>
      </w:r>
      <w:r w:rsidR="00BC0CB4">
        <w:rPr>
          <w:sz w:val="24"/>
        </w:rPr>
        <w:t>.</w:t>
      </w:r>
    </w:p>
    <w:p w:rsidR="00EC1559" w:rsidRDefault="00EC1559" w:rsidP="00F07529">
      <w:pPr>
        <w:spacing w:line="480" w:lineRule="auto"/>
        <w:rPr>
          <w:sz w:val="24"/>
        </w:rPr>
      </w:pPr>
    </w:p>
    <w:p w:rsidR="00EC1559" w:rsidRDefault="00EC1559" w:rsidP="00F07529">
      <w:pPr>
        <w:spacing w:line="480" w:lineRule="auto"/>
        <w:rPr>
          <w:sz w:val="24"/>
        </w:rPr>
      </w:pPr>
      <w:r>
        <w:rPr>
          <w:sz w:val="24"/>
        </w:rPr>
        <w:t xml:space="preserve">In order to create an informed academic reply to the </w:t>
      </w:r>
      <w:r w:rsidR="001F42BF">
        <w:rPr>
          <w:sz w:val="24"/>
        </w:rPr>
        <w:t xml:space="preserve">arguments found within Giangiulio’s article, it is important to first outline a brief summary of the arguments within the article, as well as the book written by </w:t>
      </w:r>
      <w:r w:rsidR="00BC0CB4">
        <w:rPr>
          <w:sz w:val="24"/>
        </w:rPr>
        <w:t>Evans</w:t>
      </w:r>
      <w:r w:rsidR="001F42BF">
        <w:rPr>
          <w:sz w:val="24"/>
        </w:rPr>
        <w:t xml:space="preserve"> from which he was working. James Allen</w:t>
      </w:r>
      <w:r w:rsidR="00A23A5A">
        <w:rPr>
          <w:sz w:val="24"/>
        </w:rPr>
        <w:t xml:space="preserve"> Evan’s</w:t>
      </w:r>
      <w:r w:rsidR="001F42BF">
        <w:rPr>
          <w:sz w:val="24"/>
        </w:rPr>
        <w:t xml:space="preserve"> book is</w:t>
      </w:r>
      <w:r w:rsidR="003C1583">
        <w:rPr>
          <w:sz w:val="24"/>
        </w:rPr>
        <w:t>,</w:t>
      </w:r>
      <w:r w:rsidR="001F42BF">
        <w:rPr>
          <w:sz w:val="24"/>
        </w:rPr>
        <w:t xml:space="preserve"> for the most part</w:t>
      </w:r>
      <w:r w:rsidR="003C1583">
        <w:rPr>
          <w:sz w:val="24"/>
        </w:rPr>
        <w:t>,</w:t>
      </w:r>
      <w:r w:rsidR="001F42BF">
        <w:rPr>
          <w:sz w:val="24"/>
        </w:rPr>
        <w:t xml:space="preserve"> a collection of written essays </w:t>
      </w:r>
      <w:r w:rsidR="00651740">
        <w:rPr>
          <w:sz w:val="24"/>
        </w:rPr>
        <w:t xml:space="preserve">written by himself </w:t>
      </w:r>
      <w:r w:rsidR="001F42BF">
        <w:rPr>
          <w:sz w:val="24"/>
        </w:rPr>
        <w:t xml:space="preserve">which remained mostly unedited, although all did feature added endnotes featuring </w:t>
      </w:r>
      <w:r w:rsidR="00A23A5A">
        <w:rPr>
          <w:sz w:val="24"/>
        </w:rPr>
        <w:t>Evans</w:t>
      </w:r>
      <w:r w:rsidR="001F42BF">
        <w:rPr>
          <w:sz w:val="24"/>
        </w:rPr>
        <w:t>’s afterthoughts, as well as a short reflection on the wider impacts of the original essay publications.</w:t>
      </w:r>
      <w:r w:rsidR="001F42BF">
        <w:rPr>
          <w:rStyle w:val="FootnoteReference"/>
          <w:sz w:val="24"/>
        </w:rPr>
        <w:footnoteReference w:id="3"/>
      </w:r>
      <w:r w:rsidR="001171FA">
        <w:rPr>
          <w:sz w:val="24"/>
        </w:rPr>
        <w:t xml:space="preserve"> </w:t>
      </w:r>
      <w:r w:rsidR="0035246E">
        <w:rPr>
          <w:sz w:val="24"/>
        </w:rPr>
        <w:t xml:space="preserve">Using this scholarship as a basis for his own arguments, Giangiulio then produces an article, as part of a journal, which puts forward his review and arguments in relation to the works written by both </w:t>
      </w:r>
      <w:r w:rsidR="00A23A5A">
        <w:rPr>
          <w:sz w:val="24"/>
        </w:rPr>
        <w:t>Evans</w:t>
      </w:r>
      <w:r w:rsidR="0035246E">
        <w:rPr>
          <w:sz w:val="24"/>
        </w:rPr>
        <w:t xml:space="preserve"> and Herodotus himself. Much like this reply to his own work</w:t>
      </w:r>
      <w:r w:rsidR="003C1583">
        <w:rPr>
          <w:sz w:val="24"/>
        </w:rPr>
        <w:t xml:space="preserve"> will conclude</w:t>
      </w:r>
      <w:r w:rsidR="0035246E">
        <w:rPr>
          <w:sz w:val="24"/>
        </w:rPr>
        <w:t>, the article written by Giangiulio largely agrees with a lot of the ideas presented by the writer he is basing his work on, with several examples of differences of ideas that are backed up with evidence. While the artic</w:t>
      </w:r>
      <w:r w:rsidR="00133766">
        <w:rPr>
          <w:sz w:val="24"/>
        </w:rPr>
        <w:t>le is very descriptive at times with early sections simply describing the structure of the earlier work by</w:t>
      </w:r>
      <w:r w:rsidR="00A23A5A">
        <w:rPr>
          <w:sz w:val="24"/>
        </w:rPr>
        <w:t xml:space="preserve"> Evans</w:t>
      </w:r>
      <w:r w:rsidR="00133766">
        <w:rPr>
          <w:sz w:val="24"/>
        </w:rPr>
        <w:t xml:space="preserve">, as was mentioned in the introduction paragraph, the main text of the article demonstrates examples of both agreeing and disagreeing with </w:t>
      </w:r>
      <w:r w:rsidR="00A23A5A">
        <w:rPr>
          <w:sz w:val="24"/>
        </w:rPr>
        <w:t>Evans</w:t>
      </w:r>
      <w:r w:rsidR="00133766">
        <w:rPr>
          <w:sz w:val="24"/>
        </w:rPr>
        <w:t>’s views with reinforcing evidence to back it up.</w:t>
      </w:r>
      <w:r w:rsidR="00EC448B">
        <w:rPr>
          <w:sz w:val="24"/>
        </w:rPr>
        <w:t xml:space="preserve"> While the primary purpose of this work is to reply to the overall argument which is being put across throughout the article and </w:t>
      </w:r>
      <w:r w:rsidR="00EC448B">
        <w:rPr>
          <w:sz w:val="24"/>
        </w:rPr>
        <w:lastRenderedPageBreak/>
        <w:t xml:space="preserve">not singular points within it, this is significant to </w:t>
      </w:r>
      <w:r w:rsidR="003C1583">
        <w:rPr>
          <w:sz w:val="24"/>
        </w:rPr>
        <w:t xml:space="preserve">briefly </w:t>
      </w:r>
      <w:r w:rsidR="00EC448B">
        <w:rPr>
          <w:sz w:val="24"/>
        </w:rPr>
        <w:t xml:space="preserve">consider when addressing a reply as the way in which Giangiulio assesses </w:t>
      </w:r>
      <w:r w:rsidR="00B87E36">
        <w:rPr>
          <w:sz w:val="24"/>
        </w:rPr>
        <w:t xml:space="preserve">each point and either backs up ideas first presented by </w:t>
      </w:r>
      <w:r w:rsidR="00A23A5A">
        <w:rPr>
          <w:sz w:val="24"/>
        </w:rPr>
        <w:t>Evans</w:t>
      </w:r>
      <w:r w:rsidR="00B87E36">
        <w:rPr>
          <w:sz w:val="24"/>
        </w:rPr>
        <w:t xml:space="preserve"> with further reinforcing evidence</w:t>
      </w:r>
      <w:r w:rsidR="00E44C8D">
        <w:rPr>
          <w:sz w:val="24"/>
        </w:rPr>
        <w:t>,</w:t>
      </w:r>
      <w:r w:rsidR="00B87E36">
        <w:rPr>
          <w:sz w:val="24"/>
        </w:rPr>
        <w:t xml:space="preserve"> or </w:t>
      </w:r>
      <w:r w:rsidR="00E44C8D">
        <w:rPr>
          <w:sz w:val="24"/>
        </w:rPr>
        <w:t xml:space="preserve">alternatively </w:t>
      </w:r>
      <w:r w:rsidR="00B87E36">
        <w:rPr>
          <w:sz w:val="24"/>
        </w:rPr>
        <w:t xml:space="preserve">produces a counter argument using such evidence shows a writer who is careful about any bold claims he makes and makes sure there is evidence to support either side of an argument he may support, as well his own general knowledge on this aspect of history being very clearly demonstrated </w:t>
      </w:r>
      <w:r w:rsidR="00737023">
        <w:rPr>
          <w:sz w:val="24"/>
        </w:rPr>
        <w:t xml:space="preserve">to the reader </w:t>
      </w:r>
      <w:r w:rsidR="00B87E36">
        <w:rPr>
          <w:sz w:val="24"/>
        </w:rPr>
        <w:t>throughout the piece.</w:t>
      </w:r>
      <w:r w:rsidR="00376407">
        <w:rPr>
          <w:sz w:val="24"/>
        </w:rPr>
        <w:t xml:space="preserve"> It is also worth noting that the journal from which the reply comes from, </w:t>
      </w:r>
      <w:r w:rsidR="00376407" w:rsidRPr="00376407">
        <w:rPr>
          <w:i/>
          <w:sz w:val="24"/>
        </w:rPr>
        <w:t xml:space="preserve">The Bryn </w:t>
      </w:r>
      <w:proofErr w:type="spellStart"/>
      <w:r w:rsidR="00376407" w:rsidRPr="00376407">
        <w:rPr>
          <w:i/>
          <w:sz w:val="24"/>
        </w:rPr>
        <w:t>Mawr</w:t>
      </w:r>
      <w:proofErr w:type="spellEnd"/>
      <w:r w:rsidR="00376407" w:rsidRPr="00376407">
        <w:rPr>
          <w:i/>
          <w:sz w:val="24"/>
        </w:rPr>
        <w:t xml:space="preserve"> Classical Review</w:t>
      </w:r>
      <w:r w:rsidR="00376407">
        <w:rPr>
          <w:i/>
          <w:sz w:val="24"/>
        </w:rPr>
        <w:t xml:space="preserve">, </w:t>
      </w:r>
      <w:r w:rsidR="00376407">
        <w:rPr>
          <w:sz w:val="24"/>
        </w:rPr>
        <w:t xml:space="preserve">is a </w:t>
      </w:r>
      <w:r w:rsidR="0043776A">
        <w:rPr>
          <w:sz w:val="24"/>
        </w:rPr>
        <w:t>well-respected</w:t>
      </w:r>
      <w:r w:rsidR="00376407">
        <w:rPr>
          <w:sz w:val="24"/>
        </w:rPr>
        <w:t xml:space="preserve"> and credible academic journal, written by qualified academics and peer reviewed.</w:t>
      </w:r>
      <w:r w:rsidR="00376407">
        <w:rPr>
          <w:rStyle w:val="FootnoteReference"/>
          <w:sz w:val="24"/>
        </w:rPr>
        <w:footnoteReference w:id="4"/>
      </w:r>
    </w:p>
    <w:p w:rsidR="00737023" w:rsidRDefault="00737023" w:rsidP="00F07529">
      <w:pPr>
        <w:spacing w:line="480" w:lineRule="auto"/>
        <w:rPr>
          <w:sz w:val="24"/>
        </w:rPr>
      </w:pPr>
    </w:p>
    <w:p w:rsidR="003C1583" w:rsidRDefault="00737023" w:rsidP="00F07529">
      <w:pPr>
        <w:spacing w:line="480" w:lineRule="auto"/>
        <w:rPr>
          <w:sz w:val="24"/>
        </w:rPr>
      </w:pPr>
      <w:r>
        <w:rPr>
          <w:sz w:val="24"/>
        </w:rPr>
        <w:t xml:space="preserve">Moving on from looking critically at the writer and journal that will form the basis of this reply, this piece will now go in to more detail on the argument of this reply itself and why it will be primarily positive and agreeing with the arguments of Giangiulio. </w:t>
      </w:r>
      <w:r w:rsidR="00520188">
        <w:rPr>
          <w:sz w:val="24"/>
        </w:rPr>
        <w:t xml:space="preserve"> </w:t>
      </w:r>
      <w:r w:rsidR="00651740">
        <w:rPr>
          <w:sz w:val="24"/>
        </w:rPr>
        <w:t>This will involve looking at many of the components that make up the article itself, including the history and evidence surrounding these events</w:t>
      </w:r>
      <w:r w:rsidR="00247ADE">
        <w:rPr>
          <w:sz w:val="24"/>
        </w:rPr>
        <w:t xml:space="preserve"> and examples of where agreement or disagreement can be justified in relation to the overall argument of the article</w:t>
      </w:r>
      <w:r w:rsidR="00651740">
        <w:rPr>
          <w:sz w:val="24"/>
        </w:rPr>
        <w:t xml:space="preserve">. </w:t>
      </w:r>
      <w:r w:rsidR="00520188">
        <w:rPr>
          <w:sz w:val="24"/>
        </w:rPr>
        <w:t>To begin with, one should start with the ancient sources and Herodotus himself, as every argument that has been brought up throughout</w:t>
      </w:r>
      <w:r w:rsidR="0043776A">
        <w:rPr>
          <w:sz w:val="24"/>
        </w:rPr>
        <w:t xml:space="preserve"> this work ultimately relates back to this collection of writings and its reliability. Among many modern scholars, Herodotus is generally considered to be a useful source for modern historians to work with, especially in regard to this particular period of history, although caution should sometimes be used when considering all of the details.</w:t>
      </w:r>
      <w:r w:rsidR="0043776A">
        <w:rPr>
          <w:rStyle w:val="FootnoteReference"/>
          <w:sz w:val="24"/>
        </w:rPr>
        <w:footnoteReference w:id="5"/>
      </w:r>
      <w:r w:rsidR="0043776A">
        <w:rPr>
          <w:sz w:val="24"/>
        </w:rPr>
        <w:t xml:space="preserve"> </w:t>
      </w:r>
      <w:r w:rsidR="00002297">
        <w:rPr>
          <w:sz w:val="24"/>
        </w:rPr>
        <w:lastRenderedPageBreak/>
        <w:t xml:space="preserve">One can find many examples of this view; while scholars do not discredit Herodotus, as with many other ancient writers the exact accuracy of the work should not be assumed just because it is ancient source material. The modern writer </w:t>
      </w:r>
      <w:proofErr w:type="spellStart"/>
      <w:r w:rsidR="00002297">
        <w:rPr>
          <w:sz w:val="24"/>
        </w:rPr>
        <w:t>Fornara</w:t>
      </w:r>
      <w:proofErr w:type="spellEnd"/>
      <w:r w:rsidR="00002297">
        <w:rPr>
          <w:sz w:val="24"/>
        </w:rPr>
        <w:t xml:space="preserve"> even claims in </w:t>
      </w:r>
      <w:r w:rsidR="00B16577">
        <w:rPr>
          <w:sz w:val="24"/>
        </w:rPr>
        <w:t>their essay on Herodotus that his main concern was not accurately describing events as they happened, but rather put down his own version of events as these are what he felt should be portrayed to any readers of his works as this is what they would be most interested in.</w:t>
      </w:r>
      <w:r w:rsidR="00B16577">
        <w:rPr>
          <w:rStyle w:val="FootnoteReference"/>
          <w:sz w:val="24"/>
        </w:rPr>
        <w:footnoteReference w:id="6"/>
      </w:r>
      <w:r w:rsidR="00B16577">
        <w:rPr>
          <w:sz w:val="24"/>
        </w:rPr>
        <w:t xml:space="preserve"> While this is certainly an interesting approach to take, it is also just as important to be cautious of the views of modern scholars without supporting evidence; something that Giangiulio rarely does not do when presenting his own ideas and arguments. </w:t>
      </w:r>
    </w:p>
    <w:p w:rsidR="003C1583" w:rsidRDefault="003C1583" w:rsidP="00F07529">
      <w:pPr>
        <w:spacing w:line="480" w:lineRule="auto"/>
        <w:rPr>
          <w:sz w:val="24"/>
        </w:rPr>
      </w:pPr>
    </w:p>
    <w:p w:rsidR="00737023" w:rsidRDefault="00B16577" w:rsidP="00F07529">
      <w:pPr>
        <w:spacing w:line="480" w:lineRule="auto"/>
        <w:rPr>
          <w:sz w:val="24"/>
        </w:rPr>
      </w:pPr>
      <w:r>
        <w:rPr>
          <w:sz w:val="24"/>
        </w:rPr>
        <w:t xml:space="preserve">This occasional doubt of Herodotus and the accuracy of his work is not something that </w:t>
      </w:r>
      <w:r w:rsidR="0037451E">
        <w:rPr>
          <w:sz w:val="24"/>
        </w:rPr>
        <w:t>was formed recently, as other ancient sources from the following centuries would also present evidence of Herodotus not being entirely reliable at all times</w:t>
      </w:r>
      <w:r w:rsidR="00651740">
        <w:rPr>
          <w:rStyle w:val="FootnoteReference"/>
          <w:sz w:val="24"/>
        </w:rPr>
        <w:footnoteReference w:id="7"/>
      </w:r>
      <w:r w:rsidR="0037451E">
        <w:rPr>
          <w:sz w:val="24"/>
        </w:rPr>
        <w:t>. For example, Thucydides would criticise the credibility of Herodotus within his own later work, while still deeming it accurate enough not to require complete rewriting before his own continuation of the history.</w:t>
      </w:r>
      <w:r w:rsidR="0037451E">
        <w:rPr>
          <w:rStyle w:val="FootnoteReference"/>
          <w:sz w:val="24"/>
        </w:rPr>
        <w:footnoteReference w:id="8"/>
      </w:r>
      <w:r w:rsidR="00094316">
        <w:rPr>
          <w:sz w:val="24"/>
        </w:rPr>
        <w:t xml:space="preserve"> </w:t>
      </w:r>
      <w:r w:rsidR="00300841">
        <w:rPr>
          <w:sz w:val="24"/>
        </w:rPr>
        <w:t>Other heavy criticisms would come later from Plu</w:t>
      </w:r>
      <w:r w:rsidR="00BB61F0">
        <w:rPr>
          <w:sz w:val="24"/>
        </w:rPr>
        <w:t>tarch, within his extremely critical essay on Herodotus.</w:t>
      </w:r>
      <w:r w:rsidR="00BB61F0">
        <w:rPr>
          <w:rStyle w:val="FootnoteReference"/>
          <w:sz w:val="24"/>
        </w:rPr>
        <w:footnoteReference w:id="9"/>
      </w:r>
      <w:r w:rsidR="00BB61F0">
        <w:rPr>
          <w:sz w:val="24"/>
        </w:rPr>
        <w:t xml:space="preserve"> </w:t>
      </w:r>
      <w:r w:rsidR="00E57E4F">
        <w:rPr>
          <w:sz w:val="24"/>
        </w:rPr>
        <w:t xml:space="preserve">It is important to discuss and understand these potential issues with the work of Herodotus as it is from this work that all arguments being discussed ultimately stem and any issues with a lack of credibility could have an effect on any arguments being made in relation. </w:t>
      </w:r>
    </w:p>
    <w:p w:rsidR="00651740" w:rsidRDefault="00651740" w:rsidP="00F07529">
      <w:pPr>
        <w:spacing w:line="480" w:lineRule="auto"/>
        <w:rPr>
          <w:sz w:val="24"/>
        </w:rPr>
      </w:pPr>
    </w:p>
    <w:p w:rsidR="00651740" w:rsidRDefault="00651740" w:rsidP="00F07529">
      <w:pPr>
        <w:spacing w:line="480" w:lineRule="auto"/>
        <w:rPr>
          <w:sz w:val="24"/>
        </w:rPr>
      </w:pPr>
      <w:r>
        <w:rPr>
          <w:sz w:val="24"/>
        </w:rPr>
        <w:t xml:space="preserve">One of the key issues that </w:t>
      </w:r>
      <w:r>
        <w:rPr>
          <w:sz w:val="24"/>
        </w:rPr>
        <w:t>Giang</w:t>
      </w:r>
      <w:r>
        <w:rPr>
          <w:sz w:val="24"/>
        </w:rPr>
        <w:t xml:space="preserve">iulio does take with </w:t>
      </w:r>
      <w:r w:rsidR="00A23A5A">
        <w:rPr>
          <w:sz w:val="24"/>
        </w:rPr>
        <w:t>Evan</w:t>
      </w:r>
      <w:r>
        <w:rPr>
          <w:sz w:val="24"/>
        </w:rPr>
        <w:t>’s work is that he refers to his writing as very “old fashioned” in style</w:t>
      </w:r>
      <w:r w:rsidR="00DB66CF">
        <w:rPr>
          <w:sz w:val="24"/>
        </w:rPr>
        <w:t xml:space="preserve"> and primarily the way in which he makes his arguments which he claims can be confusing at times</w:t>
      </w:r>
      <w:r>
        <w:rPr>
          <w:sz w:val="24"/>
        </w:rPr>
        <w:t>, while acknowledging that all featured essays are well thought out and constructive. This is an interesting point for the writer to make as it is worth pointing out here that this article was released only a year later t</w:t>
      </w:r>
      <w:r w:rsidR="001F0335">
        <w:rPr>
          <w:sz w:val="24"/>
        </w:rPr>
        <w:t xml:space="preserve">han the book that it discusses. While one could attribute this to personal preference of writing style, it is worth noting that James Allen </w:t>
      </w:r>
      <w:r w:rsidR="00A23A5A">
        <w:rPr>
          <w:sz w:val="24"/>
        </w:rPr>
        <w:t>Evans</w:t>
      </w:r>
      <w:r w:rsidR="001F0335">
        <w:rPr>
          <w:sz w:val="24"/>
        </w:rPr>
        <w:t xml:space="preserve"> is </w:t>
      </w:r>
      <w:r w:rsidR="00A23A5A">
        <w:rPr>
          <w:sz w:val="24"/>
        </w:rPr>
        <w:t xml:space="preserve">many </w:t>
      </w:r>
      <w:r w:rsidR="001F0335">
        <w:rPr>
          <w:sz w:val="24"/>
        </w:rPr>
        <w:t xml:space="preserve">years older than </w:t>
      </w:r>
      <w:r w:rsidR="001F0335" w:rsidRPr="001F0335">
        <w:rPr>
          <w:sz w:val="24"/>
        </w:rPr>
        <w:t>Maurizio Giangiulio</w:t>
      </w:r>
      <w:r w:rsidR="001F0335">
        <w:rPr>
          <w:sz w:val="24"/>
        </w:rPr>
        <w:t xml:space="preserve">. This could potentially mean that a different writing style could be the result of a different form of education. However, if one is to go by the assumption that this was simply a matter of personal preference of style, it would be fair to summarise after looking at other writings from both authors </w:t>
      </w:r>
      <w:r w:rsidR="00DB66CF">
        <w:rPr>
          <w:sz w:val="24"/>
        </w:rPr>
        <w:t xml:space="preserve">that </w:t>
      </w:r>
      <w:r w:rsidR="00A23A5A">
        <w:rPr>
          <w:sz w:val="24"/>
        </w:rPr>
        <w:t>Evan</w:t>
      </w:r>
      <w:r w:rsidR="00DB66CF">
        <w:rPr>
          <w:sz w:val="24"/>
        </w:rPr>
        <w:t xml:space="preserve">’s style is not in any way less useful </w:t>
      </w:r>
      <w:r w:rsidR="00E44C8D">
        <w:rPr>
          <w:sz w:val="24"/>
        </w:rPr>
        <w:t xml:space="preserve">than </w:t>
      </w:r>
      <w:r w:rsidR="00DB66CF">
        <w:rPr>
          <w:sz w:val="24"/>
        </w:rPr>
        <w:t xml:space="preserve">that </w:t>
      </w:r>
      <w:r w:rsidR="00E44C8D">
        <w:rPr>
          <w:sz w:val="24"/>
        </w:rPr>
        <w:t xml:space="preserve">of </w:t>
      </w:r>
      <w:r w:rsidR="00DB66CF">
        <w:rPr>
          <w:sz w:val="24"/>
        </w:rPr>
        <w:t xml:space="preserve">Giangiulio. Indeed some may even favour </w:t>
      </w:r>
      <w:r w:rsidR="00A23A5A">
        <w:rPr>
          <w:sz w:val="24"/>
        </w:rPr>
        <w:t>Evan’</w:t>
      </w:r>
      <w:r w:rsidR="00DB66CF">
        <w:rPr>
          <w:sz w:val="24"/>
        </w:rPr>
        <w:t>s more traditional style for understanding his arguments.</w:t>
      </w:r>
      <w:r w:rsidR="00E44C8D">
        <w:rPr>
          <w:sz w:val="24"/>
        </w:rPr>
        <w:t xml:space="preserve"> </w:t>
      </w:r>
    </w:p>
    <w:p w:rsidR="00DB66CF" w:rsidRDefault="00DB66CF" w:rsidP="00F07529">
      <w:pPr>
        <w:spacing w:line="480" w:lineRule="auto"/>
        <w:rPr>
          <w:sz w:val="24"/>
        </w:rPr>
      </w:pPr>
    </w:p>
    <w:p w:rsidR="00DB66CF" w:rsidRDefault="00DB66CF" w:rsidP="00F07529">
      <w:pPr>
        <w:spacing w:line="480" w:lineRule="auto"/>
        <w:rPr>
          <w:sz w:val="24"/>
        </w:rPr>
      </w:pPr>
      <w:r>
        <w:rPr>
          <w:sz w:val="24"/>
        </w:rPr>
        <w:t xml:space="preserve">While </w:t>
      </w:r>
      <w:r w:rsidR="00A23A5A">
        <w:rPr>
          <w:sz w:val="24"/>
        </w:rPr>
        <w:t>Evan</w:t>
      </w:r>
      <w:r>
        <w:rPr>
          <w:sz w:val="24"/>
        </w:rPr>
        <w:t xml:space="preserve">’s </w:t>
      </w:r>
      <w:r w:rsidR="001C4958">
        <w:rPr>
          <w:sz w:val="24"/>
        </w:rPr>
        <w:t xml:space="preserve">own personal </w:t>
      </w:r>
      <w:r>
        <w:rPr>
          <w:sz w:val="24"/>
        </w:rPr>
        <w:t xml:space="preserve">style may be favourable to some and unfavourable to others, it is </w:t>
      </w:r>
      <w:r w:rsidR="00BC611B">
        <w:rPr>
          <w:sz w:val="24"/>
        </w:rPr>
        <w:t xml:space="preserve">almost </w:t>
      </w:r>
      <w:r>
        <w:rPr>
          <w:sz w:val="24"/>
        </w:rPr>
        <w:t xml:space="preserve">without doubt that Giangiulio does a much better job at coming in and reinforcing the original ideas with both reinforcing evidence as well as counter arguments. </w:t>
      </w:r>
      <w:r w:rsidR="001C4958">
        <w:rPr>
          <w:sz w:val="24"/>
        </w:rPr>
        <w:t xml:space="preserve">This is </w:t>
      </w:r>
      <w:r w:rsidR="007A54CC">
        <w:rPr>
          <w:sz w:val="24"/>
        </w:rPr>
        <w:t xml:space="preserve">also </w:t>
      </w:r>
      <w:r w:rsidR="001C4958">
        <w:rPr>
          <w:sz w:val="24"/>
        </w:rPr>
        <w:t>important to consider</w:t>
      </w:r>
      <w:r w:rsidR="000B7085">
        <w:rPr>
          <w:sz w:val="24"/>
        </w:rPr>
        <w:t xml:space="preserve"> when interpreting the work of Herodotus more generally.</w:t>
      </w:r>
      <w:r w:rsidR="0050282C">
        <w:rPr>
          <w:rStyle w:val="FootnoteReference"/>
          <w:sz w:val="24"/>
        </w:rPr>
        <w:footnoteReference w:id="10"/>
      </w:r>
      <w:r w:rsidR="001C4958">
        <w:rPr>
          <w:sz w:val="24"/>
        </w:rPr>
        <w:t xml:space="preserve"> </w:t>
      </w:r>
      <w:r w:rsidR="007A54CC">
        <w:rPr>
          <w:sz w:val="24"/>
        </w:rPr>
        <w:t>As with any piece of work based around history, one of the most important things that should be ensured is that evidence is being presented for what one is trying to say.</w:t>
      </w:r>
      <w:r w:rsidR="00E44C8D">
        <w:rPr>
          <w:rStyle w:val="FootnoteReference"/>
          <w:sz w:val="24"/>
        </w:rPr>
        <w:footnoteReference w:id="11"/>
      </w:r>
      <w:r w:rsidR="001547C1">
        <w:rPr>
          <w:sz w:val="24"/>
        </w:rPr>
        <w:t xml:space="preserve"> Even on the rare </w:t>
      </w:r>
      <w:r w:rsidR="001547C1">
        <w:rPr>
          <w:sz w:val="24"/>
        </w:rPr>
        <w:lastRenderedPageBreak/>
        <w:t xml:space="preserve">occasion throughout the article that evidence is not referenced to due to the interpretive nature of that section of the work, any ideas discussed are well thought out and balanced. </w:t>
      </w:r>
      <w:r w:rsidR="005E73C2">
        <w:rPr>
          <w:sz w:val="24"/>
        </w:rPr>
        <w:t xml:space="preserve">At no point during the reading of the article did the writer of this essay think that </w:t>
      </w:r>
      <w:r w:rsidR="005E73C2">
        <w:rPr>
          <w:sz w:val="24"/>
        </w:rPr>
        <w:t>Giangiulio</w:t>
      </w:r>
      <w:r w:rsidR="005E73C2">
        <w:rPr>
          <w:sz w:val="24"/>
        </w:rPr>
        <w:t xml:space="preserve"> was being unfair or too bold in a view he was making; everything was considered and fair, something that can sometimes be missing from some modern writers who have their own personal views they wish to put across, much like some ancient writers.</w:t>
      </w:r>
      <w:r w:rsidR="0021318C">
        <w:rPr>
          <w:rStyle w:val="FootnoteReference"/>
          <w:sz w:val="24"/>
        </w:rPr>
        <w:footnoteReference w:id="12"/>
      </w:r>
    </w:p>
    <w:p w:rsidR="00292D18" w:rsidRDefault="00292D18" w:rsidP="00F07529">
      <w:pPr>
        <w:spacing w:line="480" w:lineRule="auto"/>
        <w:rPr>
          <w:sz w:val="24"/>
        </w:rPr>
      </w:pPr>
    </w:p>
    <w:p w:rsidR="00BD51B2" w:rsidRDefault="00BD51B2" w:rsidP="00F07529">
      <w:pPr>
        <w:spacing w:line="480" w:lineRule="auto"/>
        <w:rPr>
          <w:sz w:val="24"/>
        </w:rPr>
      </w:pPr>
      <w:r>
        <w:rPr>
          <w:sz w:val="24"/>
        </w:rPr>
        <w:t>One should also consider the historical accuracy of what is being said throughout the course of the article. The purpose of this work is to address the overall arguments and reliability of the article and its author so this reply will refrain from going in to the contents itself, but when one reads a section of the article that goes in to historical detail, any facts or counter arguments made are referenced. This makes it more difficult for someone outside writing a reply to argue many of these facts without having additional evidence that does not yet exist or a motive for doing so.</w:t>
      </w:r>
      <w:r w:rsidR="003C1583">
        <w:rPr>
          <w:sz w:val="24"/>
        </w:rPr>
        <w:t>, especially as other works on the subject come to very similar conclusions.</w:t>
      </w:r>
      <w:r w:rsidR="003C1583">
        <w:rPr>
          <w:rStyle w:val="FootnoteReference"/>
          <w:sz w:val="24"/>
        </w:rPr>
        <w:footnoteReference w:id="13"/>
      </w:r>
      <w:r>
        <w:rPr>
          <w:sz w:val="24"/>
        </w:rPr>
        <w:t xml:space="preserve"> Even the examples of more open ended suggestions seem to make sense within the context of what G</w:t>
      </w:r>
      <w:r w:rsidRPr="00BD51B2">
        <w:rPr>
          <w:sz w:val="24"/>
        </w:rPr>
        <w:t>iangiulio</w:t>
      </w:r>
      <w:r>
        <w:rPr>
          <w:sz w:val="24"/>
        </w:rPr>
        <w:t xml:space="preserve"> is arguing, which makes for a very convincing argument for any reader to reply to.</w:t>
      </w:r>
    </w:p>
    <w:p w:rsidR="00BD51B2" w:rsidRDefault="00BD51B2" w:rsidP="00F07529">
      <w:pPr>
        <w:spacing w:line="480" w:lineRule="auto"/>
        <w:rPr>
          <w:sz w:val="24"/>
        </w:rPr>
      </w:pPr>
    </w:p>
    <w:p w:rsidR="00292D18" w:rsidRDefault="00292D18" w:rsidP="00F07529">
      <w:pPr>
        <w:spacing w:line="480" w:lineRule="auto"/>
        <w:rPr>
          <w:sz w:val="24"/>
        </w:rPr>
      </w:pPr>
      <w:r>
        <w:rPr>
          <w:sz w:val="24"/>
        </w:rPr>
        <w:t xml:space="preserve">In relation to a counter argument to be produced in reply to the article written by </w:t>
      </w:r>
      <w:r w:rsidRPr="00292D18">
        <w:rPr>
          <w:sz w:val="24"/>
        </w:rPr>
        <w:t>Giangiulio</w:t>
      </w:r>
      <w:r>
        <w:rPr>
          <w:sz w:val="24"/>
        </w:rPr>
        <w:t xml:space="preserve">, it is very difficult to find many major areas where a reader can interpret another argument </w:t>
      </w:r>
      <w:r w:rsidR="003C264F">
        <w:rPr>
          <w:sz w:val="24"/>
        </w:rPr>
        <w:t>other than the one alre</w:t>
      </w:r>
      <w:bookmarkStart w:id="0" w:name="_GoBack"/>
      <w:bookmarkEnd w:id="0"/>
      <w:r w:rsidR="003C264F">
        <w:rPr>
          <w:sz w:val="24"/>
        </w:rPr>
        <w:t xml:space="preserve">ady being put forward. The main areas where the writer of </w:t>
      </w:r>
      <w:r w:rsidR="003C264F">
        <w:rPr>
          <w:sz w:val="24"/>
        </w:rPr>
        <w:lastRenderedPageBreak/>
        <w:t xml:space="preserve">this reply feels any sort of major disagreement with the arguments being put forward by </w:t>
      </w:r>
      <w:r w:rsidR="003C264F" w:rsidRPr="003C264F">
        <w:rPr>
          <w:sz w:val="24"/>
        </w:rPr>
        <w:t>Giangiulio</w:t>
      </w:r>
      <w:r w:rsidR="003C264F">
        <w:rPr>
          <w:sz w:val="24"/>
        </w:rPr>
        <w:t xml:space="preserve"> are usually not at sections one thinks are factually incorrect, but rather simply preferring the way it was put across by </w:t>
      </w:r>
      <w:r w:rsidR="00A23A5A">
        <w:rPr>
          <w:sz w:val="24"/>
        </w:rPr>
        <w:t>Evans</w:t>
      </w:r>
      <w:r w:rsidR="003C264F">
        <w:rPr>
          <w:sz w:val="24"/>
        </w:rPr>
        <w:t xml:space="preserve"> after reading the section of work being referred to in full.</w:t>
      </w:r>
      <w:r w:rsidR="00AA1C4B">
        <w:rPr>
          <w:sz w:val="24"/>
        </w:rPr>
        <w:t xml:space="preserve"> The main text of the article written by Giangiulio primarily praises </w:t>
      </w:r>
      <w:r w:rsidR="00A23A5A">
        <w:rPr>
          <w:sz w:val="24"/>
        </w:rPr>
        <w:t>Evans</w:t>
      </w:r>
      <w:r w:rsidR="00AA1C4B">
        <w:rPr>
          <w:sz w:val="24"/>
        </w:rPr>
        <w:t xml:space="preserve"> for his ideas and his understanding of the complexities of the text. Although this is an argument that is being discussed throughout the entirety of the article, it is perhaps the last few paragraphs that best summarise what </w:t>
      </w:r>
      <w:r w:rsidR="00AA1C4B">
        <w:rPr>
          <w:sz w:val="24"/>
        </w:rPr>
        <w:t>Giangiulio</w:t>
      </w:r>
      <w:r w:rsidR="00AA1C4B">
        <w:rPr>
          <w:sz w:val="24"/>
        </w:rPr>
        <w:t xml:space="preserve"> truly thinks of </w:t>
      </w:r>
      <w:r w:rsidR="00A23A5A">
        <w:rPr>
          <w:sz w:val="24"/>
        </w:rPr>
        <w:t>Evan</w:t>
      </w:r>
      <w:r w:rsidR="00AA1C4B">
        <w:rPr>
          <w:sz w:val="24"/>
        </w:rPr>
        <w:t xml:space="preserve">’s work, as well as him more generally as an author. </w:t>
      </w:r>
      <w:r w:rsidR="0051747B">
        <w:rPr>
          <w:sz w:val="24"/>
        </w:rPr>
        <w:t xml:space="preserve">These lines, which describe </w:t>
      </w:r>
      <w:r w:rsidR="00A23A5A">
        <w:rPr>
          <w:sz w:val="24"/>
        </w:rPr>
        <w:t>Evan</w:t>
      </w:r>
      <w:r w:rsidR="0051747B">
        <w:rPr>
          <w:sz w:val="24"/>
        </w:rPr>
        <w:t xml:space="preserve">’s work as an overall “fine collection of essays”, are very hard to disagree with when one gains an understanding of the further work of </w:t>
      </w:r>
      <w:r w:rsidR="00A23A5A">
        <w:rPr>
          <w:sz w:val="24"/>
        </w:rPr>
        <w:t>Evans</w:t>
      </w:r>
      <w:r w:rsidR="0051747B">
        <w:rPr>
          <w:sz w:val="24"/>
        </w:rPr>
        <w:t xml:space="preserve">, as well as the effort </w:t>
      </w:r>
      <w:r w:rsidR="0051747B">
        <w:rPr>
          <w:sz w:val="24"/>
        </w:rPr>
        <w:t>Giangiulio</w:t>
      </w:r>
      <w:r w:rsidR="0051747B">
        <w:rPr>
          <w:sz w:val="24"/>
        </w:rPr>
        <w:t xml:space="preserve"> clearly went to in order to review the works in such great detail. </w:t>
      </w:r>
    </w:p>
    <w:p w:rsidR="005D7D39" w:rsidRDefault="005D7D39" w:rsidP="00F07529">
      <w:pPr>
        <w:spacing w:line="480" w:lineRule="auto"/>
        <w:rPr>
          <w:sz w:val="24"/>
        </w:rPr>
      </w:pPr>
    </w:p>
    <w:p w:rsidR="005D7D39" w:rsidRDefault="005D7D39" w:rsidP="00F07529">
      <w:pPr>
        <w:spacing w:line="480" w:lineRule="auto"/>
        <w:rPr>
          <w:sz w:val="24"/>
        </w:rPr>
      </w:pPr>
      <w:r>
        <w:rPr>
          <w:sz w:val="24"/>
        </w:rPr>
        <w:t>It is also important to link in here the previous section regarding the work of Herodotus himself. As has been discussed, one must be slightly cautious before believing every word of any source.</w:t>
      </w:r>
      <w:r>
        <w:rPr>
          <w:rStyle w:val="FootnoteReference"/>
          <w:sz w:val="24"/>
        </w:rPr>
        <w:footnoteReference w:id="14"/>
      </w:r>
      <w:r>
        <w:rPr>
          <w:sz w:val="24"/>
        </w:rPr>
        <w:t xml:space="preserve"> This is a crucial part to any </w:t>
      </w:r>
      <w:r w:rsidR="003D7242">
        <w:rPr>
          <w:sz w:val="24"/>
        </w:rPr>
        <w:t xml:space="preserve">academic work and in this case </w:t>
      </w:r>
      <w:r w:rsidR="003D7242">
        <w:rPr>
          <w:sz w:val="24"/>
        </w:rPr>
        <w:t>the author of the article dissects the evidence based on modern evidence</w:t>
      </w:r>
      <w:r w:rsidR="00BC0CB4">
        <w:rPr>
          <w:sz w:val="24"/>
        </w:rPr>
        <w:t>. This reviewing aspect of forming an academic reply is important as one must fully evaluate and understand the piece being worked with before forming an adequate response.</w:t>
      </w:r>
    </w:p>
    <w:p w:rsidR="00EE041B" w:rsidRDefault="00EE041B" w:rsidP="00F07529">
      <w:pPr>
        <w:spacing w:line="480" w:lineRule="auto"/>
        <w:rPr>
          <w:sz w:val="24"/>
        </w:rPr>
      </w:pPr>
    </w:p>
    <w:p w:rsidR="004B2696" w:rsidRDefault="003D7242" w:rsidP="00F07529">
      <w:pPr>
        <w:spacing w:line="480" w:lineRule="auto"/>
        <w:rPr>
          <w:sz w:val="24"/>
        </w:rPr>
      </w:pPr>
      <w:r>
        <w:rPr>
          <w:sz w:val="24"/>
        </w:rPr>
        <w:t>Therefore</w:t>
      </w:r>
      <w:r w:rsidR="004B2696">
        <w:rPr>
          <w:sz w:val="24"/>
        </w:rPr>
        <w:t xml:space="preserve">, the most significant reason for producing such a positive reply to this article is that is it factually correct with evidence produced clearly demonstrating this. Even the areas </w:t>
      </w:r>
      <w:r w:rsidR="004B2696">
        <w:rPr>
          <w:sz w:val="24"/>
        </w:rPr>
        <w:lastRenderedPageBreak/>
        <w:t>that are open to interpretation and</w:t>
      </w:r>
      <w:r w:rsidR="00EE041B">
        <w:rPr>
          <w:sz w:val="24"/>
        </w:rPr>
        <w:t xml:space="preserve"> those where</w:t>
      </w:r>
      <w:r w:rsidR="004B2696">
        <w:rPr>
          <w:sz w:val="24"/>
        </w:rPr>
        <w:t xml:space="preserve"> </w:t>
      </w:r>
      <w:r w:rsidR="004B2696">
        <w:rPr>
          <w:sz w:val="24"/>
        </w:rPr>
        <w:t>Giangiulio</w:t>
      </w:r>
      <w:r w:rsidR="004B2696">
        <w:rPr>
          <w:sz w:val="24"/>
        </w:rPr>
        <w:t xml:space="preserve"> presents a different point of view to that presented by</w:t>
      </w:r>
      <w:r w:rsidR="00A23A5A">
        <w:rPr>
          <w:sz w:val="24"/>
        </w:rPr>
        <w:t xml:space="preserve"> Evans</w:t>
      </w:r>
      <w:r w:rsidR="004B2696">
        <w:rPr>
          <w:sz w:val="24"/>
        </w:rPr>
        <w:t xml:space="preserve">, these too are reinforced with evidence which suggests why his later argument may indeed be more historically accurate. </w:t>
      </w:r>
      <w:r w:rsidR="00350901">
        <w:rPr>
          <w:sz w:val="24"/>
        </w:rPr>
        <w:t xml:space="preserve">To highlight one example of this, a section of the article where </w:t>
      </w:r>
      <w:r w:rsidR="00350901">
        <w:rPr>
          <w:sz w:val="24"/>
        </w:rPr>
        <w:t>Giangiulio</w:t>
      </w:r>
      <w:r w:rsidR="00350901">
        <w:rPr>
          <w:sz w:val="24"/>
        </w:rPr>
        <w:t xml:space="preserve"> discusses an essay regarding the oracle of the wooden wall ; here </w:t>
      </w:r>
      <w:r w:rsidR="00350901">
        <w:rPr>
          <w:sz w:val="24"/>
        </w:rPr>
        <w:t>Giangiulio</w:t>
      </w:r>
      <w:r w:rsidR="00350901">
        <w:rPr>
          <w:sz w:val="24"/>
        </w:rPr>
        <w:t xml:space="preserve"> suggests scenarios based on what we know from historiographical evidence and does a good job at highlighting evidence as well as alternative solutions and possible issues with these ideas. It is times like these that the reader can be persuaded quite easily by the argument being made and reply accordingly,</w:t>
      </w:r>
      <w:r w:rsidR="00BC611B">
        <w:rPr>
          <w:sz w:val="24"/>
        </w:rPr>
        <w:t xml:space="preserve"> as this is</w:t>
      </w:r>
      <w:r w:rsidR="00350901">
        <w:rPr>
          <w:sz w:val="24"/>
        </w:rPr>
        <w:t xml:space="preserve"> not </w:t>
      </w:r>
      <w:r w:rsidR="00BC611B">
        <w:rPr>
          <w:sz w:val="24"/>
        </w:rPr>
        <w:t xml:space="preserve">simply </w:t>
      </w:r>
      <w:r w:rsidR="00350901">
        <w:rPr>
          <w:sz w:val="24"/>
        </w:rPr>
        <w:t xml:space="preserve">just a writer making their own claims but evaluating all the evidence carefully and coming to their own conclusions. </w:t>
      </w:r>
    </w:p>
    <w:p w:rsidR="00BC4E71" w:rsidRDefault="00BC4E71" w:rsidP="00F07529">
      <w:pPr>
        <w:spacing w:line="480" w:lineRule="auto"/>
        <w:rPr>
          <w:sz w:val="24"/>
        </w:rPr>
      </w:pPr>
    </w:p>
    <w:p w:rsidR="00BC4E71" w:rsidRPr="00376407" w:rsidRDefault="00BC4E71" w:rsidP="00F07529">
      <w:pPr>
        <w:spacing w:line="480" w:lineRule="auto"/>
        <w:rPr>
          <w:sz w:val="24"/>
        </w:rPr>
      </w:pPr>
      <w:r>
        <w:rPr>
          <w:sz w:val="24"/>
        </w:rPr>
        <w:t xml:space="preserve">In conclusion, this reply has been very interesting to research for and write on such an interesting aspect of history. While the article features sparse examples of occasions where the reader may conclude that </w:t>
      </w:r>
      <w:r>
        <w:rPr>
          <w:sz w:val="24"/>
        </w:rPr>
        <w:t>Giangiulio</w:t>
      </w:r>
      <w:r>
        <w:rPr>
          <w:sz w:val="24"/>
        </w:rPr>
        <w:t xml:space="preserve"> is taking certain ideas presented by Evans in the wrong sense, it was overall an extremely well written discussion of a scholarly topic and it is for the quality of evidence and reasonable argument throughout the article that the main argument of this reply has primary agreed with much of the original argument</w:t>
      </w:r>
      <w:r w:rsidR="00350901">
        <w:rPr>
          <w:sz w:val="24"/>
        </w:rPr>
        <w:t>.</w:t>
      </w:r>
    </w:p>
    <w:p w:rsidR="0025569B" w:rsidRDefault="0025569B" w:rsidP="00002B0B">
      <w:pPr>
        <w:spacing w:line="360" w:lineRule="auto"/>
        <w:rPr>
          <w:sz w:val="24"/>
        </w:rPr>
      </w:pPr>
    </w:p>
    <w:p w:rsidR="0025569B" w:rsidRDefault="0025569B" w:rsidP="00002B0B">
      <w:pPr>
        <w:spacing w:line="360" w:lineRule="auto"/>
        <w:rPr>
          <w:sz w:val="24"/>
        </w:rPr>
      </w:pPr>
    </w:p>
    <w:p w:rsidR="0025569B" w:rsidRDefault="0025569B" w:rsidP="00002B0B">
      <w:pPr>
        <w:spacing w:line="360" w:lineRule="auto"/>
        <w:rPr>
          <w:sz w:val="24"/>
        </w:rPr>
      </w:pPr>
    </w:p>
    <w:p w:rsidR="0025569B" w:rsidRDefault="0025569B" w:rsidP="00002B0B">
      <w:pPr>
        <w:spacing w:line="360" w:lineRule="auto"/>
        <w:rPr>
          <w:sz w:val="24"/>
        </w:rPr>
      </w:pPr>
    </w:p>
    <w:p w:rsidR="0025569B" w:rsidRDefault="0025569B">
      <w:pPr>
        <w:rPr>
          <w:sz w:val="24"/>
        </w:rPr>
      </w:pPr>
    </w:p>
    <w:p w:rsidR="008422EF" w:rsidRDefault="008422EF">
      <w:pPr>
        <w:rPr>
          <w:sz w:val="24"/>
        </w:rPr>
      </w:pPr>
      <w:r>
        <w:rPr>
          <w:sz w:val="24"/>
        </w:rPr>
        <w:br w:type="page"/>
      </w:r>
    </w:p>
    <w:p w:rsidR="0025569B" w:rsidRDefault="0025569B" w:rsidP="00002B0B">
      <w:pPr>
        <w:spacing w:line="360" w:lineRule="auto"/>
        <w:rPr>
          <w:sz w:val="24"/>
        </w:rPr>
      </w:pPr>
    </w:p>
    <w:p w:rsidR="0025569B" w:rsidRPr="0025569B" w:rsidRDefault="0025569B" w:rsidP="001E164B">
      <w:pPr>
        <w:spacing w:line="360" w:lineRule="auto"/>
        <w:jc w:val="center"/>
        <w:rPr>
          <w:b/>
          <w:sz w:val="36"/>
        </w:rPr>
      </w:pPr>
      <w:r w:rsidRPr="0025569B">
        <w:rPr>
          <w:b/>
          <w:sz w:val="36"/>
        </w:rPr>
        <w:t>Bibliography</w:t>
      </w:r>
    </w:p>
    <w:p w:rsidR="008422EF" w:rsidRDefault="008422EF" w:rsidP="00AE58B6">
      <w:pPr>
        <w:spacing w:line="360" w:lineRule="auto"/>
        <w:rPr>
          <w:sz w:val="28"/>
          <w:u w:val="single"/>
        </w:rPr>
      </w:pPr>
    </w:p>
    <w:p w:rsidR="00AE58B6" w:rsidRPr="00AE58B6" w:rsidRDefault="00AE58B6" w:rsidP="00AE58B6">
      <w:pPr>
        <w:spacing w:line="360" w:lineRule="auto"/>
        <w:rPr>
          <w:sz w:val="28"/>
          <w:u w:val="single"/>
        </w:rPr>
      </w:pPr>
      <w:r>
        <w:rPr>
          <w:sz w:val="28"/>
          <w:u w:val="single"/>
        </w:rPr>
        <w:t>Article Source</w:t>
      </w:r>
    </w:p>
    <w:p w:rsidR="0025569B" w:rsidRPr="00AE58B6" w:rsidRDefault="00AE58B6" w:rsidP="00002B0B">
      <w:pPr>
        <w:spacing w:line="360" w:lineRule="auto"/>
        <w:rPr>
          <w:sz w:val="24"/>
        </w:rPr>
      </w:pPr>
      <w:r>
        <w:rPr>
          <w:sz w:val="24"/>
        </w:rPr>
        <w:t>Evans, J. (2007)</w:t>
      </w:r>
      <w:r w:rsidRPr="00AE58B6">
        <w:rPr>
          <w:sz w:val="24"/>
        </w:rPr>
        <w:t xml:space="preserve"> </w:t>
      </w:r>
      <w:r>
        <w:rPr>
          <w:sz w:val="24"/>
        </w:rPr>
        <w:t>‘</w:t>
      </w:r>
      <w:r w:rsidRPr="00AE58B6">
        <w:rPr>
          <w:sz w:val="24"/>
        </w:rPr>
        <w:t>The Beginnings of History: Herodotus and the Persian Wars</w:t>
      </w:r>
      <w:r>
        <w:rPr>
          <w:sz w:val="24"/>
        </w:rPr>
        <w:t>’,</w:t>
      </w:r>
      <w:r w:rsidRPr="00AE58B6">
        <w:rPr>
          <w:sz w:val="24"/>
        </w:rPr>
        <w:t xml:space="preserve"> </w:t>
      </w:r>
      <w:r w:rsidRPr="00AE58B6">
        <w:rPr>
          <w:i/>
          <w:sz w:val="24"/>
        </w:rPr>
        <w:t xml:space="preserve">Bryn </w:t>
      </w:r>
      <w:proofErr w:type="spellStart"/>
      <w:r w:rsidRPr="00AE58B6">
        <w:rPr>
          <w:i/>
          <w:sz w:val="24"/>
        </w:rPr>
        <w:t>Mawr</w:t>
      </w:r>
      <w:proofErr w:type="spellEnd"/>
      <w:r w:rsidRPr="00AE58B6">
        <w:rPr>
          <w:i/>
          <w:sz w:val="24"/>
        </w:rPr>
        <w:t xml:space="preserve"> Classical Review</w:t>
      </w:r>
      <w:r>
        <w:rPr>
          <w:sz w:val="24"/>
        </w:rPr>
        <w:t>, 48</w:t>
      </w:r>
      <w:r w:rsidRPr="00AE58B6">
        <w:rPr>
          <w:sz w:val="24"/>
        </w:rPr>
        <w:t>(9), p.360</w:t>
      </w:r>
    </w:p>
    <w:p w:rsidR="00AE58B6" w:rsidRDefault="00AE58B6" w:rsidP="00002B0B">
      <w:pPr>
        <w:spacing w:line="360" w:lineRule="auto"/>
        <w:rPr>
          <w:sz w:val="28"/>
          <w:u w:val="single"/>
        </w:rPr>
      </w:pPr>
    </w:p>
    <w:p w:rsidR="00AE58B6" w:rsidRDefault="00AE58B6" w:rsidP="00002B0B">
      <w:pPr>
        <w:spacing w:line="360" w:lineRule="auto"/>
        <w:rPr>
          <w:sz w:val="28"/>
          <w:u w:val="single"/>
        </w:rPr>
      </w:pPr>
    </w:p>
    <w:p w:rsidR="0025569B" w:rsidRPr="0025569B" w:rsidRDefault="0025569B" w:rsidP="00002B0B">
      <w:pPr>
        <w:spacing w:line="360" w:lineRule="auto"/>
        <w:rPr>
          <w:sz w:val="28"/>
          <w:u w:val="single"/>
        </w:rPr>
      </w:pPr>
      <w:r w:rsidRPr="0025569B">
        <w:rPr>
          <w:sz w:val="28"/>
          <w:u w:val="single"/>
        </w:rPr>
        <w:t>Primary Sources</w:t>
      </w:r>
    </w:p>
    <w:p w:rsidR="0025569B" w:rsidRDefault="001E164B" w:rsidP="001E164B">
      <w:pPr>
        <w:spacing w:line="360" w:lineRule="auto"/>
        <w:rPr>
          <w:sz w:val="24"/>
        </w:rPr>
      </w:pPr>
      <w:r w:rsidRPr="001E164B">
        <w:rPr>
          <w:sz w:val="24"/>
        </w:rPr>
        <w:t xml:space="preserve">Herodotus, </w:t>
      </w:r>
      <w:r w:rsidRPr="001E164B">
        <w:rPr>
          <w:i/>
          <w:sz w:val="24"/>
        </w:rPr>
        <w:t>The Histories</w:t>
      </w:r>
      <w:r w:rsidRPr="001E164B">
        <w:rPr>
          <w:sz w:val="24"/>
        </w:rPr>
        <w:t xml:space="preserve">. R. Waterfield (trans.). </w:t>
      </w:r>
      <w:r>
        <w:rPr>
          <w:sz w:val="24"/>
        </w:rPr>
        <w:t xml:space="preserve">1998. Oxford: Oxford University </w:t>
      </w:r>
      <w:r w:rsidRPr="001E164B">
        <w:rPr>
          <w:sz w:val="24"/>
        </w:rPr>
        <w:t>Press.</w:t>
      </w:r>
    </w:p>
    <w:p w:rsidR="00BB61F0" w:rsidRPr="00BB61F0" w:rsidRDefault="00BB61F0" w:rsidP="001E164B">
      <w:pPr>
        <w:spacing w:line="360" w:lineRule="auto"/>
        <w:rPr>
          <w:sz w:val="24"/>
        </w:rPr>
      </w:pPr>
      <w:r>
        <w:rPr>
          <w:sz w:val="24"/>
        </w:rPr>
        <w:t>Plutarch</w:t>
      </w:r>
      <w:r w:rsidRPr="00BB61F0">
        <w:rPr>
          <w:i/>
          <w:sz w:val="24"/>
        </w:rPr>
        <w:t>, On the Malice of Herodotus</w:t>
      </w:r>
      <w:r>
        <w:rPr>
          <w:i/>
          <w:sz w:val="24"/>
        </w:rPr>
        <w:t xml:space="preserve">. </w:t>
      </w:r>
      <w:r>
        <w:rPr>
          <w:sz w:val="24"/>
        </w:rPr>
        <w:t>A. Bowens (</w:t>
      </w:r>
      <w:proofErr w:type="gramStart"/>
      <w:r>
        <w:rPr>
          <w:sz w:val="24"/>
        </w:rPr>
        <w:t>trans</w:t>
      </w:r>
      <w:proofErr w:type="gramEnd"/>
      <w:r>
        <w:rPr>
          <w:sz w:val="24"/>
        </w:rPr>
        <w:t>.). 1992. Liverpool: Liverpool University Press</w:t>
      </w:r>
    </w:p>
    <w:p w:rsidR="0037451E" w:rsidRPr="0037451E" w:rsidRDefault="0037451E" w:rsidP="001E164B">
      <w:pPr>
        <w:spacing w:line="360" w:lineRule="auto"/>
        <w:rPr>
          <w:sz w:val="24"/>
        </w:rPr>
      </w:pPr>
      <w:r w:rsidRPr="0037451E">
        <w:rPr>
          <w:sz w:val="24"/>
        </w:rPr>
        <w:t xml:space="preserve">Thucydides, </w:t>
      </w:r>
      <w:r w:rsidRPr="0037451E">
        <w:rPr>
          <w:i/>
          <w:sz w:val="24"/>
        </w:rPr>
        <w:t>History of the Peloponnesian War</w:t>
      </w:r>
      <w:r>
        <w:rPr>
          <w:i/>
          <w:sz w:val="24"/>
        </w:rPr>
        <w:t xml:space="preserve">. </w:t>
      </w:r>
      <w:r>
        <w:rPr>
          <w:sz w:val="24"/>
        </w:rPr>
        <w:t>T. Hobbes (</w:t>
      </w:r>
      <w:proofErr w:type="gramStart"/>
      <w:r>
        <w:rPr>
          <w:sz w:val="24"/>
        </w:rPr>
        <w:t>trans</w:t>
      </w:r>
      <w:proofErr w:type="gramEnd"/>
      <w:r>
        <w:rPr>
          <w:sz w:val="24"/>
        </w:rPr>
        <w:t>.). 1843. London</w:t>
      </w:r>
    </w:p>
    <w:p w:rsidR="008422EF" w:rsidRDefault="008422EF" w:rsidP="00002B0B">
      <w:pPr>
        <w:spacing w:line="360" w:lineRule="auto"/>
        <w:rPr>
          <w:sz w:val="28"/>
          <w:u w:val="single"/>
        </w:rPr>
      </w:pPr>
    </w:p>
    <w:p w:rsidR="008422EF" w:rsidRDefault="008422EF" w:rsidP="00002B0B">
      <w:pPr>
        <w:spacing w:line="360" w:lineRule="auto"/>
        <w:rPr>
          <w:sz w:val="28"/>
          <w:u w:val="single"/>
        </w:rPr>
      </w:pPr>
    </w:p>
    <w:p w:rsidR="0025569B" w:rsidRPr="0025569B" w:rsidRDefault="0025569B" w:rsidP="00002B0B">
      <w:pPr>
        <w:spacing w:line="360" w:lineRule="auto"/>
        <w:rPr>
          <w:sz w:val="28"/>
          <w:u w:val="single"/>
        </w:rPr>
      </w:pPr>
      <w:r w:rsidRPr="0025569B">
        <w:rPr>
          <w:sz w:val="28"/>
          <w:u w:val="single"/>
        </w:rPr>
        <w:t>Secondary Sources</w:t>
      </w:r>
    </w:p>
    <w:p w:rsidR="00BA4818" w:rsidRPr="008422EF" w:rsidRDefault="001171FA" w:rsidP="00BA4818">
      <w:pPr>
        <w:spacing w:line="360" w:lineRule="auto"/>
        <w:rPr>
          <w:sz w:val="24"/>
        </w:rPr>
      </w:pPr>
      <w:proofErr w:type="spellStart"/>
      <w:r w:rsidRPr="008422EF">
        <w:rPr>
          <w:sz w:val="24"/>
        </w:rPr>
        <w:t>Beston</w:t>
      </w:r>
      <w:proofErr w:type="spellEnd"/>
      <w:r w:rsidRPr="008422EF">
        <w:rPr>
          <w:sz w:val="24"/>
        </w:rPr>
        <w:t>, E.</w:t>
      </w:r>
      <w:r w:rsidR="00BA4818" w:rsidRPr="008422EF">
        <w:rPr>
          <w:sz w:val="24"/>
        </w:rPr>
        <w:t xml:space="preserve"> </w:t>
      </w:r>
      <w:r w:rsidRPr="008422EF">
        <w:rPr>
          <w:sz w:val="24"/>
        </w:rPr>
        <w:t>(</w:t>
      </w:r>
      <w:r w:rsidR="00BA4818" w:rsidRPr="008422EF">
        <w:rPr>
          <w:sz w:val="24"/>
        </w:rPr>
        <w:t>2009</w:t>
      </w:r>
      <w:r w:rsidRPr="008422EF">
        <w:rPr>
          <w:sz w:val="24"/>
        </w:rPr>
        <w:t>)</w:t>
      </w:r>
      <w:r w:rsidR="00BA4818" w:rsidRPr="008422EF">
        <w:rPr>
          <w:sz w:val="24"/>
        </w:rPr>
        <w:t> </w:t>
      </w:r>
      <w:r w:rsidR="00BA4818" w:rsidRPr="008422EF">
        <w:rPr>
          <w:i/>
          <w:iCs/>
          <w:sz w:val="24"/>
        </w:rPr>
        <w:t>War and Violence in Ancient Greece</w:t>
      </w:r>
      <w:r w:rsidRPr="008422EF">
        <w:rPr>
          <w:sz w:val="24"/>
        </w:rPr>
        <w:t>. Swansea:</w:t>
      </w:r>
      <w:r w:rsidR="00BA4818" w:rsidRPr="008422EF">
        <w:rPr>
          <w:sz w:val="24"/>
        </w:rPr>
        <w:t xml:space="preserve"> Classical Press of Wales.</w:t>
      </w:r>
    </w:p>
    <w:p w:rsidR="0059403A" w:rsidRPr="008422EF" w:rsidRDefault="0059403A" w:rsidP="00BA4818">
      <w:pPr>
        <w:spacing w:line="360" w:lineRule="auto"/>
        <w:rPr>
          <w:sz w:val="24"/>
        </w:rPr>
      </w:pPr>
      <w:proofErr w:type="spellStart"/>
      <w:r w:rsidRPr="008422EF">
        <w:rPr>
          <w:sz w:val="24"/>
        </w:rPr>
        <w:t>Claughton</w:t>
      </w:r>
      <w:proofErr w:type="spellEnd"/>
      <w:r w:rsidRPr="008422EF">
        <w:rPr>
          <w:sz w:val="24"/>
        </w:rPr>
        <w:t xml:space="preserve">, J. (2008) </w:t>
      </w:r>
      <w:r w:rsidRPr="008422EF">
        <w:rPr>
          <w:i/>
          <w:sz w:val="24"/>
        </w:rPr>
        <w:t>Greece and Rome: Texts and Contexts: Herodotus and the Persian Wars.</w:t>
      </w:r>
      <w:r w:rsidRPr="008422EF">
        <w:rPr>
          <w:sz w:val="24"/>
        </w:rPr>
        <w:t xml:space="preserve"> Cambridge: Cambridge University Press.</w:t>
      </w:r>
    </w:p>
    <w:p w:rsidR="00BA4818" w:rsidRPr="008422EF" w:rsidRDefault="001171FA" w:rsidP="00BA4818">
      <w:pPr>
        <w:spacing w:line="360" w:lineRule="auto"/>
        <w:rPr>
          <w:sz w:val="24"/>
        </w:rPr>
      </w:pPr>
      <w:proofErr w:type="spellStart"/>
      <w:r w:rsidRPr="008422EF">
        <w:rPr>
          <w:sz w:val="24"/>
        </w:rPr>
        <w:t>Dewald</w:t>
      </w:r>
      <w:proofErr w:type="spellEnd"/>
      <w:r w:rsidRPr="008422EF">
        <w:rPr>
          <w:sz w:val="24"/>
        </w:rPr>
        <w:t>, C.</w:t>
      </w:r>
      <w:r w:rsidR="00BA4818" w:rsidRPr="008422EF">
        <w:rPr>
          <w:sz w:val="24"/>
        </w:rPr>
        <w:t xml:space="preserve"> </w:t>
      </w:r>
      <w:r w:rsidRPr="008422EF">
        <w:rPr>
          <w:sz w:val="24"/>
        </w:rPr>
        <w:t>(</w:t>
      </w:r>
      <w:r w:rsidR="00BA4818" w:rsidRPr="008422EF">
        <w:rPr>
          <w:sz w:val="24"/>
        </w:rPr>
        <w:t>2006</w:t>
      </w:r>
      <w:r w:rsidRPr="008422EF">
        <w:rPr>
          <w:sz w:val="24"/>
        </w:rPr>
        <w:t>)</w:t>
      </w:r>
      <w:r w:rsidR="00BA4818" w:rsidRPr="008422EF">
        <w:rPr>
          <w:sz w:val="24"/>
        </w:rPr>
        <w:t> </w:t>
      </w:r>
      <w:proofErr w:type="gramStart"/>
      <w:r w:rsidR="00BA4818" w:rsidRPr="008422EF">
        <w:rPr>
          <w:i/>
          <w:iCs/>
          <w:sz w:val="24"/>
        </w:rPr>
        <w:t>The</w:t>
      </w:r>
      <w:proofErr w:type="gramEnd"/>
      <w:r w:rsidR="00BA4818" w:rsidRPr="008422EF">
        <w:rPr>
          <w:i/>
          <w:iCs/>
          <w:sz w:val="24"/>
        </w:rPr>
        <w:t xml:space="preserve"> Cambridge Companion to Herodotus</w:t>
      </w:r>
      <w:r w:rsidRPr="008422EF">
        <w:rPr>
          <w:sz w:val="24"/>
        </w:rPr>
        <w:t>. Cambridge:</w:t>
      </w:r>
      <w:r w:rsidR="00BA4818" w:rsidRPr="008422EF">
        <w:rPr>
          <w:sz w:val="24"/>
        </w:rPr>
        <w:t xml:space="preserve"> Cambridge University Press.</w:t>
      </w:r>
    </w:p>
    <w:p w:rsidR="00BA4818" w:rsidRPr="008422EF" w:rsidRDefault="001171FA" w:rsidP="00BA4818">
      <w:pPr>
        <w:spacing w:line="360" w:lineRule="auto"/>
        <w:rPr>
          <w:sz w:val="24"/>
        </w:rPr>
      </w:pPr>
      <w:proofErr w:type="spellStart"/>
      <w:r w:rsidRPr="008422EF">
        <w:rPr>
          <w:sz w:val="24"/>
        </w:rPr>
        <w:t>Fornara</w:t>
      </w:r>
      <w:proofErr w:type="spellEnd"/>
      <w:r w:rsidRPr="008422EF">
        <w:rPr>
          <w:sz w:val="24"/>
        </w:rPr>
        <w:t>, C.</w:t>
      </w:r>
      <w:r w:rsidR="00BA4818" w:rsidRPr="008422EF">
        <w:rPr>
          <w:sz w:val="24"/>
        </w:rPr>
        <w:t xml:space="preserve"> </w:t>
      </w:r>
      <w:r w:rsidRPr="008422EF">
        <w:rPr>
          <w:sz w:val="24"/>
        </w:rPr>
        <w:t>(</w:t>
      </w:r>
      <w:r w:rsidR="00BA4818" w:rsidRPr="008422EF">
        <w:rPr>
          <w:sz w:val="24"/>
        </w:rPr>
        <w:t>1971</w:t>
      </w:r>
      <w:r w:rsidRPr="008422EF">
        <w:rPr>
          <w:sz w:val="24"/>
        </w:rPr>
        <w:t>)</w:t>
      </w:r>
      <w:r w:rsidR="00BA4818" w:rsidRPr="008422EF">
        <w:rPr>
          <w:sz w:val="24"/>
        </w:rPr>
        <w:t> </w:t>
      </w:r>
      <w:r w:rsidR="00BA4818" w:rsidRPr="008422EF">
        <w:rPr>
          <w:i/>
          <w:iCs/>
          <w:sz w:val="24"/>
        </w:rPr>
        <w:t>Herodotus: an interpretative essay</w:t>
      </w:r>
      <w:r w:rsidRPr="008422EF">
        <w:rPr>
          <w:sz w:val="24"/>
        </w:rPr>
        <w:t>. Oxford:</w:t>
      </w:r>
      <w:r w:rsidR="00BA4818" w:rsidRPr="008422EF">
        <w:rPr>
          <w:sz w:val="24"/>
        </w:rPr>
        <w:t xml:space="preserve"> Clarendon Press.</w:t>
      </w:r>
    </w:p>
    <w:p w:rsidR="00BA4818" w:rsidRPr="00BA4818" w:rsidRDefault="001171FA" w:rsidP="00BA4818">
      <w:pPr>
        <w:spacing w:line="360" w:lineRule="auto"/>
        <w:rPr>
          <w:sz w:val="24"/>
        </w:rPr>
      </w:pPr>
      <w:r w:rsidRPr="008422EF">
        <w:rPr>
          <w:sz w:val="24"/>
        </w:rPr>
        <w:t>Hans, W.</w:t>
      </w:r>
      <w:r w:rsidR="00BA4818" w:rsidRPr="008422EF">
        <w:rPr>
          <w:sz w:val="24"/>
        </w:rPr>
        <w:t xml:space="preserve"> </w:t>
      </w:r>
      <w:r w:rsidRPr="008422EF">
        <w:rPr>
          <w:sz w:val="24"/>
        </w:rPr>
        <w:t>(</w:t>
      </w:r>
      <w:r w:rsidR="00BA4818" w:rsidRPr="008422EF">
        <w:rPr>
          <w:sz w:val="24"/>
        </w:rPr>
        <w:t>2004</w:t>
      </w:r>
      <w:r w:rsidRPr="008422EF">
        <w:rPr>
          <w:sz w:val="24"/>
        </w:rPr>
        <w:t>)</w:t>
      </w:r>
      <w:r w:rsidR="00BA4818" w:rsidRPr="008422EF">
        <w:rPr>
          <w:sz w:val="24"/>
        </w:rPr>
        <w:t> </w:t>
      </w:r>
      <w:r w:rsidR="00BA4818" w:rsidRPr="008422EF">
        <w:rPr>
          <w:i/>
          <w:iCs/>
          <w:sz w:val="24"/>
        </w:rPr>
        <w:t>Greek Warfare: Myths and Realities</w:t>
      </w:r>
      <w:r w:rsidRPr="008422EF">
        <w:rPr>
          <w:sz w:val="24"/>
        </w:rPr>
        <w:t>. London:</w:t>
      </w:r>
      <w:r w:rsidR="00BA4818" w:rsidRPr="008422EF">
        <w:rPr>
          <w:sz w:val="24"/>
        </w:rPr>
        <w:t xml:space="preserve"> Duckworth.</w:t>
      </w:r>
    </w:p>
    <w:p w:rsidR="00BA4818" w:rsidRPr="003C1583" w:rsidRDefault="001171FA" w:rsidP="00BA4818">
      <w:pPr>
        <w:spacing w:line="360" w:lineRule="auto"/>
        <w:rPr>
          <w:sz w:val="24"/>
        </w:rPr>
      </w:pPr>
      <w:r w:rsidRPr="003C1583">
        <w:rPr>
          <w:sz w:val="24"/>
        </w:rPr>
        <w:lastRenderedPageBreak/>
        <w:t>Hanson, V.</w:t>
      </w:r>
      <w:r w:rsidR="00BA4818" w:rsidRPr="003C1583">
        <w:rPr>
          <w:sz w:val="24"/>
        </w:rPr>
        <w:t xml:space="preserve"> </w:t>
      </w:r>
      <w:r w:rsidRPr="003C1583">
        <w:rPr>
          <w:sz w:val="24"/>
        </w:rPr>
        <w:t>(</w:t>
      </w:r>
      <w:r w:rsidR="00BA4818" w:rsidRPr="003C1583">
        <w:rPr>
          <w:sz w:val="24"/>
        </w:rPr>
        <w:t>2004</w:t>
      </w:r>
      <w:r w:rsidRPr="003C1583">
        <w:rPr>
          <w:sz w:val="24"/>
        </w:rPr>
        <w:t>)</w:t>
      </w:r>
      <w:r w:rsidR="00BA4818" w:rsidRPr="003C1583">
        <w:rPr>
          <w:sz w:val="24"/>
        </w:rPr>
        <w:t> </w:t>
      </w:r>
      <w:r w:rsidR="00BA4818" w:rsidRPr="003C1583">
        <w:rPr>
          <w:i/>
          <w:iCs/>
          <w:sz w:val="24"/>
        </w:rPr>
        <w:t>Wars of the Ancient Greeks</w:t>
      </w:r>
      <w:r w:rsidRPr="003C1583">
        <w:rPr>
          <w:sz w:val="24"/>
        </w:rPr>
        <w:t>. Washington:</w:t>
      </w:r>
      <w:r w:rsidR="00BA4818" w:rsidRPr="003C1583">
        <w:rPr>
          <w:sz w:val="24"/>
        </w:rPr>
        <w:t xml:space="preserve"> </w:t>
      </w:r>
      <w:proofErr w:type="spellStart"/>
      <w:r w:rsidR="00A23A5A" w:rsidRPr="003C1583">
        <w:rPr>
          <w:sz w:val="24"/>
        </w:rPr>
        <w:t>Evans</w:t>
      </w:r>
      <w:r w:rsidR="00BA4818" w:rsidRPr="003C1583">
        <w:rPr>
          <w:sz w:val="24"/>
        </w:rPr>
        <w:t>sonian</w:t>
      </w:r>
      <w:proofErr w:type="spellEnd"/>
      <w:r w:rsidR="00BA4818" w:rsidRPr="003C1583">
        <w:rPr>
          <w:sz w:val="24"/>
        </w:rPr>
        <w:t xml:space="preserve"> Books</w:t>
      </w:r>
      <w:r w:rsidRPr="003C1583">
        <w:rPr>
          <w:sz w:val="24"/>
        </w:rPr>
        <w:t>.</w:t>
      </w:r>
    </w:p>
    <w:p w:rsidR="00BA4818" w:rsidRPr="003C1583" w:rsidRDefault="001171FA" w:rsidP="00BA4818">
      <w:pPr>
        <w:spacing w:line="360" w:lineRule="auto"/>
        <w:rPr>
          <w:sz w:val="24"/>
        </w:rPr>
      </w:pPr>
      <w:r w:rsidRPr="003C1583">
        <w:rPr>
          <w:sz w:val="24"/>
        </w:rPr>
        <w:t>Hanson, V.</w:t>
      </w:r>
      <w:r w:rsidR="00BA4818" w:rsidRPr="003C1583">
        <w:rPr>
          <w:sz w:val="24"/>
        </w:rPr>
        <w:t xml:space="preserve"> </w:t>
      </w:r>
      <w:r w:rsidRPr="003C1583">
        <w:rPr>
          <w:sz w:val="24"/>
        </w:rPr>
        <w:t>(</w:t>
      </w:r>
      <w:r w:rsidR="00BA4818" w:rsidRPr="003C1583">
        <w:rPr>
          <w:sz w:val="24"/>
        </w:rPr>
        <w:t>2012</w:t>
      </w:r>
      <w:r w:rsidRPr="003C1583">
        <w:rPr>
          <w:sz w:val="24"/>
        </w:rPr>
        <w:t>)</w:t>
      </w:r>
      <w:r w:rsidR="00BA4818" w:rsidRPr="003C1583">
        <w:rPr>
          <w:sz w:val="24"/>
        </w:rPr>
        <w:t> </w:t>
      </w:r>
      <w:r w:rsidR="00BA4818" w:rsidRPr="003C1583">
        <w:rPr>
          <w:i/>
          <w:iCs/>
          <w:sz w:val="24"/>
        </w:rPr>
        <w:t xml:space="preserve">Makers of Ancient Strategy: From the Persian Wars to the </w:t>
      </w:r>
      <w:proofErr w:type="gramStart"/>
      <w:r w:rsidR="00BA4818" w:rsidRPr="003C1583">
        <w:rPr>
          <w:i/>
          <w:iCs/>
          <w:sz w:val="24"/>
        </w:rPr>
        <w:t>Fall</w:t>
      </w:r>
      <w:proofErr w:type="gramEnd"/>
      <w:r w:rsidR="00BA4818" w:rsidRPr="003C1583">
        <w:rPr>
          <w:i/>
          <w:iCs/>
          <w:sz w:val="24"/>
        </w:rPr>
        <w:t xml:space="preserve"> of Rome</w:t>
      </w:r>
      <w:r w:rsidRPr="003C1583">
        <w:rPr>
          <w:sz w:val="24"/>
        </w:rPr>
        <w:t>. Oxford:</w:t>
      </w:r>
      <w:r w:rsidR="00BA4818" w:rsidRPr="003C1583">
        <w:rPr>
          <w:sz w:val="24"/>
        </w:rPr>
        <w:t xml:space="preserve"> Oxford University Press.</w:t>
      </w:r>
    </w:p>
    <w:p w:rsidR="00BA4818" w:rsidRPr="003C1583" w:rsidRDefault="001171FA" w:rsidP="00BA4818">
      <w:pPr>
        <w:spacing w:line="360" w:lineRule="auto"/>
        <w:rPr>
          <w:sz w:val="24"/>
        </w:rPr>
      </w:pPr>
      <w:r w:rsidRPr="003C1583">
        <w:rPr>
          <w:sz w:val="24"/>
        </w:rPr>
        <w:t>Matthews, C.</w:t>
      </w:r>
      <w:r w:rsidR="00BA4818" w:rsidRPr="003C1583">
        <w:rPr>
          <w:sz w:val="24"/>
        </w:rPr>
        <w:t xml:space="preserve"> </w:t>
      </w:r>
      <w:r w:rsidRPr="003C1583">
        <w:rPr>
          <w:sz w:val="24"/>
        </w:rPr>
        <w:t>(</w:t>
      </w:r>
      <w:r w:rsidR="00BA4818" w:rsidRPr="003C1583">
        <w:rPr>
          <w:sz w:val="24"/>
        </w:rPr>
        <w:t>2015</w:t>
      </w:r>
      <w:r w:rsidRPr="003C1583">
        <w:rPr>
          <w:sz w:val="24"/>
        </w:rPr>
        <w:t>)</w:t>
      </w:r>
      <w:r w:rsidR="00BA4818" w:rsidRPr="003C1583">
        <w:rPr>
          <w:sz w:val="24"/>
        </w:rPr>
        <w:t> </w:t>
      </w:r>
      <w:proofErr w:type="gramStart"/>
      <w:r w:rsidR="00BA4818" w:rsidRPr="003C1583">
        <w:rPr>
          <w:i/>
          <w:iCs/>
          <w:sz w:val="24"/>
        </w:rPr>
        <w:t>The</w:t>
      </w:r>
      <w:proofErr w:type="gramEnd"/>
      <w:r w:rsidR="00BA4818" w:rsidRPr="003C1583">
        <w:rPr>
          <w:i/>
          <w:iCs/>
          <w:sz w:val="24"/>
        </w:rPr>
        <w:t xml:space="preserve"> Persian Wars (480-479 BCE) and the Defence of Thermopylae</w:t>
      </w:r>
      <w:r w:rsidRPr="003C1583">
        <w:rPr>
          <w:sz w:val="24"/>
        </w:rPr>
        <w:t>.</w:t>
      </w:r>
      <w:r w:rsidR="00BA4818" w:rsidRPr="003C1583">
        <w:rPr>
          <w:sz w:val="24"/>
        </w:rPr>
        <w:t xml:space="preserve"> Copyright Agency Limited.</w:t>
      </w:r>
    </w:p>
    <w:p w:rsidR="00BA4818" w:rsidRPr="003C1583" w:rsidRDefault="001171FA" w:rsidP="00BA4818">
      <w:pPr>
        <w:spacing w:line="360" w:lineRule="auto"/>
        <w:rPr>
          <w:sz w:val="24"/>
        </w:rPr>
      </w:pPr>
      <w:r w:rsidRPr="003C1583">
        <w:rPr>
          <w:sz w:val="24"/>
        </w:rPr>
        <w:t>Morrison, J.</w:t>
      </w:r>
      <w:r w:rsidR="00BA4818" w:rsidRPr="003C1583">
        <w:rPr>
          <w:sz w:val="24"/>
        </w:rPr>
        <w:t xml:space="preserve"> </w:t>
      </w:r>
      <w:r w:rsidRPr="003C1583">
        <w:rPr>
          <w:sz w:val="24"/>
        </w:rPr>
        <w:t>(</w:t>
      </w:r>
      <w:r w:rsidR="00BA4818" w:rsidRPr="003C1583">
        <w:rPr>
          <w:sz w:val="24"/>
        </w:rPr>
        <w:t>1996</w:t>
      </w:r>
      <w:r w:rsidRPr="003C1583">
        <w:rPr>
          <w:sz w:val="24"/>
        </w:rPr>
        <w:t>)</w:t>
      </w:r>
      <w:r w:rsidR="00BA4818" w:rsidRPr="003C1583">
        <w:rPr>
          <w:i/>
          <w:iCs/>
          <w:sz w:val="24"/>
        </w:rPr>
        <w:t> Greek and Roman Oared Warships</w:t>
      </w:r>
      <w:r w:rsidRPr="003C1583">
        <w:rPr>
          <w:sz w:val="24"/>
        </w:rPr>
        <w:t>. Oxford:</w:t>
      </w:r>
      <w:r w:rsidR="00BA4818" w:rsidRPr="003C1583">
        <w:rPr>
          <w:sz w:val="24"/>
        </w:rPr>
        <w:t xml:space="preserve"> Oxbow Books.</w:t>
      </w:r>
    </w:p>
    <w:p w:rsidR="00BA4818" w:rsidRPr="00BA4818" w:rsidRDefault="001171FA" w:rsidP="00BA4818">
      <w:pPr>
        <w:spacing w:line="360" w:lineRule="auto"/>
        <w:rPr>
          <w:sz w:val="24"/>
        </w:rPr>
      </w:pPr>
      <w:proofErr w:type="spellStart"/>
      <w:r w:rsidRPr="003C1583">
        <w:rPr>
          <w:sz w:val="24"/>
        </w:rPr>
        <w:t>Myres</w:t>
      </w:r>
      <w:proofErr w:type="spellEnd"/>
      <w:r w:rsidRPr="003C1583">
        <w:rPr>
          <w:sz w:val="24"/>
        </w:rPr>
        <w:t>, J.</w:t>
      </w:r>
      <w:r w:rsidR="00BA4818" w:rsidRPr="003C1583">
        <w:rPr>
          <w:sz w:val="24"/>
        </w:rPr>
        <w:t xml:space="preserve"> </w:t>
      </w:r>
      <w:r w:rsidRPr="003C1583">
        <w:rPr>
          <w:sz w:val="24"/>
        </w:rPr>
        <w:t>(</w:t>
      </w:r>
      <w:r w:rsidR="00BA4818" w:rsidRPr="003C1583">
        <w:rPr>
          <w:sz w:val="24"/>
        </w:rPr>
        <w:t>1953</w:t>
      </w:r>
      <w:r w:rsidRPr="003C1583">
        <w:rPr>
          <w:sz w:val="24"/>
        </w:rPr>
        <w:t>)</w:t>
      </w:r>
      <w:r w:rsidR="00BA4818" w:rsidRPr="003C1583">
        <w:rPr>
          <w:sz w:val="24"/>
        </w:rPr>
        <w:t> </w:t>
      </w:r>
      <w:r w:rsidR="00BA4818" w:rsidRPr="003C1583">
        <w:rPr>
          <w:i/>
          <w:iCs/>
          <w:sz w:val="24"/>
        </w:rPr>
        <w:t>Herodotus: Father of History</w:t>
      </w:r>
      <w:r w:rsidRPr="003C1583">
        <w:rPr>
          <w:sz w:val="24"/>
        </w:rPr>
        <w:t>, Oxford:</w:t>
      </w:r>
      <w:r w:rsidR="00BA4818" w:rsidRPr="003C1583">
        <w:rPr>
          <w:sz w:val="24"/>
        </w:rPr>
        <w:t xml:space="preserve"> Clarendon Press.</w:t>
      </w:r>
    </w:p>
    <w:p w:rsidR="00BA4818" w:rsidRDefault="001171FA" w:rsidP="00BA4818">
      <w:pPr>
        <w:spacing w:line="360" w:lineRule="auto"/>
        <w:rPr>
          <w:sz w:val="24"/>
        </w:rPr>
      </w:pPr>
      <w:r w:rsidRPr="008422EF">
        <w:rPr>
          <w:sz w:val="24"/>
        </w:rPr>
        <w:t>Thomas, R.</w:t>
      </w:r>
      <w:r w:rsidR="00BA4818" w:rsidRPr="008422EF">
        <w:rPr>
          <w:sz w:val="24"/>
        </w:rPr>
        <w:t xml:space="preserve"> </w:t>
      </w:r>
      <w:r w:rsidRPr="008422EF">
        <w:rPr>
          <w:sz w:val="24"/>
        </w:rPr>
        <w:t>(</w:t>
      </w:r>
      <w:r w:rsidR="00BA4818" w:rsidRPr="008422EF">
        <w:rPr>
          <w:sz w:val="24"/>
        </w:rPr>
        <w:t>2000</w:t>
      </w:r>
      <w:r w:rsidRPr="008422EF">
        <w:rPr>
          <w:sz w:val="24"/>
        </w:rPr>
        <w:t>)</w:t>
      </w:r>
      <w:r w:rsidR="00BA4818" w:rsidRPr="008422EF">
        <w:rPr>
          <w:sz w:val="24"/>
        </w:rPr>
        <w:t> </w:t>
      </w:r>
      <w:r w:rsidR="00BA4818" w:rsidRPr="008422EF">
        <w:rPr>
          <w:i/>
          <w:iCs/>
          <w:sz w:val="24"/>
        </w:rPr>
        <w:t>Herodotus in Context: Ethnography, Science, and the Art of Persuasion</w:t>
      </w:r>
      <w:r w:rsidRPr="008422EF">
        <w:rPr>
          <w:sz w:val="24"/>
        </w:rPr>
        <w:t>. Cambridge:</w:t>
      </w:r>
      <w:r w:rsidR="00BA4818" w:rsidRPr="008422EF">
        <w:rPr>
          <w:sz w:val="24"/>
        </w:rPr>
        <w:t xml:space="preserve"> Cambridge University Press.</w:t>
      </w:r>
    </w:p>
    <w:p w:rsidR="00376407" w:rsidRDefault="00376407" w:rsidP="00BA4818">
      <w:pPr>
        <w:spacing w:line="360" w:lineRule="auto"/>
        <w:rPr>
          <w:sz w:val="24"/>
        </w:rPr>
      </w:pPr>
    </w:p>
    <w:p w:rsidR="00376407" w:rsidRDefault="00376407" w:rsidP="00BA4818">
      <w:pPr>
        <w:spacing w:line="360" w:lineRule="auto"/>
        <w:rPr>
          <w:sz w:val="24"/>
        </w:rPr>
      </w:pPr>
    </w:p>
    <w:p w:rsidR="00376407" w:rsidRDefault="00376407" w:rsidP="00BA4818">
      <w:pPr>
        <w:spacing w:line="360" w:lineRule="auto"/>
        <w:rPr>
          <w:sz w:val="24"/>
        </w:rPr>
      </w:pPr>
      <w:r>
        <w:rPr>
          <w:sz w:val="24"/>
        </w:rPr>
        <w:t xml:space="preserve">Bryn </w:t>
      </w:r>
      <w:proofErr w:type="spellStart"/>
      <w:r>
        <w:rPr>
          <w:sz w:val="24"/>
        </w:rPr>
        <w:t>Mawr</w:t>
      </w:r>
      <w:proofErr w:type="spellEnd"/>
      <w:r>
        <w:rPr>
          <w:sz w:val="24"/>
        </w:rPr>
        <w:t xml:space="preserve"> Classical Review (2013) </w:t>
      </w:r>
      <w:r>
        <w:rPr>
          <w:i/>
          <w:sz w:val="24"/>
        </w:rPr>
        <w:t xml:space="preserve">Editorial Board. </w:t>
      </w:r>
      <w:r>
        <w:rPr>
          <w:sz w:val="24"/>
        </w:rPr>
        <w:t xml:space="preserve">Available at: </w:t>
      </w:r>
      <w:hyperlink r:id="rId7" w:history="1">
        <w:r w:rsidRPr="00C63AC6">
          <w:rPr>
            <w:rStyle w:val="Hyperlink"/>
            <w:sz w:val="24"/>
          </w:rPr>
          <w:t>http://bmcr.brynmawr.edu/editors.html</w:t>
        </w:r>
      </w:hyperlink>
    </w:p>
    <w:p w:rsidR="00376407" w:rsidRPr="00376407" w:rsidRDefault="00376407" w:rsidP="00BA4818">
      <w:pPr>
        <w:spacing w:line="360" w:lineRule="auto"/>
        <w:rPr>
          <w:sz w:val="24"/>
        </w:rPr>
      </w:pPr>
      <w:r>
        <w:rPr>
          <w:sz w:val="24"/>
        </w:rPr>
        <w:t>(</w:t>
      </w:r>
      <w:proofErr w:type="gramStart"/>
      <w:r>
        <w:rPr>
          <w:sz w:val="24"/>
        </w:rPr>
        <w:t>accessed</w:t>
      </w:r>
      <w:proofErr w:type="gramEnd"/>
      <w:r>
        <w:rPr>
          <w:sz w:val="24"/>
        </w:rPr>
        <w:t xml:space="preserve"> 02/12/2018)</w:t>
      </w:r>
    </w:p>
    <w:p w:rsidR="00134106" w:rsidRDefault="00134106" w:rsidP="00002B0B">
      <w:pPr>
        <w:spacing w:line="360" w:lineRule="auto"/>
        <w:rPr>
          <w:sz w:val="24"/>
        </w:rPr>
      </w:pPr>
    </w:p>
    <w:p w:rsidR="00134106" w:rsidRDefault="00134106" w:rsidP="00002B0B">
      <w:pPr>
        <w:spacing w:line="360" w:lineRule="auto"/>
        <w:rPr>
          <w:sz w:val="24"/>
        </w:rPr>
      </w:pPr>
    </w:p>
    <w:p w:rsidR="00B63063" w:rsidRDefault="00B63063" w:rsidP="00002B0B">
      <w:pPr>
        <w:spacing w:line="360" w:lineRule="auto"/>
        <w:rPr>
          <w:sz w:val="24"/>
        </w:rPr>
      </w:pPr>
    </w:p>
    <w:p w:rsidR="00B63063" w:rsidRDefault="00B63063" w:rsidP="00002B0B">
      <w:pPr>
        <w:spacing w:line="360" w:lineRule="auto"/>
        <w:rPr>
          <w:sz w:val="24"/>
        </w:rPr>
      </w:pPr>
    </w:p>
    <w:p w:rsidR="00B63063" w:rsidRPr="002E4F6F" w:rsidRDefault="00B63063" w:rsidP="00002B0B">
      <w:pPr>
        <w:spacing w:line="360" w:lineRule="auto"/>
        <w:rPr>
          <w:sz w:val="24"/>
        </w:rPr>
      </w:pPr>
    </w:p>
    <w:sectPr w:rsidR="00B63063" w:rsidRPr="002E4F6F">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D4B1D" w:rsidRDefault="00DD4B1D" w:rsidP="0037174D">
      <w:pPr>
        <w:spacing w:after="0" w:line="240" w:lineRule="auto"/>
      </w:pPr>
      <w:r>
        <w:separator/>
      </w:r>
    </w:p>
  </w:endnote>
  <w:endnote w:type="continuationSeparator" w:id="0">
    <w:p w:rsidR="00DD4B1D" w:rsidRDefault="00DD4B1D" w:rsidP="003717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D4B1D" w:rsidRDefault="00DD4B1D" w:rsidP="0037174D">
      <w:pPr>
        <w:spacing w:after="0" w:line="240" w:lineRule="auto"/>
      </w:pPr>
      <w:r>
        <w:separator/>
      </w:r>
    </w:p>
  </w:footnote>
  <w:footnote w:type="continuationSeparator" w:id="0">
    <w:p w:rsidR="00DD4B1D" w:rsidRDefault="00DD4B1D" w:rsidP="0037174D">
      <w:pPr>
        <w:spacing w:after="0" w:line="240" w:lineRule="auto"/>
      </w:pPr>
      <w:r>
        <w:continuationSeparator/>
      </w:r>
    </w:p>
  </w:footnote>
  <w:footnote w:id="1">
    <w:p w:rsidR="00DE624B" w:rsidRDefault="00DE624B">
      <w:pPr>
        <w:pStyle w:val="FootnoteText"/>
      </w:pPr>
      <w:r>
        <w:rPr>
          <w:rStyle w:val="FootnoteReference"/>
        </w:rPr>
        <w:footnoteRef/>
      </w:r>
      <w:r>
        <w:t xml:space="preserve"> </w:t>
      </w:r>
      <w:r w:rsidR="001F4185">
        <w:t>Smith, 2006</w:t>
      </w:r>
    </w:p>
  </w:footnote>
  <w:footnote w:id="2">
    <w:p w:rsidR="00491F4B" w:rsidRDefault="00491F4B">
      <w:pPr>
        <w:pStyle w:val="FootnoteText"/>
      </w:pPr>
      <w:r>
        <w:rPr>
          <w:rStyle w:val="FootnoteReference"/>
        </w:rPr>
        <w:footnoteRef/>
      </w:r>
      <w:r>
        <w:t xml:space="preserve"> </w:t>
      </w:r>
      <w:r w:rsidR="001F4185" w:rsidRPr="001F4185">
        <w:t>Giangiulio</w:t>
      </w:r>
      <w:r w:rsidR="001F4185">
        <w:t>, 2007</w:t>
      </w:r>
    </w:p>
  </w:footnote>
  <w:footnote w:id="3">
    <w:p w:rsidR="001F42BF" w:rsidRDefault="001F42BF">
      <w:pPr>
        <w:pStyle w:val="FootnoteText"/>
      </w:pPr>
      <w:r>
        <w:rPr>
          <w:rStyle w:val="FootnoteReference"/>
        </w:rPr>
        <w:footnoteRef/>
      </w:r>
      <w:r>
        <w:t xml:space="preserve"> Giangiulio, 2007, p.360</w:t>
      </w:r>
    </w:p>
  </w:footnote>
  <w:footnote w:id="4">
    <w:p w:rsidR="00376407" w:rsidRDefault="00376407">
      <w:pPr>
        <w:pStyle w:val="FootnoteText"/>
      </w:pPr>
      <w:r>
        <w:rPr>
          <w:rStyle w:val="FootnoteReference"/>
        </w:rPr>
        <w:footnoteRef/>
      </w:r>
      <w:r>
        <w:t xml:space="preserve"> Bryn </w:t>
      </w:r>
      <w:proofErr w:type="spellStart"/>
      <w:r>
        <w:t>Mawr</w:t>
      </w:r>
      <w:proofErr w:type="spellEnd"/>
      <w:r>
        <w:t>, 2013</w:t>
      </w:r>
    </w:p>
  </w:footnote>
  <w:footnote w:id="5">
    <w:p w:rsidR="0043776A" w:rsidRDefault="0043776A">
      <w:pPr>
        <w:pStyle w:val="FootnoteText"/>
      </w:pPr>
      <w:r>
        <w:rPr>
          <w:rStyle w:val="FootnoteReference"/>
        </w:rPr>
        <w:footnoteRef/>
      </w:r>
      <w:r>
        <w:t xml:space="preserve"> Thomas, 2000, p.14</w:t>
      </w:r>
    </w:p>
  </w:footnote>
  <w:footnote w:id="6">
    <w:p w:rsidR="00B16577" w:rsidRDefault="00B16577">
      <w:pPr>
        <w:pStyle w:val="FootnoteText"/>
      </w:pPr>
      <w:r>
        <w:rPr>
          <w:rStyle w:val="FootnoteReference"/>
        </w:rPr>
        <w:footnoteRef/>
      </w:r>
      <w:r>
        <w:t xml:space="preserve"> </w:t>
      </w:r>
      <w:proofErr w:type="spellStart"/>
      <w:r>
        <w:t>Fornara</w:t>
      </w:r>
      <w:proofErr w:type="spellEnd"/>
      <w:r>
        <w:t>, 1971, pp.23-24</w:t>
      </w:r>
    </w:p>
  </w:footnote>
  <w:footnote w:id="7">
    <w:p w:rsidR="00651740" w:rsidRDefault="00651740">
      <w:pPr>
        <w:pStyle w:val="FootnoteText"/>
      </w:pPr>
      <w:r>
        <w:rPr>
          <w:rStyle w:val="FootnoteReference"/>
        </w:rPr>
        <w:footnoteRef/>
      </w:r>
      <w:r>
        <w:t xml:space="preserve"> </w:t>
      </w:r>
      <w:proofErr w:type="spellStart"/>
      <w:r w:rsidR="00D23119">
        <w:t>Dewald</w:t>
      </w:r>
      <w:proofErr w:type="spellEnd"/>
      <w:r w:rsidR="00D23119">
        <w:t>, 2006, pp.55-58</w:t>
      </w:r>
    </w:p>
  </w:footnote>
  <w:footnote w:id="8">
    <w:p w:rsidR="0037451E" w:rsidRDefault="0037451E">
      <w:pPr>
        <w:pStyle w:val="FootnoteText"/>
      </w:pPr>
      <w:r>
        <w:rPr>
          <w:rStyle w:val="FootnoteReference"/>
        </w:rPr>
        <w:footnoteRef/>
      </w:r>
      <w:r>
        <w:t xml:space="preserve"> </w:t>
      </w:r>
      <w:proofErr w:type="spellStart"/>
      <w:r>
        <w:t>Thucc</w:t>
      </w:r>
      <w:proofErr w:type="spellEnd"/>
      <w:r>
        <w:t>, 1.22</w:t>
      </w:r>
    </w:p>
  </w:footnote>
  <w:footnote w:id="9">
    <w:p w:rsidR="00BB61F0" w:rsidRDefault="00BB61F0">
      <w:pPr>
        <w:pStyle w:val="FootnoteText"/>
      </w:pPr>
      <w:r>
        <w:rPr>
          <w:rStyle w:val="FootnoteReference"/>
        </w:rPr>
        <w:footnoteRef/>
      </w:r>
      <w:r>
        <w:t xml:space="preserve"> </w:t>
      </w:r>
      <w:proofErr w:type="spellStart"/>
      <w:r>
        <w:t>Plut</w:t>
      </w:r>
      <w:proofErr w:type="spellEnd"/>
      <w:r>
        <w:t>. OMH</w:t>
      </w:r>
    </w:p>
  </w:footnote>
  <w:footnote w:id="10">
    <w:p w:rsidR="0050282C" w:rsidRDefault="0050282C">
      <w:pPr>
        <w:pStyle w:val="FootnoteText"/>
      </w:pPr>
      <w:r>
        <w:rPr>
          <w:rStyle w:val="FootnoteReference"/>
        </w:rPr>
        <w:footnoteRef/>
      </w:r>
      <w:r>
        <w:t xml:space="preserve"> Hans, 2004. pp.111-112</w:t>
      </w:r>
    </w:p>
  </w:footnote>
  <w:footnote w:id="11">
    <w:p w:rsidR="00E44C8D" w:rsidRDefault="00E44C8D">
      <w:pPr>
        <w:pStyle w:val="FootnoteText"/>
      </w:pPr>
      <w:r>
        <w:rPr>
          <w:rStyle w:val="FootnoteReference"/>
        </w:rPr>
        <w:footnoteRef/>
      </w:r>
      <w:r>
        <w:t xml:space="preserve"> </w:t>
      </w:r>
      <w:proofErr w:type="spellStart"/>
      <w:r>
        <w:t>Claughton</w:t>
      </w:r>
      <w:proofErr w:type="spellEnd"/>
      <w:r>
        <w:t xml:space="preserve"> 2008. p.74</w:t>
      </w:r>
    </w:p>
  </w:footnote>
  <w:footnote w:id="12">
    <w:p w:rsidR="0021318C" w:rsidRDefault="0021318C">
      <w:pPr>
        <w:pStyle w:val="FootnoteText"/>
      </w:pPr>
      <w:r>
        <w:rPr>
          <w:rStyle w:val="FootnoteReference"/>
        </w:rPr>
        <w:footnoteRef/>
      </w:r>
      <w:r>
        <w:t xml:space="preserve"> Hanson, 2012, p.8</w:t>
      </w:r>
    </w:p>
  </w:footnote>
  <w:footnote w:id="13">
    <w:p w:rsidR="003C1583" w:rsidRDefault="003C1583">
      <w:pPr>
        <w:pStyle w:val="FootnoteText"/>
      </w:pPr>
      <w:r>
        <w:rPr>
          <w:rStyle w:val="FootnoteReference"/>
        </w:rPr>
        <w:footnoteRef/>
      </w:r>
      <w:r>
        <w:t xml:space="preserve"> </w:t>
      </w:r>
      <w:r w:rsidR="00F1477B">
        <w:t>Matthews, 2015, pp.93-94</w:t>
      </w:r>
    </w:p>
  </w:footnote>
  <w:footnote w:id="14">
    <w:p w:rsidR="005D7D39" w:rsidRDefault="005D7D39">
      <w:pPr>
        <w:pStyle w:val="FootnoteText"/>
      </w:pPr>
      <w:r>
        <w:rPr>
          <w:rStyle w:val="FootnoteReference"/>
        </w:rPr>
        <w:footnoteRef/>
      </w:r>
      <w:r>
        <w:t xml:space="preserve"> </w:t>
      </w:r>
      <w:proofErr w:type="spellStart"/>
      <w:r>
        <w:t>Beston</w:t>
      </w:r>
      <w:proofErr w:type="spellEnd"/>
      <w:r>
        <w:t>, 2009, p.147</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7174D" w:rsidRDefault="0037174D">
    <w:pPr>
      <w:pStyle w:val="Header"/>
    </w:pPr>
    <w:r>
      <w:tab/>
    </w:r>
    <w:r>
      <w:tab/>
      <w:t>Jordan James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34A3"/>
    <w:rsid w:val="00002297"/>
    <w:rsid w:val="00002B0B"/>
    <w:rsid w:val="00024CE2"/>
    <w:rsid w:val="000735C2"/>
    <w:rsid w:val="000834A3"/>
    <w:rsid w:val="00094316"/>
    <w:rsid w:val="000B7085"/>
    <w:rsid w:val="001171FA"/>
    <w:rsid w:val="00133766"/>
    <w:rsid w:val="00134106"/>
    <w:rsid w:val="001547C1"/>
    <w:rsid w:val="001852E0"/>
    <w:rsid w:val="001C4958"/>
    <w:rsid w:val="001D0CDC"/>
    <w:rsid w:val="001E164B"/>
    <w:rsid w:val="001F0335"/>
    <w:rsid w:val="001F4185"/>
    <w:rsid w:val="001F42BF"/>
    <w:rsid w:val="0021318C"/>
    <w:rsid w:val="00247ADE"/>
    <w:rsid w:val="0025569B"/>
    <w:rsid w:val="00292D18"/>
    <w:rsid w:val="002A757A"/>
    <w:rsid w:val="002E2B08"/>
    <w:rsid w:val="002E4F6F"/>
    <w:rsid w:val="00300841"/>
    <w:rsid w:val="00350901"/>
    <w:rsid w:val="0035246E"/>
    <w:rsid w:val="0037174D"/>
    <w:rsid w:val="0037451E"/>
    <w:rsid w:val="00376407"/>
    <w:rsid w:val="003C1583"/>
    <w:rsid w:val="003C264F"/>
    <w:rsid w:val="003D604E"/>
    <w:rsid w:val="003D7242"/>
    <w:rsid w:val="0043776A"/>
    <w:rsid w:val="00491F4B"/>
    <w:rsid w:val="004B2696"/>
    <w:rsid w:val="004D366F"/>
    <w:rsid w:val="0050282C"/>
    <w:rsid w:val="0051747B"/>
    <w:rsid w:val="00520188"/>
    <w:rsid w:val="0059403A"/>
    <w:rsid w:val="005D7D39"/>
    <w:rsid w:val="005E73C2"/>
    <w:rsid w:val="00651740"/>
    <w:rsid w:val="00653777"/>
    <w:rsid w:val="00714B93"/>
    <w:rsid w:val="00737023"/>
    <w:rsid w:val="007A54CC"/>
    <w:rsid w:val="008422EF"/>
    <w:rsid w:val="008C097E"/>
    <w:rsid w:val="00937285"/>
    <w:rsid w:val="00A23A5A"/>
    <w:rsid w:val="00AA1C4B"/>
    <w:rsid w:val="00AE58B6"/>
    <w:rsid w:val="00B16577"/>
    <w:rsid w:val="00B63063"/>
    <w:rsid w:val="00B87E36"/>
    <w:rsid w:val="00BA4818"/>
    <w:rsid w:val="00BB61F0"/>
    <w:rsid w:val="00BC0CB4"/>
    <w:rsid w:val="00BC4E71"/>
    <w:rsid w:val="00BC611B"/>
    <w:rsid w:val="00BD51B2"/>
    <w:rsid w:val="00C535A5"/>
    <w:rsid w:val="00D23119"/>
    <w:rsid w:val="00DB66CF"/>
    <w:rsid w:val="00DD4B1D"/>
    <w:rsid w:val="00DE624B"/>
    <w:rsid w:val="00E24D02"/>
    <w:rsid w:val="00E44C8D"/>
    <w:rsid w:val="00E57E4F"/>
    <w:rsid w:val="00E90DBF"/>
    <w:rsid w:val="00EC1559"/>
    <w:rsid w:val="00EC26C6"/>
    <w:rsid w:val="00EC448B"/>
    <w:rsid w:val="00EE041B"/>
    <w:rsid w:val="00F07529"/>
    <w:rsid w:val="00F1477B"/>
    <w:rsid w:val="00FC6532"/>
    <w:rsid w:val="00FE18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893377C-C747-4BA0-880D-D687282B3F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717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174D"/>
  </w:style>
  <w:style w:type="paragraph" w:styleId="Footer">
    <w:name w:val="footer"/>
    <w:basedOn w:val="Normal"/>
    <w:link w:val="FooterChar"/>
    <w:uiPriority w:val="99"/>
    <w:unhideWhenUsed/>
    <w:rsid w:val="003717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174D"/>
  </w:style>
  <w:style w:type="paragraph" w:styleId="FootnoteText">
    <w:name w:val="footnote text"/>
    <w:basedOn w:val="Normal"/>
    <w:link w:val="FootnoteTextChar"/>
    <w:uiPriority w:val="99"/>
    <w:semiHidden/>
    <w:unhideWhenUsed/>
    <w:rsid w:val="00DE624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E624B"/>
    <w:rPr>
      <w:sz w:val="20"/>
      <w:szCs w:val="20"/>
    </w:rPr>
  </w:style>
  <w:style w:type="character" w:styleId="FootnoteReference">
    <w:name w:val="footnote reference"/>
    <w:basedOn w:val="DefaultParagraphFont"/>
    <w:uiPriority w:val="99"/>
    <w:semiHidden/>
    <w:unhideWhenUsed/>
    <w:rsid w:val="00DE624B"/>
    <w:rPr>
      <w:vertAlign w:val="superscript"/>
    </w:rPr>
  </w:style>
  <w:style w:type="character" w:styleId="Hyperlink">
    <w:name w:val="Hyperlink"/>
    <w:basedOn w:val="DefaultParagraphFont"/>
    <w:uiPriority w:val="99"/>
    <w:unhideWhenUsed/>
    <w:rsid w:val="0037640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01453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bmcr.brynmawr.edu/editors.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FA5310-56E7-4415-903C-1BA4416617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556</TotalTime>
  <Pages>10</Pages>
  <Words>2491</Words>
  <Characters>12682</Characters>
  <Application>Microsoft Office Word</Application>
  <DocSecurity>0</DocSecurity>
  <Lines>214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James</dc:creator>
  <cp:keywords/>
  <dc:description/>
  <cp:lastModifiedBy>Jordan James</cp:lastModifiedBy>
  <cp:revision>187</cp:revision>
  <dcterms:created xsi:type="dcterms:W3CDTF">2018-12-06T20:27:00Z</dcterms:created>
  <dcterms:modified xsi:type="dcterms:W3CDTF">2018-12-10T23:30:00Z</dcterms:modified>
</cp:coreProperties>
</file>