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0E4FEB" w14:textId="1D581504" w:rsidR="00837404" w:rsidRDefault="00837404" w:rsidP="00837404">
      <w:pPr>
        <w:spacing w:after="160"/>
        <w:jc w:val="left"/>
        <w:rPr>
          <w:b/>
          <w:szCs w:val="24"/>
        </w:rPr>
      </w:pPr>
    </w:p>
    <w:p w14:paraId="259D4DA2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1659FD03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23C42AEB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566F5178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04E02577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6727ED26" w14:textId="5A6BD468" w:rsidR="00837404" w:rsidRPr="00837404" w:rsidRDefault="00837404" w:rsidP="00837404">
      <w:pPr>
        <w:spacing w:after="160"/>
        <w:jc w:val="left"/>
        <w:rPr>
          <w:rFonts w:ascii="Arial" w:hAnsi="Arial" w:cs="Arial"/>
          <w:bCs/>
          <w:sz w:val="40"/>
          <w:szCs w:val="40"/>
        </w:rPr>
      </w:pPr>
      <w:r>
        <w:rPr>
          <w:b/>
          <w:szCs w:val="24"/>
        </w:rPr>
        <w:t xml:space="preserve">                                      </w:t>
      </w:r>
      <w:r w:rsidRPr="00837404">
        <w:rPr>
          <w:rFonts w:ascii="Arial" w:hAnsi="Arial" w:cs="Arial"/>
          <w:bCs/>
          <w:sz w:val="40"/>
          <w:szCs w:val="40"/>
        </w:rPr>
        <w:t xml:space="preserve">Professional Reflection </w:t>
      </w:r>
    </w:p>
    <w:p w14:paraId="00233998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61398D6F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5B62DEF7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42B9D38A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72FDCDC8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73C37E80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72E9407C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4EEC19CB" w14:textId="77777777" w:rsidR="00837404" w:rsidRDefault="00837404" w:rsidP="00837404">
      <w:pPr>
        <w:spacing w:after="160"/>
        <w:jc w:val="left"/>
        <w:rPr>
          <w:b/>
          <w:szCs w:val="24"/>
        </w:rPr>
      </w:pPr>
    </w:p>
    <w:p w14:paraId="372EED71" w14:textId="77777777" w:rsidR="00837404" w:rsidRDefault="00837404" w:rsidP="00837404">
      <w:pPr>
        <w:tabs>
          <w:tab w:val="left" w:pos="1515"/>
        </w:tabs>
        <w:rPr>
          <w:rFonts w:ascii="Arial" w:hAnsi="Arial" w:cs="Arial"/>
          <w:color w:val="000000" w:themeColor="text1"/>
          <w:szCs w:val="24"/>
        </w:rPr>
      </w:pPr>
    </w:p>
    <w:p w14:paraId="29685D32" w14:textId="77777777" w:rsidR="00837404" w:rsidRDefault="00837404" w:rsidP="00837404">
      <w:pPr>
        <w:tabs>
          <w:tab w:val="left" w:pos="1515"/>
        </w:tabs>
        <w:rPr>
          <w:rFonts w:ascii="Arial" w:hAnsi="Arial" w:cs="Arial"/>
          <w:color w:val="000000" w:themeColor="text1"/>
          <w:szCs w:val="24"/>
        </w:rPr>
      </w:pPr>
    </w:p>
    <w:p w14:paraId="2C51E1D9" w14:textId="1E57CD36" w:rsidR="00837404" w:rsidRPr="00E8102D" w:rsidRDefault="00837404" w:rsidP="00837404">
      <w:pPr>
        <w:tabs>
          <w:tab w:val="left" w:pos="1515"/>
        </w:tabs>
        <w:rPr>
          <w:rFonts w:ascii="Arial" w:hAnsi="Arial" w:cs="Arial"/>
          <w:color w:val="000000" w:themeColor="text1"/>
          <w:szCs w:val="24"/>
        </w:rPr>
      </w:pPr>
      <w:r w:rsidRPr="00E8102D">
        <w:rPr>
          <w:rFonts w:ascii="Arial" w:hAnsi="Arial" w:cs="Arial"/>
          <w:color w:val="000000" w:themeColor="text1"/>
          <w:szCs w:val="24"/>
        </w:rPr>
        <w:t xml:space="preserve">Student Name: Andreea Violeta </w:t>
      </w:r>
      <w:proofErr w:type="spellStart"/>
      <w:r w:rsidRPr="00E8102D">
        <w:rPr>
          <w:rFonts w:ascii="Arial" w:hAnsi="Arial" w:cs="Arial"/>
          <w:color w:val="000000" w:themeColor="text1"/>
          <w:szCs w:val="24"/>
        </w:rPr>
        <w:t>Panciu</w:t>
      </w:r>
      <w:proofErr w:type="spellEnd"/>
    </w:p>
    <w:p w14:paraId="5C520B56" w14:textId="77777777" w:rsidR="00837404" w:rsidRPr="00E8102D" w:rsidRDefault="00837404" w:rsidP="00837404">
      <w:pPr>
        <w:tabs>
          <w:tab w:val="left" w:pos="1515"/>
        </w:tabs>
        <w:rPr>
          <w:rFonts w:ascii="Arial" w:hAnsi="Arial" w:cs="Arial"/>
          <w:color w:val="000000" w:themeColor="text1"/>
          <w:szCs w:val="24"/>
        </w:rPr>
      </w:pPr>
      <w:r w:rsidRPr="00E8102D">
        <w:rPr>
          <w:rFonts w:ascii="Arial" w:hAnsi="Arial" w:cs="Arial"/>
          <w:color w:val="000000" w:themeColor="text1"/>
          <w:szCs w:val="24"/>
        </w:rPr>
        <w:t>Student ID Number: 2214991</w:t>
      </w:r>
    </w:p>
    <w:p w14:paraId="5289C359" w14:textId="7CFF675E" w:rsidR="00837404" w:rsidRPr="00E8102D" w:rsidRDefault="00837404" w:rsidP="00837404">
      <w:pPr>
        <w:rPr>
          <w:rFonts w:ascii="Arial" w:hAnsi="Arial" w:cs="Arial"/>
          <w:color w:val="000000" w:themeColor="text1"/>
          <w:szCs w:val="24"/>
        </w:rPr>
      </w:pPr>
      <w:r w:rsidRPr="00E8102D">
        <w:rPr>
          <w:rFonts w:ascii="Arial" w:hAnsi="Arial" w:cs="Arial"/>
          <w:color w:val="000000" w:themeColor="text1"/>
          <w:szCs w:val="24"/>
        </w:rPr>
        <w:t xml:space="preserve">Module Title: </w:t>
      </w:r>
      <w:r>
        <w:rPr>
          <w:rFonts w:ascii="Arial" w:hAnsi="Arial" w:cs="Arial"/>
          <w:color w:val="000000" w:themeColor="text1"/>
          <w:szCs w:val="24"/>
        </w:rPr>
        <w:t>Foreign Languages &amp; Cultural Awareness</w:t>
      </w:r>
    </w:p>
    <w:p w14:paraId="0A1816C2" w14:textId="058BCE3D" w:rsidR="00837404" w:rsidRPr="00E8102D" w:rsidRDefault="00837404" w:rsidP="00837404">
      <w:pPr>
        <w:rPr>
          <w:rFonts w:ascii="Arial" w:hAnsi="Arial" w:cs="Arial"/>
          <w:color w:val="000000" w:themeColor="text1"/>
          <w:szCs w:val="24"/>
        </w:rPr>
      </w:pPr>
      <w:r w:rsidRPr="00E8102D">
        <w:rPr>
          <w:rFonts w:ascii="Arial" w:hAnsi="Arial" w:cs="Arial"/>
          <w:color w:val="000000" w:themeColor="text1"/>
          <w:szCs w:val="24"/>
        </w:rPr>
        <w:t>Module code: BMIH500</w:t>
      </w:r>
      <w:r>
        <w:rPr>
          <w:rFonts w:ascii="Arial" w:hAnsi="Arial" w:cs="Arial"/>
          <w:color w:val="000000" w:themeColor="text1"/>
          <w:szCs w:val="24"/>
        </w:rPr>
        <w:t>3</w:t>
      </w:r>
    </w:p>
    <w:p w14:paraId="592DD9C1" w14:textId="1BFF267E" w:rsidR="00837404" w:rsidRPr="00E8102D" w:rsidRDefault="00837404" w:rsidP="00837404">
      <w:pPr>
        <w:tabs>
          <w:tab w:val="left" w:pos="3045"/>
        </w:tabs>
        <w:rPr>
          <w:rFonts w:ascii="Arial" w:hAnsi="Arial" w:cs="Arial"/>
          <w:color w:val="000000" w:themeColor="text1"/>
          <w:szCs w:val="24"/>
        </w:rPr>
      </w:pPr>
      <w:r w:rsidRPr="00E8102D">
        <w:rPr>
          <w:rFonts w:ascii="Arial" w:hAnsi="Arial" w:cs="Arial"/>
          <w:color w:val="000000" w:themeColor="text1"/>
          <w:szCs w:val="24"/>
        </w:rPr>
        <w:t xml:space="preserve">Lecturer’s Name: </w:t>
      </w:r>
      <w:r>
        <w:rPr>
          <w:rFonts w:ascii="Arial" w:hAnsi="Arial" w:cs="Arial"/>
          <w:color w:val="000000" w:themeColor="text1"/>
          <w:szCs w:val="24"/>
        </w:rPr>
        <w:t>Lisa Bassler</w:t>
      </w:r>
    </w:p>
    <w:p w14:paraId="57493972" w14:textId="23CC1312" w:rsidR="00837404" w:rsidRPr="00837404" w:rsidRDefault="00837404" w:rsidP="00837404">
      <w:pPr>
        <w:spacing w:after="160"/>
        <w:jc w:val="left"/>
        <w:rPr>
          <w:b/>
          <w:szCs w:val="24"/>
        </w:rPr>
      </w:pPr>
      <w:r w:rsidRPr="00E8102D">
        <w:rPr>
          <w:rFonts w:ascii="Arial" w:hAnsi="Arial" w:cs="Arial"/>
          <w:color w:val="000000" w:themeColor="text1"/>
          <w:szCs w:val="24"/>
        </w:rPr>
        <w:t xml:space="preserve">Date: 19 </w:t>
      </w:r>
      <w:proofErr w:type="spellStart"/>
      <w:r w:rsidRPr="00E8102D">
        <w:rPr>
          <w:rFonts w:ascii="Arial" w:hAnsi="Arial" w:cs="Arial"/>
          <w:color w:val="000000" w:themeColor="text1"/>
          <w:szCs w:val="24"/>
        </w:rPr>
        <w:t>Octombrie</w:t>
      </w:r>
      <w:proofErr w:type="spellEnd"/>
      <w:r w:rsidRPr="00E8102D">
        <w:rPr>
          <w:rFonts w:ascii="Arial" w:hAnsi="Arial" w:cs="Arial"/>
          <w:color w:val="000000" w:themeColor="text1"/>
          <w:szCs w:val="24"/>
        </w:rPr>
        <w:t xml:space="preserve"> 2023</w:t>
      </w:r>
    </w:p>
    <w:p w14:paraId="16717075" w14:textId="645989AC" w:rsidR="00837404" w:rsidRPr="00837404" w:rsidRDefault="00837404" w:rsidP="00837404">
      <w:pPr>
        <w:spacing w:after="0"/>
        <w:rPr>
          <w:rFonts w:ascii="Arial" w:hAnsi="Arial" w:cs="Arial"/>
          <w:szCs w:val="24"/>
        </w:rPr>
      </w:pPr>
      <w:r>
        <w:rPr>
          <w:szCs w:val="24"/>
        </w:rPr>
        <w:lastRenderedPageBreak/>
        <w:tab/>
      </w:r>
      <w:r w:rsidRPr="00837404">
        <w:rPr>
          <w:rFonts w:ascii="Arial" w:hAnsi="Arial" w:cs="Arial"/>
          <w:szCs w:val="24"/>
        </w:rPr>
        <w:t xml:space="preserve">While working at the front desk of a luxury hotel, I have to face different types of customers and guests. Like, an English-speaking guest from Europe who was checking in had a noticeable French accent. I say "Bonjour!" when they approach me (FOH) since I always </w:t>
      </w:r>
      <w:proofErr w:type="gramStart"/>
      <w:r w:rsidRPr="00837404">
        <w:rPr>
          <w:rFonts w:ascii="Arial" w:hAnsi="Arial" w:cs="Arial"/>
          <w:szCs w:val="24"/>
        </w:rPr>
        <w:t>presume</w:t>
      </w:r>
      <w:proofErr w:type="gramEnd"/>
      <w:r w:rsidRPr="00837404">
        <w:rPr>
          <w:rFonts w:ascii="Arial" w:hAnsi="Arial" w:cs="Arial"/>
          <w:szCs w:val="24"/>
        </w:rPr>
        <w:t xml:space="preserve"> they are French. The visitor speaks English with ease, which puzzles the hostess. </w:t>
      </w:r>
    </w:p>
    <w:p w14:paraId="612C684B" w14:textId="5A03671F" w:rsidR="00837404" w:rsidRPr="00837404" w:rsidRDefault="00837404" w:rsidP="00837404">
      <w:pPr>
        <w:spacing w:after="0"/>
        <w:rPr>
          <w:rFonts w:ascii="Arial" w:hAnsi="Arial" w:cs="Arial"/>
          <w:szCs w:val="24"/>
        </w:rPr>
      </w:pPr>
      <w:r w:rsidRPr="00837404">
        <w:rPr>
          <w:rFonts w:ascii="Arial" w:hAnsi="Arial" w:cs="Arial"/>
          <w:szCs w:val="24"/>
        </w:rPr>
        <w:tab/>
        <w:t>Cultural misunderstandings occur in a number of situations, often as a result of ignorance or assumption (</w:t>
      </w:r>
      <w:proofErr w:type="spellStart"/>
      <w:r w:rsidRPr="00837404">
        <w:rPr>
          <w:rFonts w:ascii="Arial" w:hAnsi="Arial" w:cs="Arial"/>
          <w:szCs w:val="24"/>
        </w:rPr>
        <w:t>Vanderslott</w:t>
      </w:r>
      <w:proofErr w:type="spellEnd"/>
      <w:r w:rsidRPr="00837404">
        <w:rPr>
          <w:rFonts w:ascii="Arial" w:hAnsi="Arial" w:cs="Arial"/>
          <w:szCs w:val="24"/>
        </w:rPr>
        <w:t xml:space="preserve"> </w:t>
      </w:r>
      <w:r w:rsidRPr="00837404">
        <w:rPr>
          <w:rFonts w:ascii="Arial" w:hAnsi="Arial" w:cs="Arial"/>
          <w:i/>
          <w:szCs w:val="24"/>
        </w:rPr>
        <w:t>et al.,</w:t>
      </w:r>
      <w:r w:rsidRPr="00837404">
        <w:rPr>
          <w:rFonts w:ascii="Arial" w:hAnsi="Arial" w:cs="Arial"/>
          <w:szCs w:val="24"/>
        </w:rPr>
        <w:t xml:space="preserve"> 2022). I made a mistake in assuming the nationality of guest based only on their accent. The guest could have felt uncomfortable or perhaps ashamed as a result of this misunderstanding. It serves as a helpful reminder that hotels should appreciate visitors from diverse cultures and worldviews.</w:t>
      </w:r>
    </w:p>
    <w:p w14:paraId="34FF6839" w14:textId="4F97EFB8" w:rsidR="00837404" w:rsidRPr="00837404" w:rsidRDefault="00837404" w:rsidP="00837404">
      <w:pPr>
        <w:spacing w:after="0"/>
        <w:rPr>
          <w:rFonts w:ascii="Arial" w:hAnsi="Arial" w:cs="Arial"/>
          <w:szCs w:val="24"/>
        </w:rPr>
      </w:pPr>
      <w:r w:rsidRPr="00837404">
        <w:rPr>
          <w:rFonts w:ascii="Arial" w:hAnsi="Arial" w:cs="Arial"/>
          <w:szCs w:val="24"/>
        </w:rPr>
        <w:tab/>
        <w:t xml:space="preserve">To assist cultural misunderstandings, there are several crucial skills and </w:t>
      </w:r>
      <w:proofErr w:type="spellStart"/>
      <w:r w:rsidRPr="00837404">
        <w:rPr>
          <w:rFonts w:ascii="Arial" w:hAnsi="Arial" w:cs="Arial"/>
          <w:szCs w:val="24"/>
        </w:rPr>
        <w:t>behaviour</w:t>
      </w:r>
      <w:proofErr w:type="spellEnd"/>
      <w:r w:rsidRPr="00837404">
        <w:rPr>
          <w:rFonts w:ascii="Arial" w:hAnsi="Arial" w:cs="Arial"/>
          <w:szCs w:val="24"/>
        </w:rPr>
        <w:t xml:space="preserve"> adjustments that I can learn for future ease. I need to be cautious about assuming things about the backgrounds of people based just on how they seem to me. Because of the accent of the host, I first thought they were French, but it is essential to remember that individuals can come from a wide range of cultural backgrounds and may not behave in ways that are consistent with any one language. Also, I need to have a neutral attitude and be aware of my guests instead. I need to give them a nice greeting without mentioning other cultures. Simple welcomes that do not make assumptions about the visitor, such as "Welcome to our hotel" or "How may I assist you?” will go a long way toward putting them at ease. Avoiding cultural misunderstandings also requires adept listening (Brown </w:t>
      </w:r>
      <w:r w:rsidRPr="00837404">
        <w:rPr>
          <w:rFonts w:ascii="Arial" w:hAnsi="Arial" w:cs="Arial"/>
          <w:i/>
          <w:szCs w:val="24"/>
        </w:rPr>
        <w:t>et al.,</w:t>
      </w:r>
      <w:r w:rsidRPr="00837404">
        <w:rPr>
          <w:rFonts w:ascii="Arial" w:hAnsi="Arial" w:cs="Arial"/>
          <w:szCs w:val="24"/>
        </w:rPr>
        <w:t xml:space="preserve"> 2022). I should have observed the response of the guest to my greeting more carefully in this instance. When they answered in English without identifying their country, I should have known better than to assume. Without knowing anything about their past, it is important to slow down a conversation with a stranger by asking them open-ended questions about their trip or any preferences they have. Training in cultural awareness is very beneficial for my whole staff, as they get a stronger appreciation for the importance of cultural diversity throughout lessons. Successful hospitality professionals often have a wide understanding of culture and are at ease interacting with people throughout their lives (Ayyildiz </w:t>
      </w:r>
      <w:r w:rsidRPr="00837404">
        <w:rPr>
          <w:rFonts w:ascii="Arial" w:hAnsi="Arial" w:cs="Arial"/>
          <w:i/>
          <w:szCs w:val="24"/>
        </w:rPr>
        <w:t>et al.,</w:t>
      </w:r>
      <w:r w:rsidRPr="00837404">
        <w:rPr>
          <w:rFonts w:ascii="Arial" w:hAnsi="Arial" w:cs="Arial"/>
          <w:szCs w:val="24"/>
        </w:rPr>
        <w:t xml:space="preserve"> 2022). </w:t>
      </w:r>
    </w:p>
    <w:p w14:paraId="454E208F" w14:textId="77777777" w:rsidR="00837404" w:rsidRPr="00837404" w:rsidRDefault="00837404" w:rsidP="00837404">
      <w:pPr>
        <w:spacing w:after="0"/>
        <w:rPr>
          <w:rFonts w:ascii="Arial" w:hAnsi="Arial" w:cs="Arial"/>
          <w:szCs w:val="24"/>
        </w:rPr>
      </w:pPr>
      <w:r w:rsidRPr="00837404">
        <w:rPr>
          <w:rFonts w:ascii="Arial" w:hAnsi="Arial" w:cs="Arial"/>
          <w:szCs w:val="24"/>
        </w:rPr>
        <w:t xml:space="preserve"> </w:t>
      </w:r>
      <w:r w:rsidRPr="00837404">
        <w:rPr>
          <w:rFonts w:ascii="Arial" w:hAnsi="Arial" w:cs="Arial"/>
          <w:szCs w:val="24"/>
        </w:rPr>
        <w:tab/>
        <w:t xml:space="preserve">Providing conveniently available resources, including multilingual signage or information in hotel rooms, will help satisfy visitor demands. It is a fantastic method to show that the hotel values its clients and will go above and beyond to meet their </w:t>
      </w:r>
      <w:r w:rsidRPr="00837404">
        <w:rPr>
          <w:rFonts w:ascii="Arial" w:hAnsi="Arial" w:cs="Arial"/>
          <w:szCs w:val="24"/>
        </w:rPr>
        <w:lastRenderedPageBreak/>
        <w:t>demands. Consequently, by encouraging more understanding, openness, and acceptance, cultural misunderstandings can be avoided with relative ease (</w:t>
      </w:r>
      <w:proofErr w:type="spellStart"/>
      <w:r w:rsidRPr="00837404">
        <w:rPr>
          <w:rFonts w:ascii="Arial" w:hAnsi="Arial" w:cs="Arial"/>
          <w:szCs w:val="24"/>
        </w:rPr>
        <w:t>Pajarianto</w:t>
      </w:r>
      <w:proofErr w:type="spellEnd"/>
      <w:r w:rsidRPr="00837404">
        <w:rPr>
          <w:rFonts w:ascii="Arial" w:hAnsi="Arial" w:cs="Arial"/>
          <w:szCs w:val="24"/>
        </w:rPr>
        <w:t xml:space="preserve"> </w:t>
      </w:r>
      <w:r w:rsidRPr="00837404">
        <w:rPr>
          <w:rFonts w:ascii="Arial" w:hAnsi="Arial" w:cs="Arial"/>
          <w:i/>
          <w:szCs w:val="24"/>
        </w:rPr>
        <w:t>et al.,</w:t>
      </w:r>
      <w:r w:rsidRPr="00837404">
        <w:rPr>
          <w:rFonts w:ascii="Arial" w:hAnsi="Arial" w:cs="Arial"/>
          <w:szCs w:val="24"/>
        </w:rPr>
        <w:t xml:space="preserve"> 2022). Like in many other industries, communication that is straightforward and simple to understand by all parties is crucial in the hospitality industry. I will be able to improve the stay of hotel guests by perfecting these skills and changing my </w:t>
      </w:r>
      <w:proofErr w:type="spellStart"/>
      <w:r w:rsidRPr="00837404">
        <w:rPr>
          <w:rFonts w:ascii="Arial" w:hAnsi="Arial" w:cs="Arial"/>
          <w:szCs w:val="24"/>
        </w:rPr>
        <w:t>behaviour</w:t>
      </w:r>
      <w:proofErr w:type="spellEnd"/>
      <w:r w:rsidRPr="00837404">
        <w:rPr>
          <w:rFonts w:ascii="Arial" w:hAnsi="Arial" w:cs="Arial"/>
          <w:szCs w:val="24"/>
        </w:rPr>
        <w:t xml:space="preserve">. </w:t>
      </w:r>
      <w:r w:rsidRPr="00837404">
        <w:rPr>
          <w:rFonts w:ascii="Arial" w:hAnsi="Arial" w:cs="Arial"/>
          <w:szCs w:val="24"/>
        </w:rPr>
        <w:br w:type="page"/>
      </w:r>
    </w:p>
    <w:p w14:paraId="038AB44B" w14:textId="77777777" w:rsidR="00837404" w:rsidRPr="00837404" w:rsidRDefault="00837404" w:rsidP="00837404">
      <w:pPr>
        <w:ind w:left="720" w:hanging="720"/>
        <w:rPr>
          <w:rFonts w:ascii="Arial" w:hAnsi="Arial" w:cs="Arial"/>
          <w:szCs w:val="24"/>
        </w:rPr>
      </w:pPr>
      <w:r w:rsidRPr="00837404">
        <w:rPr>
          <w:rFonts w:ascii="Arial" w:hAnsi="Arial" w:cs="Arial"/>
          <w:szCs w:val="24"/>
        </w:rPr>
        <w:lastRenderedPageBreak/>
        <w:t xml:space="preserve">Ayyildiz, A.Y., Baykal, M. and </w:t>
      </w:r>
      <w:proofErr w:type="spellStart"/>
      <w:r w:rsidRPr="00837404">
        <w:rPr>
          <w:rFonts w:ascii="Arial" w:hAnsi="Arial" w:cs="Arial"/>
          <w:szCs w:val="24"/>
        </w:rPr>
        <w:t>Koc</w:t>
      </w:r>
      <w:proofErr w:type="spellEnd"/>
      <w:r w:rsidRPr="00837404">
        <w:rPr>
          <w:rFonts w:ascii="Arial" w:hAnsi="Arial" w:cs="Arial"/>
          <w:szCs w:val="24"/>
        </w:rPr>
        <w:t>, E., 2022. Attitudes of hotel customers towards the use of service robots in hospitality service encounters. </w:t>
      </w:r>
      <w:r w:rsidRPr="00837404">
        <w:rPr>
          <w:rFonts w:ascii="Arial" w:hAnsi="Arial" w:cs="Arial"/>
          <w:i/>
          <w:iCs/>
          <w:szCs w:val="24"/>
        </w:rPr>
        <w:t>Technology in Society</w:t>
      </w:r>
      <w:r w:rsidRPr="00837404">
        <w:rPr>
          <w:rFonts w:ascii="Arial" w:hAnsi="Arial" w:cs="Arial"/>
          <w:szCs w:val="24"/>
        </w:rPr>
        <w:t>, </w:t>
      </w:r>
      <w:r w:rsidRPr="00837404">
        <w:rPr>
          <w:rFonts w:ascii="Arial" w:hAnsi="Arial" w:cs="Arial"/>
          <w:i/>
          <w:iCs/>
          <w:szCs w:val="24"/>
        </w:rPr>
        <w:t>70</w:t>
      </w:r>
      <w:r w:rsidRPr="00837404">
        <w:rPr>
          <w:rFonts w:ascii="Arial" w:hAnsi="Arial" w:cs="Arial"/>
          <w:szCs w:val="24"/>
        </w:rPr>
        <w:t>, p.101995.</w:t>
      </w:r>
    </w:p>
    <w:p w14:paraId="7B3359E3" w14:textId="77777777" w:rsidR="00837404" w:rsidRPr="00837404" w:rsidRDefault="00837404" w:rsidP="00837404">
      <w:pPr>
        <w:ind w:left="720" w:hanging="720"/>
        <w:rPr>
          <w:rFonts w:ascii="Arial" w:hAnsi="Arial" w:cs="Arial"/>
          <w:szCs w:val="24"/>
        </w:rPr>
      </w:pPr>
      <w:r w:rsidRPr="00837404">
        <w:rPr>
          <w:rFonts w:ascii="Arial" w:hAnsi="Arial" w:cs="Arial"/>
          <w:szCs w:val="24"/>
        </w:rPr>
        <w:t>Brown, G.D., Lewandowsky, S. and Huang, Z., 2022. Social sampling and expressed attitudes: Authenticity preference and social extremeness aversion lead to social norm effects and polarization. </w:t>
      </w:r>
      <w:r w:rsidRPr="00837404">
        <w:rPr>
          <w:rFonts w:ascii="Arial" w:hAnsi="Arial" w:cs="Arial"/>
          <w:i/>
          <w:iCs/>
          <w:szCs w:val="24"/>
        </w:rPr>
        <w:t>Psychological review</w:t>
      </w:r>
      <w:r w:rsidRPr="00837404">
        <w:rPr>
          <w:rFonts w:ascii="Arial" w:hAnsi="Arial" w:cs="Arial"/>
          <w:szCs w:val="24"/>
        </w:rPr>
        <w:t>, </w:t>
      </w:r>
      <w:r w:rsidRPr="00837404">
        <w:rPr>
          <w:rFonts w:ascii="Arial" w:hAnsi="Arial" w:cs="Arial"/>
          <w:i/>
          <w:iCs/>
          <w:szCs w:val="24"/>
        </w:rPr>
        <w:t>129</w:t>
      </w:r>
      <w:r w:rsidRPr="00837404">
        <w:rPr>
          <w:rFonts w:ascii="Arial" w:hAnsi="Arial" w:cs="Arial"/>
          <w:szCs w:val="24"/>
        </w:rPr>
        <w:t>(1), p.18.</w:t>
      </w:r>
    </w:p>
    <w:p w14:paraId="7C0C65F4" w14:textId="77777777" w:rsidR="00837404" w:rsidRPr="00837404" w:rsidRDefault="00837404" w:rsidP="00837404">
      <w:pPr>
        <w:ind w:left="720" w:hanging="720"/>
        <w:rPr>
          <w:rFonts w:ascii="Arial" w:hAnsi="Arial" w:cs="Arial"/>
          <w:szCs w:val="24"/>
        </w:rPr>
      </w:pPr>
      <w:proofErr w:type="spellStart"/>
      <w:r w:rsidRPr="00837404">
        <w:rPr>
          <w:rFonts w:ascii="Arial" w:hAnsi="Arial" w:cs="Arial"/>
          <w:szCs w:val="24"/>
        </w:rPr>
        <w:t>Pajarianto</w:t>
      </w:r>
      <w:proofErr w:type="spellEnd"/>
      <w:r w:rsidRPr="00837404">
        <w:rPr>
          <w:rFonts w:ascii="Arial" w:hAnsi="Arial" w:cs="Arial"/>
          <w:szCs w:val="24"/>
        </w:rPr>
        <w:t xml:space="preserve">, H., </w:t>
      </w:r>
      <w:proofErr w:type="spellStart"/>
      <w:r w:rsidRPr="00837404">
        <w:rPr>
          <w:rFonts w:ascii="Arial" w:hAnsi="Arial" w:cs="Arial"/>
          <w:szCs w:val="24"/>
        </w:rPr>
        <w:t>Pribad</w:t>
      </w:r>
      <w:proofErr w:type="spellEnd"/>
      <w:r w:rsidRPr="00837404">
        <w:rPr>
          <w:rFonts w:ascii="Arial" w:hAnsi="Arial" w:cs="Arial"/>
          <w:szCs w:val="24"/>
        </w:rPr>
        <w:t>, I. and Sari, P., 2022. Tolerance between religions through the role of local wisdom and religious moderation. </w:t>
      </w:r>
      <w:r w:rsidRPr="00837404">
        <w:rPr>
          <w:rFonts w:ascii="Arial" w:hAnsi="Arial" w:cs="Arial"/>
          <w:i/>
          <w:iCs/>
          <w:szCs w:val="24"/>
        </w:rPr>
        <w:t xml:space="preserve">HTS </w:t>
      </w:r>
      <w:proofErr w:type="spellStart"/>
      <w:r w:rsidRPr="00837404">
        <w:rPr>
          <w:rFonts w:ascii="Arial" w:hAnsi="Arial" w:cs="Arial"/>
          <w:i/>
          <w:iCs/>
          <w:szCs w:val="24"/>
        </w:rPr>
        <w:t>Teologiese</w:t>
      </w:r>
      <w:proofErr w:type="spellEnd"/>
      <w:r w:rsidRPr="00837404">
        <w:rPr>
          <w:rFonts w:ascii="Arial" w:hAnsi="Arial" w:cs="Arial"/>
          <w:i/>
          <w:iCs/>
          <w:szCs w:val="24"/>
        </w:rPr>
        <w:t xml:space="preserve"> Studies/Theological Studies</w:t>
      </w:r>
      <w:r w:rsidRPr="00837404">
        <w:rPr>
          <w:rFonts w:ascii="Arial" w:hAnsi="Arial" w:cs="Arial"/>
          <w:szCs w:val="24"/>
        </w:rPr>
        <w:t>, </w:t>
      </w:r>
      <w:r w:rsidRPr="00837404">
        <w:rPr>
          <w:rFonts w:ascii="Arial" w:hAnsi="Arial" w:cs="Arial"/>
          <w:i/>
          <w:iCs/>
          <w:szCs w:val="24"/>
        </w:rPr>
        <w:t>78</w:t>
      </w:r>
      <w:r w:rsidRPr="00837404">
        <w:rPr>
          <w:rFonts w:ascii="Arial" w:hAnsi="Arial" w:cs="Arial"/>
          <w:szCs w:val="24"/>
        </w:rPr>
        <w:t>(4).</w:t>
      </w:r>
    </w:p>
    <w:p w14:paraId="02B031AA" w14:textId="77777777" w:rsidR="00837404" w:rsidRPr="00837404" w:rsidRDefault="00837404" w:rsidP="00837404">
      <w:pPr>
        <w:ind w:left="720" w:hanging="720"/>
        <w:rPr>
          <w:rFonts w:ascii="Arial" w:hAnsi="Arial" w:cs="Arial"/>
          <w:szCs w:val="24"/>
        </w:rPr>
      </w:pPr>
      <w:proofErr w:type="spellStart"/>
      <w:r w:rsidRPr="00837404">
        <w:rPr>
          <w:rFonts w:ascii="Arial" w:hAnsi="Arial" w:cs="Arial"/>
          <w:szCs w:val="24"/>
        </w:rPr>
        <w:t>Vanderslott</w:t>
      </w:r>
      <w:proofErr w:type="spellEnd"/>
      <w:r w:rsidRPr="00837404">
        <w:rPr>
          <w:rFonts w:ascii="Arial" w:hAnsi="Arial" w:cs="Arial"/>
          <w:szCs w:val="24"/>
        </w:rPr>
        <w:t xml:space="preserve">, S., </w:t>
      </w:r>
      <w:proofErr w:type="spellStart"/>
      <w:r w:rsidRPr="00837404">
        <w:rPr>
          <w:rFonts w:ascii="Arial" w:hAnsi="Arial" w:cs="Arial"/>
          <w:szCs w:val="24"/>
        </w:rPr>
        <w:t>Enria</w:t>
      </w:r>
      <w:proofErr w:type="spellEnd"/>
      <w:r w:rsidRPr="00837404">
        <w:rPr>
          <w:rFonts w:ascii="Arial" w:hAnsi="Arial" w:cs="Arial"/>
          <w:szCs w:val="24"/>
        </w:rPr>
        <w:t>, L., Bowmer, A., Kamara, A. and Lees, S., 2022. Attributing public ignorance in vaccination narratives. </w:t>
      </w:r>
      <w:r w:rsidRPr="00837404">
        <w:rPr>
          <w:rFonts w:ascii="Arial" w:hAnsi="Arial" w:cs="Arial"/>
          <w:i/>
          <w:iCs/>
          <w:szCs w:val="24"/>
        </w:rPr>
        <w:t>Social Science &amp; Medicine</w:t>
      </w:r>
      <w:r w:rsidRPr="00837404">
        <w:rPr>
          <w:rFonts w:ascii="Arial" w:hAnsi="Arial" w:cs="Arial"/>
          <w:szCs w:val="24"/>
        </w:rPr>
        <w:t>, </w:t>
      </w:r>
      <w:r w:rsidRPr="00837404">
        <w:rPr>
          <w:rFonts w:ascii="Arial" w:hAnsi="Arial" w:cs="Arial"/>
          <w:i/>
          <w:iCs/>
          <w:szCs w:val="24"/>
        </w:rPr>
        <w:t>307</w:t>
      </w:r>
      <w:r w:rsidRPr="00837404">
        <w:rPr>
          <w:rFonts w:ascii="Arial" w:hAnsi="Arial" w:cs="Arial"/>
          <w:szCs w:val="24"/>
        </w:rPr>
        <w:t>, p.115152.</w:t>
      </w:r>
    </w:p>
    <w:p w14:paraId="2FF21DC5" w14:textId="77777777" w:rsidR="00452CC3" w:rsidRPr="00837404" w:rsidRDefault="00452CC3">
      <w:pPr>
        <w:rPr>
          <w:rFonts w:ascii="Arial" w:hAnsi="Arial" w:cs="Arial"/>
        </w:rPr>
      </w:pPr>
    </w:p>
    <w:sectPr w:rsidR="00452CC3" w:rsidRPr="008374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108823788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404"/>
    <w:rsid w:val="00452CC3"/>
    <w:rsid w:val="00837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C393A"/>
  <w15:chartTrackingRefBased/>
  <w15:docId w15:val="{F051922B-6A20-4E95-BFA6-C866B7940D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7404"/>
    <w:pPr>
      <w:spacing w:after="200" w:line="360" w:lineRule="auto"/>
      <w:jc w:val="both"/>
    </w:pPr>
    <w:rPr>
      <w:rFonts w:ascii="Times New Roman" w:hAnsi="Times New Roman"/>
      <w:kern w:val="0"/>
      <w:sz w:val="24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7404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7404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404"/>
    <w:rPr>
      <w:rFonts w:ascii="Times New Roman" w:eastAsiaTheme="majorEastAsia" w:hAnsi="Times New Roman" w:cstheme="majorBidi"/>
      <w:b/>
      <w:kern w:val="0"/>
      <w:sz w:val="24"/>
      <w:szCs w:val="32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7404"/>
    <w:rPr>
      <w:rFonts w:ascii="Times New Roman" w:eastAsiaTheme="majorEastAsia" w:hAnsi="Times New Roman" w:cstheme="majorBidi"/>
      <w:b/>
      <w:kern w:val="0"/>
      <w:sz w:val="24"/>
      <w:szCs w:val="26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837404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837404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837404"/>
    <w:pPr>
      <w:spacing w:after="100"/>
      <w:ind w:left="240"/>
    </w:pPr>
  </w:style>
  <w:style w:type="paragraph" w:styleId="TOCHeading">
    <w:name w:val="TOC Heading"/>
    <w:basedOn w:val="Heading1"/>
    <w:next w:val="Normal"/>
    <w:uiPriority w:val="39"/>
    <w:unhideWhenUsed/>
    <w:qFormat/>
    <w:rsid w:val="00837404"/>
    <w:pPr>
      <w:numPr>
        <w:numId w:val="0"/>
      </w:numPr>
      <w:spacing w:line="256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315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613</Words>
  <Characters>3495</Characters>
  <Application>Microsoft Office Word</Application>
  <DocSecurity>0</DocSecurity>
  <Lines>29</Lines>
  <Paragraphs>8</Paragraphs>
  <ScaleCrop>false</ScaleCrop>
  <Company/>
  <LinksUpToDate>false</LinksUpToDate>
  <CharactersWithSpaces>4100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Andrei Ghinea</dc:creator>
  <cp:keywords/>
  <dc:description/>
  <cp:lastModifiedBy>Florin Andrei Ghinea</cp:lastModifiedBy>
  <cp:revision>1</cp:revision>
  <dcterms:created xsi:type="dcterms:W3CDTF">2023-10-19T09:27:00Z</dcterms:created>
  <dcterms:modified xsi:type="dcterms:W3CDTF">2023-10-19T09:33:00Z</dcterms:modified>
</cp:coreProperties>
</file>