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9088F" w14:textId="4E3F9E33" w:rsidR="00031681" w:rsidRPr="00682DB8" w:rsidRDefault="006A2EEA" w:rsidP="00E7003C">
      <w:pPr>
        <w:pStyle w:val="p1"/>
        <w:spacing w:line="360" w:lineRule="auto"/>
        <w:jc w:val="center"/>
        <w:rPr>
          <w:rStyle w:val="s1"/>
          <w:rFonts w:ascii="Arial" w:hAnsi="Arial" w:cs="Arial"/>
          <w:b/>
          <w:bCs/>
          <w:u w:val="single"/>
        </w:rPr>
      </w:pPr>
      <w:r w:rsidRPr="00682DB8">
        <w:rPr>
          <w:rStyle w:val="s1"/>
          <w:rFonts w:ascii="Arial" w:hAnsi="Arial" w:cs="Arial"/>
          <w:b/>
          <w:bCs/>
          <w:u w:val="single"/>
        </w:rPr>
        <w:t>Problem Solving and Innovation (BMSW4014_CARD)</w:t>
      </w:r>
    </w:p>
    <w:p w14:paraId="6F0BA043" w14:textId="02769118" w:rsidR="00031681" w:rsidRDefault="00832ED9" w:rsidP="005678BB">
      <w:pPr>
        <w:pStyle w:val="p1"/>
        <w:spacing w:line="360" w:lineRule="auto"/>
        <w:jc w:val="both"/>
        <w:rPr>
          <w:rStyle w:val="s1"/>
          <w:rFonts w:ascii="Arial" w:hAnsi="Arial" w:cs="Arial"/>
          <w:b/>
          <w:bCs/>
        </w:rPr>
      </w:pPr>
      <w:r w:rsidRPr="005678BB">
        <w:rPr>
          <w:rStyle w:val="s1"/>
          <w:rFonts w:ascii="Arial" w:hAnsi="Arial" w:cs="Arial"/>
          <w:b/>
          <w:bCs/>
        </w:rPr>
        <w:t>Slide: Conclusion</w:t>
      </w:r>
    </w:p>
    <w:p w14:paraId="702B01B8" w14:textId="43F47F57" w:rsidR="00031681" w:rsidRPr="003F69A6" w:rsidRDefault="004522E2" w:rsidP="005678BB">
      <w:pPr>
        <w:pStyle w:val="p1"/>
        <w:spacing w:line="360" w:lineRule="auto"/>
        <w:jc w:val="both"/>
        <w:rPr>
          <w:rStyle w:val="s1"/>
          <w:rFonts w:ascii="Arial" w:hAnsi="Arial" w:cs="Arial"/>
        </w:rPr>
      </w:pPr>
      <w:r>
        <w:rPr>
          <w:rStyle w:val="s1"/>
          <w:rFonts w:ascii="Arial" w:hAnsi="Arial" w:cs="Arial"/>
          <w:b/>
          <w:bCs/>
        </w:rPr>
        <w:t xml:space="preserve">Name: </w:t>
      </w:r>
      <w:proofErr w:type="spellStart"/>
      <w:r w:rsidRPr="003F69A6">
        <w:rPr>
          <w:rStyle w:val="s1"/>
          <w:rFonts w:ascii="Arial" w:hAnsi="Arial" w:cs="Arial"/>
        </w:rPr>
        <w:t>Yovka</w:t>
      </w:r>
      <w:proofErr w:type="spellEnd"/>
      <w:r w:rsidRPr="003F69A6">
        <w:rPr>
          <w:rStyle w:val="s1"/>
          <w:rFonts w:ascii="Arial" w:hAnsi="Arial" w:cs="Arial"/>
        </w:rPr>
        <w:t xml:space="preserve"> </w:t>
      </w:r>
      <w:proofErr w:type="spellStart"/>
      <w:r w:rsidRPr="003F69A6">
        <w:rPr>
          <w:rStyle w:val="s1"/>
          <w:rFonts w:ascii="Arial" w:hAnsi="Arial" w:cs="Arial"/>
        </w:rPr>
        <w:t>Nedeva</w:t>
      </w:r>
      <w:proofErr w:type="spellEnd"/>
    </w:p>
    <w:p w14:paraId="66B60ED2" w14:textId="465FD474" w:rsidR="004522E2" w:rsidRPr="005678BB" w:rsidRDefault="004522E2" w:rsidP="005678BB">
      <w:pPr>
        <w:pStyle w:val="p1"/>
        <w:spacing w:line="360" w:lineRule="auto"/>
        <w:jc w:val="both"/>
        <w:rPr>
          <w:rFonts w:ascii="Arial" w:hAnsi="Arial" w:cs="Arial"/>
          <w:b/>
          <w:bCs/>
        </w:rPr>
      </w:pPr>
      <w:r>
        <w:rPr>
          <w:rStyle w:val="s1"/>
          <w:rFonts w:ascii="Arial" w:hAnsi="Arial" w:cs="Arial"/>
          <w:b/>
          <w:bCs/>
        </w:rPr>
        <w:t>STUDENT ID:</w:t>
      </w:r>
      <w:r w:rsidR="00994B52" w:rsidRPr="003F69A6">
        <w:rPr>
          <w:rStyle w:val="s1"/>
          <w:rFonts w:ascii="Arial" w:hAnsi="Arial" w:cs="Arial"/>
        </w:rPr>
        <w:t>1908957</w:t>
      </w:r>
    </w:p>
    <w:p w14:paraId="61B510DE" w14:textId="77777777" w:rsidR="00832ED9" w:rsidRPr="005678BB" w:rsidRDefault="00832ED9" w:rsidP="005678BB">
      <w:pPr>
        <w:pStyle w:val="p2"/>
        <w:spacing w:line="360" w:lineRule="auto"/>
        <w:jc w:val="both"/>
        <w:rPr>
          <w:rFonts w:ascii="Arial" w:hAnsi="Arial" w:cs="Arial"/>
        </w:rPr>
      </w:pPr>
    </w:p>
    <w:p w14:paraId="7A54FD78"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To conclude, shoplifting in the UK has become a growing socio-economic challenge, affecting not only businesses but also employees, consumers, and the broader economy. The findings from this analysis highlight that shoplifting is not an isolated criminal act but rather a reflection of deeper systemic issues, including rising inflation, increasing living costs, and economic instability (CIPD, 2024). The application of the Root Cause Analysis (RCA) framework has been instrumental in uncovering the fundamental reasons behind the surge in shoplifting, revealing that financial hardship and social pressures are key motivators for this behaviour (</w:t>
      </w:r>
      <w:proofErr w:type="spellStart"/>
      <w:r w:rsidRPr="005678BB">
        <w:rPr>
          <w:rStyle w:val="s2"/>
          <w:rFonts w:ascii="Arial" w:hAnsi="Arial" w:cs="Arial"/>
        </w:rPr>
        <w:t>Keough</w:t>
      </w:r>
      <w:proofErr w:type="spellEnd"/>
      <w:r w:rsidRPr="005678BB">
        <w:rPr>
          <w:rStyle w:val="s2"/>
          <w:rFonts w:ascii="Arial" w:hAnsi="Arial" w:cs="Arial"/>
        </w:rPr>
        <w:t>, 2019).</w:t>
      </w:r>
    </w:p>
    <w:p w14:paraId="298CE938" w14:textId="77777777" w:rsidR="00832ED9" w:rsidRPr="005678BB" w:rsidRDefault="00832ED9" w:rsidP="005678BB">
      <w:pPr>
        <w:pStyle w:val="p2"/>
        <w:spacing w:line="360" w:lineRule="auto"/>
        <w:jc w:val="both"/>
        <w:rPr>
          <w:rFonts w:ascii="Arial" w:hAnsi="Arial" w:cs="Arial"/>
        </w:rPr>
      </w:pPr>
    </w:p>
    <w:p w14:paraId="1DDBD027"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The financial repercussions for retailers are severe, as shoplifting contributes to direct product losses, increased security expenses, and higher insurance premiums. Many businesses, particularly small and independent retailers, find it difficult to absorb these costs, leading to price increases that further burden consumers (Proctor, 2019). This creates a negative cycle in which higher prices may push more individuals toward theft out of financial necessity. In addition, larger retailers are forced to invest heavily in security measures such as CCTV systems, Electronic Article Surveillance (EAS) technology, and additional in-store personnel, diverting resources away from other critical business functions (</w:t>
      </w:r>
      <w:proofErr w:type="spellStart"/>
      <w:r w:rsidRPr="005678BB">
        <w:rPr>
          <w:rStyle w:val="s2"/>
          <w:rFonts w:ascii="Arial" w:hAnsi="Arial" w:cs="Arial"/>
        </w:rPr>
        <w:t>Marchau</w:t>
      </w:r>
      <w:proofErr w:type="spellEnd"/>
      <w:r w:rsidRPr="005678BB">
        <w:rPr>
          <w:rStyle w:val="s2"/>
          <w:rFonts w:ascii="Arial" w:hAnsi="Arial" w:cs="Arial"/>
        </w:rPr>
        <w:t>, 2019).</w:t>
      </w:r>
    </w:p>
    <w:p w14:paraId="14CD3499" w14:textId="77777777" w:rsidR="00832ED9" w:rsidRPr="005678BB" w:rsidRDefault="00832ED9" w:rsidP="005678BB">
      <w:pPr>
        <w:pStyle w:val="p2"/>
        <w:spacing w:line="360" w:lineRule="auto"/>
        <w:jc w:val="both"/>
        <w:rPr>
          <w:rFonts w:ascii="Arial" w:hAnsi="Arial" w:cs="Arial"/>
        </w:rPr>
      </w:pPr>
    </w:p>
    <w:p w14:paraId="1F678F8D"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Beyond financial implications, shoplifting has significant psychological and emotional consequences, particularly for employees. Staff members in affected retail stores experience heightened stress, anxiety, and even fear due to the frequent occurrence </w:t>
      </w:r>
      <w:r w:rsidRPr="005678BB">
        <w:rPr>
          <w:rStyle w:val="s2"/>
          <w:rFonts w:ascii="Arial" w:hAnsi="Arial" w:cs="Arial"/>
        </w:rPr>
        <w:lastRenderedPageBreak/>
        <w:t>of theft, the potential for confrontation with offenders, and the added pressure of enforcing security measures (Adair, 2019). This often results in reduced morale, lower job satisfaction, and decreased productivity. In extreme cases, employees may leave their jobs, contributing to high staff turnover and additional recruitment costs for businesses. Furthermore, customers are also affected, as increased surveillance and security measures can lead to an impersonal and less enjoyable shopping experience, eroding consumer trust and loyalty over time (Hallo, 2022).</w:t>
      </w:r>
    </w:p>
    <w:p w14:paraId="62FAD003" w14:textId="77777777" w:rsidR="00832ED9" w:rsidRPr="005678BB" w:rsidRDefault="00832ED9" w:rsidP="005678BB">
      <w:pPr>
        <w:pStyle w:val="p2"/>
        <w:spacing w:line="360" w:lineRule="auto"/>
        <w:jc w:val="both"/>
        <w:rPr>
          <w:rFonts w:ascii="Arial" w:hAnsi="Arial" w:cs="Arial"/>
        </w:rPr>
      </w:pPr>
    </w:p>
    <w:p w14:paraId="4B0B0158"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Addressing the root causes of shoplifting requires a multi-faceted approach that incorporates economic, social, and technological interventions. Retailers must implement strategic security measures, such as advanced surveillance technologies, enhanced staff training programs, and stronger community engagement initiatives to foster a sense of collective responsibility in crime prevention (Helms &amp; Nixon, 2010). However, these interventions must be balanced to ensure they do not alienate law-abiding customers or create an environment of excessive surveillance that deters foot traffic.</w:t>
      </w:r>
    </w:p>
    <w:p w14:paraId="003F6949" w14:textId="77777777" w:rsidR="00832ED9" w:rsidRPr="005678BB" w:rsidRDefault="00832ED9" w:rsidP="005678BB">
      <w:pPr>
        <w:pStyle w:val="p2"/>
        <w:spacing w:line="360" w:lineRule="auto"/>
        <w:jc w:val="both"/>
        <w:rPr>
          <w:rFonts w:ascii="Arial" w:hAnsi="Arial" w:cs="Arial"/>
        </w:rPr>
      </w:pPr>
    </w:p>
    <w:p w14:paraId="1BB6C09B"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On a broader scale, economic and social policy reforms are essential to addressing the underlying causes of shoplifting. Government support through financial aid programs, employment initiatives, and cost-of-living adjustments can help alleviate the financial pressures that drive individuals toward theft (</w:t>
      </w:r>
      <w:proofErr w:type="spellStart"/>
      <w:r w:rsidRPr="005678BB">
        <w:rPr>
          <w:rStyle w:val="s2"/>
          <w:rFonts w:ascii="Arial" w:hAnsi="Arial" w:cs="Arial"/>
        </w:rPr>
        <w:t>Marmol</w:t>
      </w:r>
      <w:proofErr w:type="spellEnd"/>
      <w:r w:rsidRPr="005678BB">
        <w:rPr>
          <w:rStyle w:val="s2"/>
          <w:rFonts w:ascii="Arial" w:hAnsi="Arial" w:cs="Arial"/>
        </w:rPr>
        <w:t>, 2015). Collaboration between law enforcement, retailers, and community organisations can further enhance efforts to mitigate shoplifting by focusing on rehabilitation programs for offenders rather than solely punitive measures.</w:t>
      </w:r>
    </w:p>
    <w:p w14:paraId="4D07BECB" w14:textId="77777777" w:rsidR="00832ED9" w:rsidRPr="005678BB" w:rsidRDefault="00832ED9" w:rsidP="005678BB">
      <w:pPr>
        <w:pStyle w:val="p2"/>
        <w:spacing w:line="360" w:lineRule="auto"/>
        <w:jc w:val="both"/>
        <w:rPr>
          <w:rFonts w:ascii="Arial" w:hAnsi="Arial" w:cs="Arial"/>
        </w:rPr>
      </w:pPr>
    </w:p>
    <w:p w14:paraId="3D2F5AB9"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In conclusion, shoplifting is a complex issue that extends beyond individual criminal behaviour to reflect deeper socio-economic and psychological challenges. The findings of this analysis suggest that without proactive and collaborative interventions, shoplifting will continue to place significant strain on businesses and the economy. A </w:t>
      </w:r>
      <w:r w:rsidRPr="005678BB">
        <w:rPr>
          <w:rStyle w:val="s2"/>
          <w:rFonts w:ascii="Arial" w:hAnsi="Arial" w:cs="Arial"/>
        </w:rPr>
        <w:lastRenderedPageBreak/>
        <w:t>holistic strategy, integrating business-led security initiatives, community engagement, and policy interventions, is necessary to reduce theft, support retailers, and foster a safer retail environment for all stakeholders.</w:t>
      </w:r>
    </w:p>
    <w:p w14:paraId="5CB8310A" w14:textId="77777777" w:rsidR="00832ED9" w:rsidRPr="005678BB" w:rsidRDefault="00832ED9" w:rsidP="005678BB">
      <w:pPr>
        <w:pStyle w:val="p2"/>
        <w:spacing w:line="360" w:lineRule="auto"/>
        <w:jc w:val="both"/>
        <w:rPr>
          <w:rFonts w:ascii="Arial" w:hAnsi="Arial" w:cs="Arial"/>
        </w:rPr>
      </w:pPr>
    </w:p>
    <w:p w14:paraId="213E3190" w14:textId="761E2183" w:rsidR="00832ED9" w:rsidRPr="005678BB" w:rsidRDefault="00832ED9" w:rsidP="005678BB">
      <w:pPr>
        <w:pStyle w:val="p1"/>
        <w:spacing w:line="360" w:lineRule="auto"/>
        <w:jc w:val="both"/>
        <w:rPr>
          <w:rFonts w:ascii="Arial" w:hAnsi="Arial" w:cs="Arial"/>
        </w:rPr>
      </w:pPr>
      <w:r w:rsidRPr="006E3662">
        <w:rPr>
          <w:rStyle w:val="s1"/>
          <w:rFonts w:ascii="Arial" w:hAnsi="Arial" w:cs="Arial"/>
          <w:b/>
          <w:bCs/>
        </w:rPr>
        <w:t>References</w:t>
      </w:r>
      <w:r w:rsidR="006E3662">
        <w:rPr>
          <w:rStyle w:val="s1"/>
          <w:rFonts w:ascii="Arial" w:hAnsi="Arial" w:cs="Arial"/>
        </w:rPr>
        <w:t>:</w:t>
      </w:r>
    </w:p>
    <w:p w14:paraId="6A002E7D"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Adair, J.E. (2019) </w:t>
      </w:r>
      <w:r w:rsidRPr="005678BB">
        <w:rPr>
          <w:rStyle w:val="s3"/>
          <w:rFonts w:ascii="Arial" w:hAnsi="Arial" w:cs="Arial"/>
        </w:rPr>
        <w:t>Decision making and problem solving: Break through barriers and banish uncertainty at work</w:t>
      </w:r>
      <w:r w:rsidRPr="005678BB">
        <w:rPr>
          <w:rStyle w:val="s2"/>
          <w:rFonts w:ascii="Arial" w:hAnsi="Arial" w:cs="Arial"/>
        </w:rPr>
        <w:t xml:space="preserve">. 4th </w:t>
      </w:r>
      <w:proofErr w:type="spellStart"/>
      <w:r w:rsidRPr="005678BB">
        <w:rPr>
          <w:rStyle w:val="s2"/>
          <w:rFonts w:ascii="Arial" w:hAnsi="Arial" w:cs="Arial"/>
        </w:rPr>
        <w:t>edn</w:t>
      </w:r>
      <w:proofErr w:type="spellEnd"/>
      <w:r w:rsidRPr="005678BB">
        <w:rPr>
          <w:rStyle w:val="s2"/>
          <w:rFonts w:ascii="Arial" w:hAnsi="Arial" w:cs="Arial"/>
        </w:rPr>
        <w:t>. London: Kogan Page.</w:t>
      </w:r>
    </w:p>
    <w:p w14:paraId="24044EB3" w14:textId="77777777" w:rsidR="00832ED9" w:rsidRPr="005678BB" w:rsidRDefault="00832ED9" w:rsidP="005678BB">
      <w:pPr>
        <w:pStyle w:val="p2"/>
        <w:spacing w:line="360" w:lineRule="auto"/>
        <w:jc w:val="both"/>
        <w:rPr>
          <w:rFonts w:ascii="Arial" w:hAnsi="Arial" w:cs="Arial"/>
        </w:rPr>
      </w:pPr>
    </w:p>
    <w:p w14:paraId="544BE1F9"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CIPD (2024) </w:t>
      </w:r>
      <w:r w:rsidRPr="005678BB">
        <w:rPr>
          <w:rStyle w:val="s3"/>
          <w:rFonts w:ascii="Arial" w:hAnsi="Arial" w:cs="Arial"/>
        </w:rPr>
        <w:t>PESTLE analysis</w:t>
      </w:r>
      <w:r w:rsidRPr="005678BB">
        <w:rPr>
          <w:rStyle w:val="s2"/>
          <w:rFonts w:ascii="Arial" w:hAnsi="Arial" w:cs="Arial"/>
        </w:rPr>
        <w:t xml:space="preserve">. Available at: </w:t>
      </w:r>
      <w:hyperlink r:id="rId6" w:history="1">
        <w:r w:rsidRPr="005678BB">
          <w:rPr>
            <w:rStyle w:val="Hyperlink"/>
            <w:rFonts w:ascii="Arial" w:hAnsi="Arial" w:cs="Arial"/>
          </w:rPr>
          <w:t>https://www.cipd.co.uk</w:t>
        </w:r>
      </w:hyperlink>
    </w:p>
    <w:p w14:paraId="7E28E917" w14:textId="77777777" w:rsidR="00832ED9" w:rsidRPr="005678BB" w:rsidRDefault="00832ED9" w:rsidP="005678BB">
      <w:pPr>
        <w:pStyle w:val="p2"/>
        <w:spacing w:line="360" w:lineRule="auto"/>
        <w:jc w:val="both"/>
        <w:rPr>
          <w:rFonts w:ascii="Arial" w:hAnsi="Arial" w:cs="Arial"/>
        </w:rPr>
      </w:pPr>
    </w:p>
    <w:p w14:paraId="02831D2E"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Hallo, L. (2022) ‘Holistic view of intuition and analysis in leadership decision-making and problem-solving’, </w:t>
      </w:r>
      <w:r w:rsidRPr="005678BB">
        <w:rPr>
          <w:rStyle w:val="s3"/>
          <w:rFonts w:ascii="Arial" w:hAnsi="Arial" w:cs="Arial"/>
        </w:rPr>
        <w:t>Administrative Sciences</w:t>
      </w:r>
      <w:r w:rsidRPr="005678BB">
        <w:rPr>
          <w:rStyle w:val="s2"/>
          <w:rFonts w:ascii="Arial" w:hAnsi="Arial" w:cs="Arial"/>
        </w:rPr>
        <w:t xml:space="preserve">, 12(1), pp. 1–25. </w:t>
      </w:r>
      <w:proofErr w:type="spellStart"/>
      <w:r w:rsidRPr="005678BB">
        <w:rPr>
          <w:rStyle w:val="s2"/>
          <w:rFonts w:ascii="Arial" w:hAnsi="Arial" w:cs="Arial"/>
        </w:rPr>
        <w:t>doi:10.3390</w:t>
      </w:r>
      <w:proofErr w:type="spellEnd"/>
      <w:r w:rsidRPr="005678BB">
        <w:rPr>
          <w:rStyle w:val="s2"/>
          <w:rFonts w:ascii="Arial" w:hAnsi="Arial" w:cs="Arial"/>
        </w:rPr>
        <w:t>/</w:t>
      </w:r>
      <w:proofErr w:type="spellStart"/>
      <w:r w:rsidRPr="005678BB">
        <w:rPr>
          <w:rStyle w:val="s2"/>
          <w:rFonts w:ascii="Arial" w:hAnsi="Arial" w:cs="Arial"/>
        </w:rPr>
        <w:t>admsci12010004</w:t>
      </w:r>
      <w:proofErr w:type="spellEnd"/>
      <w:r w:rsidRPr="005678BB">
        <w:rPr>
          <w:rStyle w:val="s2"/>
          <w:rFonts w:ascii="Arial" w:hAnsi="Arial" w:cs="Arial"/>
        </w:rPr>
        <w:t>.</w:t>
      </w:r>
    </w:p>
    <w:p w14:paraId="7B0330EB" w14:textId="77777777" w:rsidR="00832ED9" w:rsidRPr="005678BB" w:rsidRDefault="00832ED9" w:rsidP="005678BB">
      <w:pPr>
        <w:pStyle w:val="p2"/>
        <w:spacing w:line="360" w:lineRule="auto"/>
        <w:jc w:val="both"/>
        <w:rPr>
          <w:rFonts w:ascii="Arial" w:hAnsi="Arial" w:cs="Arial"/>
        </w:rPr>
      </w:pPr>
    </w:p>
    <w:p w14:paraId="4478A4F4"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Helms, M.M. and Nixon, J. (2010) ‘Exploring SWOT analysis - where are we now?: A review of academic research from the last decade’, </w:t>
      </w:r>
      <w:r w:rsidRPr="005678BB">
        <w:rPr>
          <w:rStyle w:val="s3"/>
          <w:rFonts w:ascii="Arial" w:hAnsi="Arial" w:cs="Arial"/>
        </w:rPr>
        <w:t>Journal of Strategy and Management</w:t>
      </w:r>
      <w:r w:rsidRPr="005678BB">
        <w:rPr>
          <w:rStyle w:val="s2"/>
          <w:rFonts w:ascii="Arial" w:hAnsi="Arial" w:cs="Arial"/>
        </w:rPr>
        <w:t xml:space="preserve">, 3(3), pp. 215–251. </w:t>
      </w:r>
      <w:proofErr w:type="spellStart"/>
      <w:r w:rsidRPr="005678BB">
        <w:rPr>
          <w:rStyle w:val="s2"/>
          <w:rFonts w:ascii="Arial" w:hAnsi="Arial" w:cs="Arial"/>
        </w:rPr>
        <w:t>doi:10.1108</w:t>
      </w:r>
      <w:proofErr w:type="spellEnd"/>
      <w:r w:rsidRPr="005678BB">
        <w:rPr>
          <w:rStyle w:val="s2"/>
          <w:rFonts w:ascii="Arial" w:hAnsi="Arial" w:cs="Arial"/>
        </w:rPr>
        <w:t>/17554251011064837.</w:t>
      </w:r>
    </w:p>
    <w:p w14:paraId="635CFF87" w14:textId="77777777" w:rsidR="00832ED9" w:rsidRPr="005678BB" w:rsidRDefault="00832ED9" w:rsidP="005678BB">
      <w:pPr>
        <w:pStyle w:val="p2"/>
        <w:spacing w:line="360" w:lineRule="auto"/>
        <w:jc w:val="both"/>
        <w:rPr>
          <w:rFonts w:ascii="Arial" w:hAnsi="Arial" w:cs="Arial"/>
        </w:rPr>
      </w:pPr>
    </w:p>
    <w:p w14:paraId="01C3C48D" w14:textId="77777777" w:rsidR="00832ED9" w:rsidRPr="005678BB" w:rsidRDefault="00832ED9" w:rsidP="005678BB">
      <w:pPr>
        <w:pStyle w:val="p1"/>
        <w:spacing w:line="360" w:lineRule="auto"/>
        <w:jc w:val="both"/>
        <w:rPr>
          <w:rFonts w:ascii="Arial" w:hAnsi="Arial" w:cs="Arial"/>
        </w:rPr>
      </w:pPr>
      <w:proofErr w:type="spellStart"/>
      <w:r w:rsidRPr="005678BB">
        <w:rPr>
          <w:rStyle w:val="s2"/>
          <w:rFonts w:ascii="Arial" w:hAnsi="Arial" w:cs="Arial"/>
        </w:rPr>
        <w:t>Keough</w:t>
      </w:r>
      <w:proofErr w:type="spellEnd"/>
      <w:r w:rsidRPr="005678BB">
        <w:rPr>
          <w:rStyle w:val="s2"/>
          <w:rFonts w:ascii="Arial" w:hAnsi="Arial" w:cs="Arial"/>
        </w:rPr>
        <w:t xml:space="preserve">, P.D. (2019) </w:t>
      </w:r>
      <w:r w:rsidRPr="005678BB">
        <w:rPr>
          <w:rStyle w:val="s3"/>
          <w:rFonts w:ascii="Arial" w:hAnsi="Arial" w:cs="Arial"/>
        </w:rPr>
        <w:t>Ethical problem-solving and decision-making for positive and conclusive outcomes</w:t>
      </w:r>
      <w:r w:rsidRPr="005678BB">
        <w:rPr>
          <w:rStyle w:val="s2"/>
          <w:rFonts w:ascii="Arial" w:hAnsi="Arial" w:cs="Arial"/>
        </w:rPr>
        <w:t xml:space="preserve">. Hershey, Pennsylvania: IGI Global. </w:t>
      </w:r>
      <w:proofErr w:type="spellStart"/>
      <w:r w:rsidRPr="005678BB">
        <w:rPr>
          <w:rStyle w:val="s2"/>
          <w:rFonts w:ascii="Arial" w:hAnsi="Arial" w:cs="Arial"/>
        </w:rPr>
        <w:t>doi:10.4018</w:t>
      </w:r>
      <w:proofErr w:type="spellEnd"/>
      <w:r w:rsidRPr="005678BB">
        <w:rPr>
          <w:rStyle w:val="s2"/>
          <w:rFonts w:ascii="Arial" w:hAnsi="Arial" w:cs="Arial"/>
        </w:rPr>
        <w:t>/978-1-5225-7582-5.</w:t>
      </w:r>
    </w:p>
    <w:p w14:paraId="4E57F4EB" w14:textId="77777777" w:rsidR="00832ED9" w:rsidRPr="005678BB" w:rsidRDefault="00832ED9" w:rsidP="005678BB">
      <w:pPr>
        <w:pStyle w:val="p2"/>
        <w:spacing w:line="360" w:lineRule="auto"/>
        <w:jc w:val="both"/>
        <w:rPr>
          <w:rFonts w:ascii="Arial" w:hAnsi="Arial" w:cs="Arial"/>
        </w:rPr>
      </w:pPr>
    </w:p>
    <w:p w14:paraId="1F5BAED9" w14:textId="77777777" w:rsidR="00832ED9" w:rsidRPr="005678BB" w:rsidRDefault="00832ED9" w:rsidP="005678BB">
      <w:pPr>
        <w:pStyle w:val="p1"/>
        <w:spacing w:line="360" w:lineRule="auto"/>
        <w:jc w:val="both"/>
        <w:rPr>
          <w:rFonts w:ascii="Arial" w:hAnsi="Arial" w:cs="Arial"/>
        </w:rPr>
      </w:pPr>
      <w:proofErr w:type="spellStart"/>
      <w:r w:rsidRPr="005678BB">
        <w:rPr>
          <w:rStyle w:val="s2"/>
          <w:rFonts w:ascii="Arial" w:hAnsi="Arial" w:cs="Arial"/>
        </w:rPr>
        <w:t>Marmol</w:t>
      </w:r>
      <w:proofErr w:type="spellEnd"/>
      <w:r w:rsidRPr="005678BB">
        <w:rPr>
          <w:rStyle w:val="s2"/>
          <w:rFonts w:ascii="Arial" w:hAnsi="Arial" w:cs="Arial"/>
        </w:rPr>
        <w:t xml:space="preserve">, T. del (2015) </w:t>
      </w:r>
      <w:r w:rsidRPr="005678BB">
        <w:rPr>
          <w:rStyle w:val="s3"/>
          <w:rFonts w:ascii="Arial" w:hAnsi="Arial" w:cs="Arial"/>
        </w:rPr>
        <w:t>PESTLE analysis</w:t>
      </w:r>
      <w:r w:rsidRPr="005678BB">
        <w:rPr>
          <w:rStyle w:val="s2"/>
          <w:rFonts w:ascii="Arial" w:hAnsi="Arial" w:cs="Arial"/>
        </w:rPr>
        <w:t xml:space="preserve">. Namur: </w:t>
      </w:r>
      <w:proofErr w:type="spellStart"/>
      <w:r w:rsidRPr="005678BB">
        <w:rPr>
          <w:rStyle w:val="s2"/>
          <w:rFonts w:ascii="Arial" w:hAnsi="Arial" w:cs="Arial"/>
        </w:rPr>
        <w:t>Lemaitre</w:t>
      </w:r>
      <w:proofErr w:type="spellEnd"/>
      <w:r w:rsidRPr="005678BB">
        <w:rPr>
          <w:rStyle w:val="s2"/>
          <w:rFonts w:ascii="Arial" w:hAnsi="Arial" w:cs="Arial"/>
        </w:rPr>
        <w:t xml:space="preserve"> Publishing.</w:t>
      </w:r>
    </w:p>
    <w:p w14:paraId="1B4F6C4A" w14:textId="77777777" w:rsidR="00832ED9" w:rsidRPr="005678BB" w:rsidRDefault="00832ED9" w:rsidP="005678BB">
      <w:pPr>
        <w:pStyle w:val="p2"/>
        <w:spacing w:line="360" w:lineRule="auto"/>
        <w:jc w:val="both"/>
        <w:rPr>
          <w:rFonts w:ascii="Arial" w:hAnsi="Arial" w:cs="Arial"/>
        </w:rPr>
      </w:pPr>
    </w:p>
    <w:p w14:paraId="50FA01DD" w14:textId="77777777" w:rsidR="00832ED9" w:rsidRPr="005678BB" w:rsidRDefault="00832ED9" w:rsidP="005678BB">
      <w:pPr>
        <w:pStyle w:val="p1"/>
        <w:spacing w:line="360" w:lineRule="auto"/>
        <w:jc w:val="both"/>
        <w:rPr>
          <w:rFonts w:ascii="Arial" w:hAnsi="Arial" w:cs="Arial"/>
        </w:rPr>
      </w:pPr>
      <w:proofErr w:type="spellStart"/>
      <w:r w:rsidRPr="005678BB">
        <w:rPr>
          <w:rStyle w:val="s2"/>
          <w:rFonts w:ascii="Arial" w:hAnsi="Arial" w:cs="Arial"/>
        </w:rPr>
        <w:lastRenderedPageBreak/>
        <w:t>Marchau</w:t>
      </w:r>
      <w:proofErr w:type="spellEnd"/>
      <w:r w:rsidRPr="005678BB">
        <w:rPr>
          <w:rStyle w:val="s2"/>
          <w:rFonts w:ascii="Arial" w:hAnsi="Arial" w:cs="Arial"/>
        </w:rPr>
        <w:t xml:space="preserve">, V.A.W.J. (2019) </w:t>
      </w:r>
      <w:r w:rsidRPr="005678BB">
        <w:rPr>
          <w:rStyle w:val="s3"/>
          <w:rFonts w:ascii="Arial" w:hAnsi="Arial" w:cs="Arial"/>
        </w:rPr>
        <w:t>Decision Making under Deep Uncertainty: From Theory to Practice</w:t>
      </w:r>
      <w:r w:rsidRPr="005678BB">
        <w:rPr>
          <w:rStyle w:val="s2"/>
          <w:rFonts w:ascii="Arial" w:hAnsi="Arial" w:cs="Arial"/>
        </w:rPr>
        <w:t xml:space="preserve">. Cham: Springer Nature. </w:t>
      </w:r>
      <w:proofErr w:type="spellStart"/>
      <w:r w:rsidRPr="005678BB">
        <w:rPr>
          <w:rStyle w:val="s2"/>
          <w:rFonts w:ascii="Arial" w:hAnsi="Arial" w:cs="Arial"/>
        </w:rPr>
        <w:t>doi:10.1007</w:t>
      </w:r>
      <w:proofErr w:type="spellEnd"/>
      <w:r w:rsidRPr="005678BB">
        <w:rPr>
          <w:rStyle w:val="s2"/>
          <w:rFonts w:ascii="Arial" w:hAnsi="Arial" w:cs="Arial"/>
        </w:rPr>
        <w:t>/978-3-030-05252-2.</w:t>
      </w:r>
    </w:p>
    <w:p w14:paraId="222650DB" w14:textId="77777777" w:rsidR="00832ED9" w:rsidRPr="005678BB" w:rsidRDefault="00832ED9" w:rsidP="005678BB">
      <w:pPr>
        <w:pStyle w:val="p2"/>
        <w:spacing w:line="360" w:lineRule="auto"/>
        <w:jc w:val="both"/>
        <w:rPr>
          <w:rFonts w:ascii="Arial" w:hAnsi="Arial" w:cs="Arial"/>
        </w:rPr>
      </w:pPr>
    </w:p>
    <w:p w14:paraId="32F8A5AB" w14:textId="77777777" w:rsidR="00832ED9" w:rsidRPr="005678BB" w:rsidRDefault="00832ED9" w:rsidP="005678BB">
      <w:pPr>
        <w:pStyle w:val="p1"/>
        <w:spacing w:line="360" w:lineRule="auto"/>
        <w:jc w:val="both"/>
        <w:rPr>
          <w:rFonts w:ascii="Arial" w:hAnsi="Arial" w:cs="Arial"/>
        </w:rPr>
      </w:pPr>
      <w:r w:rsidRPr="005678BB">
        <w:rPr>
          <w:rStyle w:val="s2"/>
          <w:rFonts w:ascii="Arial" w:hAnsi="Arial" w:cs="Arial"/>
        </w:rPr>
        <w:t xml:space="preserve">Proctor, T. (2019) </w:t>
      </w:r>
      <w:r w:rsidRPr="005678BB">
        <w:rPr>
          <w:rStyle w:val="s3"/>
          <w:rFonts w:ascii="Arial" w:hAnsi="Arial" w:cs="Arial"/>
        </w:rPr>
        <w:t>Creative problem solving for managers: Developing skills for decision making and innovation</w:t>
      </w:r>
      <w:r w:rsidRPr="005678BB">
        <w:rPr>
          <w:rStyle w:val="s2"/>
          <w:rFonts w:ascii="Arial" w:hAnsi="Arial" w:cs="Arial"/>
        </w:rPr>
        <w:t xml:space="preserve">. 5th </w:t>
      </w:r>
      <w:proofErr w:type="spellStart"/>
      <w:r w:rsidRPr="005678BB">
        <w:rPr>
          <w:rStyle w:val="s2"/>
          <w:rFonts w:ascii="Arial" w:hAnsi="Arial" w:cs="Arial"/>
        </w:rPr>
        <w:t>edn</w:t>
      </w:r>
      <w:proofErr w:type="spellEnd"/>
      <w:r w:rsidRPr="005678BB">
        <w:rPr>
          <w:rStyle w:val="s2"/>
          <w:rFonts w:ascii="Arial" w:hAnsi="Arial" w:cs="Arial"/>
        </w:rPr>
        <w:t xml:space="preserve">. New York: </w:t>
      </w:r>
      <w:proofErr w:type="spellStart"/>
      <w:r w:rsidRPr="005678BB">
        <w:rPr>
          <w:rStyle w:val="s2"/>
          <w:rFonts w:ascii="Arial" w:hAnsi="Arial" w:cs="Arial"/>
        </w:rPr>
        <w:t>Routledge</w:t>
      </w:r>
      <w:proofErr w:type="spellEnd"/>
      <w:r w:rsidRPr="005678BB">
        <w:rPr>
          <w:rStyle w:val="s2"/>
          <w:rFonts w:ascii="Arial" w:hAnsi="Arial" w:cs="Arial"/>
        </w:rPr>
        <w:t>.</w:t>
      </w:r>
    </w:p>
    <w:p w14:paraId="709C07A6" w14:textId="77777777" w:rsidR="00832ED9" w:rsidRPr="005678BB" w:rsidRDefault="00832ED9" w:rsidP="005678BB">
      <w:pPr>
        <w:spacing w:line="360" w:lineRule="auto"/>
        <w:jc w:val="both"/>
        <w:rPr>
          <w:rFonts w:ascii="Arial" w:hAnsi="Arial" w:cs="Arial"/>
        </w:rPr>
      </w:pPr>
    </w:p>
    <w:sectPr w:rsidR="00832ED9" w:rsidRPr="005678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F961C" w14:textId="77777777" w:rsidR="00E7003C" w:rsidRDefault="00E7003C" w:rsidP="00E7003C">
      <w:pPr>
        <w:spacing w:after="0" w:line="240" w:lineRule="auto"/>
      </w:pPr>
      <w:r>
        <w:separator/>
      </w:r>
    </w:p>
  </w:endnote>
  <w:endnote w:type="continuationSeparator" w:id="0">
    <w:p w14:paraId="2F4ADC55" w14:textId="77777777" w:rsidR="00E7003C" w:rsidRDefault="00E7003C" w:rsidP="00E70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AD0AA" w14:textId="77777777" w:rsidR="00E7003C" w:rsidRDefault="00E7003C" w:rsidP="00E7003C">
      <w:pPr>
        <w:spacing w:after="0" w:line="240" w:lineRule="auto"/>
      </w:pPr>
      <w:r>
        <w:separator/>
      </w:r>
    </w:p>
  </w:footnote>
  <w:footnote w:type="continuationSeparator" w:id="0">
    <w:p w14:paraId="3F024AA4" w14:textId="77777777" w:rsidR="00E7003C" w:rsidRDefault="00E7003C" w:rsidP="00E700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ED9"/>
    <w:rsid w:val="00031681"/>
    <w:rsid w:val="00361AD4"/>
    <w:rsid w:val="003F69A6"/>
    <w:rsid w:val="004522E2"/>
    <w:rsid w:val="005678BB"/>
    <w:rsid w:val="00682DB8"/>
    <w:rsid w:val="006A2EEA"/>
    <w:rsid w:val="006E3662"/>
    <w:rsid w:val="00832ED9"/>
    <w:rsid w:val="00994B52"/>
    <w:rsid w:val="00E70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E3E968"/>
  <w15:chartTrackingRefBased/>
  <w15:docId w15:val="{FC881A30-A007-D64D-8C1A-5218F0A9A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E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2E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E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E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2E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2E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2E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2E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2E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E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2E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E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E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2E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2E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2E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2E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2ED9"/>
    <w:rPr>
      <w:rFonts w:eastAsiaTheme="majorEastAsia" w:cstheme="majorBidi"/>
      <w:color w:val="272727" w:themeColor="text1" w:themeTint="D8"/>
    </w:rPr>
  </w:style>
  <w:style w:type="paragraph" w:styleId="Title">
    <w:name w:val="Title"/>
    <w:basedOn w:val="Normal"/>
    <w:next w:val="Normal"/>
    <w:link w:val="TitleChar"/>
    <w:uiPriority w:val="10"/>
    <w:qFormat/>
    <w:rsid w:val="00832E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2E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2E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2E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2ED9"/>
    <w:pPr>
      <w:spacing w:before="160"/>
      <w:jc w:val="center"/>
    </w:pPr>
    <w:rPr>
      <w:i/>
      <w:iCs/>
      <w:color w:val="404040" w:themeColor="text1" w:themeTint="BF"/>
    </w:rPr>
  </w:style>
  <w:style w:type="character" w:customStyle="1" w:styleId="QuoteChar">
    <w:name w:val="Quote Char"/>
    <w:basedOn w:val="DefaultParagraphFont"/>
    <w:link w:val="Quote"/>
    <w:uiPriority w:val="29"/>
    <w:rsid w:val="00832ED9"/>
    <w:rPr>
      <w:i/>
      <w:iCs/>
      <w:color w:val="404040" w:themeColor="text1" w:themeTint="BF"/>
    </w:rPr>
  </w:style>
  <w:style w:type="paragraph" w:styleId="ListParagraph">
    <w:name w:val="List Paragraph"/>
    <w:basedOn w:val="Normal"/>
    <w:uiPriority w:val="34"/>
    <w:qFormat/>
    <w:rsid w:val="00832ED9"/>
    <w:pPr>
      <w:ind w:left="720"/>
      <w:contextualSpacing/>
    </w:pPr>
  </w:style>
  <w:style w:type="character" w:styleId="IntenseEmphasis">
    <w:name w:val="Intense Emphasis"/>
    <w:basedOn w:val="DefaultParagraphFont"/>
    <w:uiPriority w:val="21"/>
    <w:qFormat/>
    <w:rsid w:val="00832ED9"/>
    <w:rPr>
      <w:i/>
      <w:iCs/>
      <w:color w:val="0F4761" w:themeColor="accent1" w:themeShade="BF"/>
    </w:rPr>
  </w:style>
  <w:style w:type="paragraph" w:styleId="IntenseQuote">
    <w:name w:val="Intense Quote"/>
    <w:basedOn w:val="Normal"/>
    <w:next w:val="Normal"/>
    <w:link w:val="IntenseQuoteChar"/>
    <w:uiPriority w:val="30"/>
    <w:qFormat/>
    <w:rsid w:val="00832E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2ED9"/>
    <w:rPr>
      <w:i/>
      <w:iCs/>
      <w:color w:val="0F4761" w:themeColor="accent1" w:themeShade="BF"/>
    </w:rPr>
  </w:style>
  <w:style w:type="character" w:styleId="IntenseReference">
    <w:name w:val="Intense Reference"/>
    <w:basedOn w:val="DefaultParagraphFont"/>
    <w:uiPriority w:val="32"/>
    <w:qFormat/>
    <w:rsid w:val="00832ED9"/>
    <w:rPr>
      <w:b/>
      <w:bCs/>
      <w:smallCaps/>
      <w:color w:val="0F4761" w:themeColor="accent1" w:themeShade="BF"/>
      <w:spacing w:val="5"/>
    </w:rPr>
  </w:style>
  <w:style w:type="paragraph" w:customStyle="1" w:styleId="p1">
    <w:name w:val="p1"/>
    <w:basedOn w:val="Normal"/>
    <w:rsid w:val="00832ED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32ED9"/>
  </w:style>
  <w:style w:type="paragraph" w:customStyle="1" w:styleId="p2">
    <w:name w:val="p2"/>
    <w:basedOn w:val="Normal"/>
    <w:rsid w:val="00832ED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32ED9"/>
  </w:style>
  <w:style w:type="character" w:customStyle="1" w:styleId="s3">
    <w:name w:val="s3"/>
    <w:basedOn w:val="DefaultParagraphFont"/>
    <w:rsid w:val="00832ED9"/>
  </w:style>
  <w:style w:type="character" w:styleId="Hyperlink">
    <w:name w:val="Hyperlink"/>
    <w:basedOn w:val="DefaultParagraphFont"/>
    <w:uiPriority w:val="99"/>
    <w:semiHidden/>
    <w:unhideWhenUsed/>
    <w:rsid w:val="00832ED9"/>
    <w:rPr>
      <w:color w:val="0000FF"/>
      <w:u w:val="single"/>
    </w:rPr>
  </w:style>
  <w:style w:type="paragraph" w:styleId="Header">
    <w:name w:val="header"/>
    <w:basedOn w:val="Normal"/>
    <w:link w:val="HeaderChar"/>
    <w:uiPriority w:val="99"/>
    <w:unhideWhenUsed/>
    <w:rsid w:val="00E70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03C"/>
  </w:style>
  <w:style w:type="paragraph" w:styleId="Footer">
    <w:name w:val="footer"/>
    <w:basedOn w:val="Normal"/>
    <w:link w:val="FooterChar"/>
    <w:uiPriority w:val="99"/>
    <w:unhideWhenUsed/>
    <w:rsid w:val="00E70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0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653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776</Words>
  <Characters>4429</Characters>
  <Application>Microsoft Office Word</Application>
  <DocSecurity>0</DocSecurity>
  <Lines>36</Lines>
  <Paragraphs>10</Paragraphs>
  <ScaleCrop>false</ScaleCrop>
  <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Yovka Nedeva (1908957)</dc:creator>
  <cp:keywords/>
  <dc:description/>
  <cp:lastModifiedBy>Yovka Nedeva (1908957)</cp:lastModifiedBy>
  <cp:revision>2</cp:revision>
  <dcterms:created xsi:type="dcterms:W3CDTF">2025-02-13T19:03:00Z</dcterms:created>
  <dcterms:modified xsi:type="dcterms:W3CDTF">2025-02-13T19:03:00Z</dcterms:modified>
</cp:coreProperties>
</file>