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563A" w:rsidRPr="00E05678" w:rsidRDefault="00C2563A" w:rsidP="00E05678">
      <w:pPr>
        <w:spacing w:before="240" w:after="240"/>
        <w:jc w:val="center"/>
        <w:rPr>
          <w:rFonts w:cs="Times New Roman"/>
        </w:rPr>
      </w:pPr>
      <w:r w:rsidRPr="00E05678">
        <w:rPr>
          <w:rFonts w:cs="Times New Roman"/>
          <w:noProof/>
          <w:lang w:val="en-US"/>
        </w:rPr>
        <w:drawing>
          <wp:inline distT="0" distB="0" distL="0" distR="0">
            <wp:extent cx="3013545" cy="1671967"/>
            <wp:effectExtent l="0" t="0" r="0" b="4445"/>
            <wp:docPr id="140387813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5"/>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022675" cy="1677033"/>
                    </a:xfrm>
                    <a:prstGeom prst="rect">
                      <a:avLst/>
                    </a:prstGeom>
                    <a:noFill/>
                    <a:ln>
                      <a:noFill/>
                    </a:ln>
                  </pic:spPr>
                </pic:pic>
              </a:graphicData>
            </a:graphic>
          </wp:inline>
        </w:drawing>
      </w:r>
    </w:p>
    <w:p w:rsidR="00C2563A" w:rsidRPr="00E05678" w:rsidRDefault="00C2563A" w:rsidP="00E05678">
      <w:pPr>
        <w:spacing w:before="240" w:after="240"/>
        <w:rPr>
          <w:rFonts w:cs="Times New Roman"/>
        </w:rPr>
      </w:pPr>
    </w:p>
    <w:p w:rsidR="00C2563A" w:rsidRPr="00E05678" w:rsidRDefault="00C2563A" w:rsidP="00E05678">
      <w:pPr>
        <w:spacing w:before="240" w:after="240"/>
        <w:jc w:val="center"/>
        <w:rPr>
          <w:rFonts w:cs="Times New Roman"/>
          <w:b/>
          <w:bCs/>
          <w:sz w:val="36"/>
          <w:szCs w:val="32"/>
        </w:rPr>
      </w:pPr>
      <w:r w:rsidRPr="00E05678">
        <w:rPr>
          <w:rFonts w:cs="Times New Roman"/>
          <w:b/>
          <w:bCs/>
          <w:sz w:val="36"/>
          <w:szCs w:val="32"/>
        </w:rPr>
        <w:t>MSc Public Health and Social Care in Practice</w:t>
      </w:r>
    </w:p>
    <w:p w:rsidR="00C2563A" w:rsidRPr="00E05678" w:rsidRDefault="00C2563A" w:rsidP="00E05678">
      <w:pPr>
        <w:spacing w:before="240" w:after="240"/>
        <w:rPr>
          <w:rFonts w:cs="Times New Roman"/>
        </w:rPr>
      </w:pPr>
    </w:p>
    <w:p w:rsidR="00C2563A" w:rsidRPr="00E05678" w:rsidRDefault="00C2563A" w:rsidP="00E05678">
      <w:pPr>
        <w:spacing w:before="240" w:after="240"/>
        <w:jc w:val="center"/>
        <w:rPr>
          <w:rFonts w:cs="Times New Roman"/>
          <w:b/>
          <w:bCs/>
          <w:sz w:val="28"/>
          <w:szCs w:val="24"/>
        </w:rPr>
      </w:pPr>
    </w:p>
    <w:p w:rsidR="00C2563A" w:rsidRDefault="00C2563A" w:rsidP="00E05678">
      <w:pPr>
        <w:spacing w:before="240" w:after="240"/>
        <w:jc w:val="center"/>
        <w:rPr>
          <w:rFonts w:cs="Times New Roman"/>
          <w:b/>
          <w:bCs/>
          <w:sz w:val="32"/>
          <w:szCs w:val="28"/>
        </w:rPr>
      </w:pPr>
      <w:r w:rsidRPr="004D7FB1">
        <w:rPr>
          <w:rFonts w:cs="Times New Roman"/>
          <w:b/>
          <w:bCs/>
          <w:sz w:val="32"/>
          <w:szCs w:val="28"/>
        </w:rPr>
        <w:t>Module Name: Social Epidemiology and Public Health Development</w:t>
      </w:r>
    </w:p>
    <w:p w:rsidR="004D7FB1" w:rsidRPr="004D7FB1" w:rsidRDefault="004D7FB1" w:rsidP="00E05678">
      <w:pPr>
        <w:spacing w:before="240" w:after="240"/>
        <w:jc w:val="center"/>
        <w:rPr>
          <w:rFonts w:cs="Times New Roman"/>
          <w:b/>
          <w:bCs/>
          <w:sz w:val="32"/>
          <w:szCs w:val="28"/>
        </w:rPr>
      </w:pPr>
    </w:p>
    <w:p w:rsidR="00C2563A" w:rsidRPr="004D7FB1" w:rsidRDefault="00C2563A" w:rsidP="00E05678">
      <w:pPr>
        <w:spacing w:before="240" w:after="240"/>
        <w:jc w:val="center"/>
        <w:rPr>
          <w:rFonts w:cs="Times New Roman"/>
          <w:b/>
          <w:bCs/>
          <w:sz w:val="32"/>
          <w:szCs w:val="28"/>
        </w:rPr>
      </w:pPr>
      <w:r w:rsidRPr="004D7FB1">
        <w:rPr>
          <w:rFonts w:cs="Times New Roman"/>
          <w:b/>
          <w:bCs/>
          <w:sz w:val="32"/>
          <w:szCs w:val="28"/>
        </w:rPr>
        <w:t>Module Code: LCHS7000</w:t>
      </w:r>
    </w:p>
    <w:p w:rsidR="00550506" w:rsidRPr="00550506" w:rsidRDefault="00550506" w:rsidP="00550506">
      <w:pPr>
        <w:jc w:val="center"/>
        <w:rPr>
          <w:rFonts w:cs="Times New Roman"/>
          <w:b/>
          <w:bCs/>
          <w:sz w:val="32"/>
          <w:szCs w:val="28"/>
        </w:rPr>
      </w:pPr>
      <w:r w:rsidRPr="00550506">
        <w:rPr>
          <w:rFonts w:cs="Times New Roman"/>
          <w:b/>
          <w:bCs/>
          <w:sz w:val="32"/>
          <w:szCs w:val="28"/>
        </w:rPr>
        <w:t>Lecturer: Dr</w:t>
      </w:r>
      <w:r>
        <w:rPr>
          <w:rFonts w:cs="Times New Roman"/>
          <w:b/>
          <w:bCs/>
          <w:sz w:val="32"/>
          <w:szCs w:val="28"/>
        </w:rPr>
        <w:t>.</w:t>
      </w:r>
      <w:r w:rsidRPr="00550506">
        <w:rPr>
          <w:rFonts w:cs="Times New Roman"/>
          <w:b/>
          <w:bCs/>
          <w:sz w:val="32"/>
          <w:szCs w:val="28"/>
        </w:rPr>
        <w:t xml:space="preserve"> Hamdi Hussain</w:t>
      </w:r>
    </w:p>
    <w:p w:rsidR="00550506" w:rsidRPr="00550506" w:rsidRDefault="00550506" w:rsidP="00550506">
      <w:pPr>
        <w:jc w:val="center"/>
        <w:rPr>
          <w:rFonts w:cs="Times New Roman"/>
          <w:b/>
          <w:bCs/>
          <w:sz w:val="32"/>
          <w:szCs w:val="28"/>
        </w:rPr>
      </w:pPr>
      <w:r w:rsidRPr="00550506">
        <w:rPr>
          <w:rFonts w:cs="Times New Roman"/>
          <w:b/>
          <w:bCs/>
          <w:sz w:val="32"/>
          <w:szCs w:val="28"/>
        </w:rPr>
        <w:t>Student Name: Ramani Krupali Hasmukhbhai</w:t>
      </w:r>
    </w:p>
    <w:p w:rsidR="004D7FB1" w:rsidRPr="00550506" w:rsidRDefault="00550506" w:rsidP="00550506">
      <w:pPr>
        <w:spacing w:before="240" w:after="240"/>
        <w:jc w:val="center"/>
        <w:rPr>
          <w:rFonts w:cs="Times New Roman"/>
          <w:b/>
          <w:bCs/>
          <w:sz w:val="32"/>
          <w:szCs w:val="28"/>
        </w:rPr>
      </w:pPr>
      <w:r w:rsidRPr="00550506">
        <w:rPr>
          <w:rFonts w:cs="Times New Roman"/>
          <w:b/>
          <w:bCs/>
          <w:sz w:val="32"/>
          <w:szCs w:val="28"/>
        </w:rPr>
        <w:t>Student ID: 2520812</w:t>
      </w:r>
    </w:p>
    <w:p w:rsidR="00C2563A" w:rsidRPr="00550506" w:rsidRDefault="00C2563A" w:rsidP="00E05678">
      <w:pPr>
        <w:spacing w:before="240" w:after="240"/>
        <w:rPr>
          <w:rFonts w:cs="Times New Roman"/>
          <w:b/>
          <w:bCs/>
          <w:sz w:val="32"/>
          <w:szCs w:val="28"/>
        </w:rPr>
      </w:pPr>
    </w:p>
    <w:p w:rsidR="00C2563A" w:rsidRPr="00550506" w:rsidRDefault="00C2563A" w:rsidP="00E05678">
      <w:pPr>
        <w:spacing w:before="240" w:after="240"/>
        <w:jc w:val="center"/>
        <w:rPr>
          <w:rFonts w:cs="Times New Roman"/>
          <w:b/>
          <w:bCs/>
          <w:sz w:val="32"/>
          <w:szCs w:val="28"/>
        </w:rPr>
      </w:pPr>
      <w:r w:rsidRPr="00550506">
        <w:rPr>
          <w:rFonts w:cs="Times New Roman"/>
          <w:b/>
          <w:bCs/>
          <w:sz w:val="32"/>
          <w:szCs w:val="28"/>
        </w:rPr>
        <w:t>Component 2</w:t>
      </w:r>
      <w:r w:rsidR="004D7FB1" w:rsidRPr="00550506">
        <w:rPr>
          <w:rFonts w:cs="Times New Roman"/>
          <w:b/>
          <w:bCs/>
          <w:sz w:val="32"/>
          <w:szCs w:val="28"/>
        </w:rPr>
        <w:t>:</w:t>
      </w:r>
      <w:r w:rsidRPr="00550506">
        <w:rPr>
          <w:rFonts w:cs="Times New Roman"/>
          <w:b/>
          <w:bCs/>
          <w:sz w:val="32"/>
          <w:szCs w:val="28"/>
        </w:rPr>
        <w:t xml:space="preserve"> Analytical Report</w:t>
      </w:r>
      <w:r w:rsidRPr="00550506">
        <w:rPr>
          <w:rFonts w:cs="Times New Roman"/>
          <w:b/>
          <w:bCs/>
          <w:sz w:val="32"/>
          <w:szCs w:val="28"/>
        </w:rPr>
        <w:br w:type="page"/>
      </w:r>
    </w:p>
    <w:sdt>
      <w:sdtPr>
        <w:rPr>
          <w:rFonts w:ascii="Times New Roman" w:eastAsiaTheme="minorHAnsi" w:hAnsi="Times New Roman" w:cs="Times New Roman"/>
          <w:color w:val="auto"/>
          <w:kern w:val="2"/>
          <w:sz w:val="24"/>
          <w:szCs w:val="22"/>
          <w:lang w:val="en-IN"/>
        </w:rPr>
        <w:id w:val="-175123405"/>
        <w:docPartObj>
          <w:docPartGallery w:val="Table of Contents"/>
          <w:docPartUnique/>
        </w:docPartObj>
      </w:sdtPr>
      <w:sdtEndPr>
        <w:rPr>
          <w:b/>
          <w:bCs/>
          <w:noProof/>
        </w:rPr>
      </w:sdtEndPr>
      <w:sdtContent>
        <w:p w:rsidR="00C2563A" w:rsidRPr="00E05678" w:rsidRDefault="00C2563A" w:rsidP="00E05678">
          <w:pPr>
            <w:pStyle w:val="TOCHeading"/>
            <w:spacing w:after="240" w:line="360" w:lineRule="auto"/>
            <w:jc w:val="center"/>
            <w:rPr>
              <w:rFonts w:ascii="Times New Roman" w:hAnsi="Times New Roman" w:cs="Times New Roman"/>
              <w:b/>
              <w:bCs/>
              <w:sz w:val="28"/>
              <w:szCs w:val="28"/>
            </w:rPr>
          </w:pPr>
          <w:r w:rsidRPr="00E05678">
            <w:rPr>
              <w:rFonts w:ascii="Times New Roman" w:hAnsi="Times New Roman" w:cs="Times New Roman"/>
              <w:b/>
              <w:bCs/>
              <w:sz w:val="28"/>
              <w:szCs w:val="28"/>
            </w:rPr>
            <w:t>Table of Contents</w:t>
          </w:r>
        </w:p>
        <w:p w:rsidR="00C2563A" w:rsidRPr="00E05678" w:rsidRDefault="00807CD1" w:rsidP="00E05678">
          <w:pPr>
            <w:pStyle w:val="TOC1"/>
            <w:tabs>
              <w:tab w:val="right" w:leader="dot" w:pos="9016"/>
            </w:tabs>
            <w:spacing w:before="240" w:after="240"/>
            <w:rPr>
              <w:rFonts w:cs="Times New Roman"/>
              <w:noProof/>
            </w:rPr>
          </w:pPr>
          <w:r w:rsidRPr="00807CD1">
            <w:rPr>
              <w:rFonts w:cs="Times New Roman"/>
            </w:rPr>
            <w:fldChar w:fldCharType="begin"/>
          </w:r>
          <w:r w:rsidR="00C2563A" w:rsidRPr="00E05678">
            <w:rPr>
              <w:rFonts w:cs="Times New Roman"/>
            </w:rPr>
            <w:instrText xml:space="preserve"> TOC \o "1-3" \h \z \u </w:instrText>
          </w:r>
          <w:r w:rsidRPr="00807CD1">
            <w:rPr>
              <w:rFonts w:cs="Times New Roman"/>
            </w:rPr>
            <w:fldChar w:fldCharType="separate"/>
          </w:r>
          <w:hyperlink w:anchor="_Toc224921335" w:history="1">
            <w:r w:rsidR="00C2563A" w:rsidRPr="00E05678">
              <w:rPr>
                <w:rStyle w:val="Hyperlink"/>
                <w:rFonts w:cs="Times New Roman"/>
                <w:noProof/>
              </w:rPr>
              <w:t>Task 1: Social Epidemiological Analysis- Age-Related Health Inequalities in the United Kingdom: A Social Epidemiological Analysis of Older Adults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_Toc224921335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3</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36" w:history="1">
            <w:r w:rsidR="00C2563A" w:rsidRPr="00E05678">
              <w:rPr>
                <w:rStyle w:val="Hyperlink"/>
                <w:rFonts w:cs="Times New Roman"/>
                <w:noProof/>
              </w:rPr>
              <w:t>1. Introduction</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_Toc224921336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3</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37" w:history="1">
            <w:r w:rsidR="00C2563A" w:rsidRPr="00E05678">
              <w:rPr>
                <w:rStyle w:val="Hyperlink"/>
                <w:rFonts w:cs="Times New Roman"/>
                <w:noProof/>
              </w:rPr>
              <w:t>2. Contextual Background and Underlying Factor</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_Toc224921337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3</w:t>
            </w:r>
            <w:r w:rsidRPr="00E05678">
              <w:rPr>
                <w:rFonts w:cs="Times New Roman"/>
                <w:noProof/>
                <w:webHidden/>
              </w:rPr>
              <w:fldChar w:fldCharType="end"/>
            </w:r>
          </w:hyperlink>
        </w:p>
        <w:p w:rsidR="00C2563A" w:rsidRPr="00E05678" w:rsidRDefault="00807CD1" w:rsidP="00E05678">
          <w:pPr>
            <w:pStyle w:val="TOC3"/>
            <w:tabs>
              <w:tab w:val="right" w:leader="dot" w:pos="9016"/>
            </w:tabs>
            <w:spacing w:before="240" w:after="240"/>
            <w:rPr>
              <w:rFonts w:cs="Times New Roman"/>
              <w:noProof/>
            </w:rPr>
          </w:pPr>
          <w:hyperlink w:anchor="_Toc224921338" w:history="1">
            <w:r w:rsidR="00C2563A" w:rsidRPr="00E05678">
              <w:rPr>
                <w:rStyle w:val="Hyperlink"/>
                <w:rFonts w:cs="Times New Roman"/>
                <w:noProof/>
              </w:rPr>
              <w:t>2.1 Disease / Illness Inequalities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_Toc224921338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3</w:t>
            </w:r>
            <w:r w:rsidRPr="00E05678">
              <w:rPr>
                <w:rFonts w:cs="Times New Roman"/>
                <w:noProof/>
                <w:webHidden/>
              </w:rPr>
              <w:fldChar w:fldCharType="end"/>
            </w:r>
          </w:hyperlink>
        </w:p>
        <w:p w:rsidR="00C2563A" w:rsidRPr="00E05678" w:rsidRDefault="00807CD1" w:rsidP="00E05678">
          <w:pPr>
            <w:pStyle w:val="TOC3"/>
            <w:tabs>
              <w:tab w:val="right" w:leader="dot" w:pos="9016"/>
            </w:tabs>
            <w:spacing w:before="240" w:after="240"/>
            <w:rPr>
              <w:rFonts w:cs="Times New Roman"/>
              <w:noProof/>
            </w:rPr>
          </w:pPr>
          <w:hyperlink w:anchor="_Toc224921339" w:history="1">
            <w:r w:rsidR="00C2563A" w:rsidRPr="00E05678">
              <w:rPr>
                <w:rStyle w:val="Hyperlink"/>
                <w:rFonts w:cs="Times New Roman"/>
                <w:noProof/>
              </w:rPr>
              <w:t>2.2 Social Inequalities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_Toc224921339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7</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0" w:history="1">
            <w:r w:rsidR="00C2563A" w:rsidRPr="00E05678">
              <w:rPr>
                <w:rStyle w:val="Hyperlink"/>
                <w:rFonts w:cs="Times New Roman"/>
                <w:noProof/>
              </w:rPr>
              <w:t>3. National Response to Reduce Health Inequalities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_Toc224921340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8</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1" w:history="1">
            <w:r w:rsidR="00C2563A" w:rsidRPr="00E05678">
              <w:rPr>
                <w:rStyle w:val="Hyperlink"/>
                <w:rFonts w:cs="Times New Roman"/>
                <w:noProof/>
              </w:rPr>
              <w:t>4. Organisations Supporting Older Adults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_Toc224921341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9</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2" w:history="1">
            <w:r w:rsidR="00C2563A" w:rsidRPr="00E05678">
              <w:rPr>
                <w:rStyle w:val="Hyperlink"/>
                <w:rFonts w:cs="Times New Roman"/>
                <w:noProof/>
              </w:rPr>
              <w:t>5. Conclusion</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_Toc224921342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9</w:t>
            </w:r>
            <w:r w:rsidRPr="00E05678">
              <w:rPr>
                <w:rFonts w:cs="Times New Roman"/>
                <w:noProof/>
                <w:webHidden/>
              </w:rPr>
              <w:fldChar w:fldCharType="end"/>
            </w:r>
          </w:hyperlink>
        </w:p>
        <w:p w:rsidR="00C2563A" w:rsidRPr="00E05678" w:rsidRDefault="00807CD1" w:rsidP="00E05678">
          <w:pPr>
            <w:pStyle w:val="TOC1"/>
            <w:tabs>
              <w:tab w:val="right" w:leader="dot" w:pos="9016"/>
            </w:tabs>
            <w:spacing w:before="240" w:after="240"/>
            <w:rPr>
              <w:rFonts w:cs="Times New Roman"/>
              <w:noProof/>
            </w:rPr>
          </w:pPr>
          <w:hyperlink w:anchor="_Toc224921343" w:history="1">
            <w:r w:rsidR="00C2563A" w:rsidRPr="00E05678">
              <w:rPr>
                <w:rStyle w:val="Hyperlink"/>
                <w:rFonts w:cs="Times New Roman"/>
                <w:noProof/>
              </w:rPr>
              <w:t>Task 2: Epidemiological Analysis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_Toc224921343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10</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4" w:history="1">
            <w:r w:rsidR="00C2563A" w:rsidRPr="00E05678">
              <w:rPr>
                <w:rStyle w:val="Hyperlink"/>
                <w:rFonts w:cs="Times New Roman"/>
                <w:noProof/>
              </w:rPr>
              <w:t>1. Introduction</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_Toc224921344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10</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5" w:history="1">
            <w:r w:rsidR="00C2563A" w:rsidRPr="00E05678">
              <w:rPr>
                <w:rStyle w:val="Hyperlink"/>
                <w:rFonts w:cs="Times New Roman"/>
                <w:noProof/>
              </w:rPr>
              <w:t>2. Determinants and Risk Factors of Dementia</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_Toc224921345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10</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6" w:history="1">
            <w:r w:rsidR="00C2563A" w:rsidRPr="00E05678">
              <w:rPr>
                <w:rStyle w:val="Hyperlink"/>
                <w:rFonts w:cs="Times New Roman"/>
                <w:noProof/>
              </w:rPr>
              <w:t>3. Epidemiological Evidence and Population at Risk in Tower Hamlets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_Toc224921346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11</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7" w:history="1">
            <w:r w:rsidR="00C2563A" w:rsidRPr="00E05678">
              <w:rPr>
                <w:rStyle w:val="Hyperlink"/>
                <w:rFonts w:cs="Times New Roman"/>
                <w:noProof/>
              </w:rPr>
              <w:t>4. Public Health Measures: Prevention, Protection and Promotion</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_Toc224921347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11</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8" w:history="1">
            <w:r w:rsidR="00C2563A" w:rsidRPr="00E05678">
              <w:rPr>
                <w:rStyle w:val="Hyperlink"/>
                <w:rFonts w:cs="Times New Roman"/>
                <w:noProof/>
              </w:rPr>
              <w:t>5. Monitoring and Surveillance Systems</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_Toc224921348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13</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49" w:history="1">
            <w:r w:rsidR="00C2563A" w:rsidRPr="00E05678">
              <w:rPr>
                <w:rStyle w:val="Hyperlink"/>
                <w:rFonts w:cs="Times New Roman"/>
                <w:noProof/>
              </w:rPr>
              <w:t>6. Public Health Impact</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_Toc224921349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13</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50" w:history="1">
            <w:r w:rsidR="00C2563A" w:rsidRPr="00E05678">
              <w:rPr>
                <w:rStyle w:val="Hyperlink"/>
                <w:rFonts w:cs="Times New Roman"/>
                <w:noProof/>
              </w:rPr>
              <w:t>7. Intervention Programme</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_Toc224921350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14</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51" w:history="1">
            <w:r w:rsidR="00C2563A" w:rsidRPr="00E05678">
              <w:rPr>
                <w:rStyle w:val="Hyperlink"/>
                <w:rFonts w:cs="Times New Roman"/>
                <w:noProof/>
              </w:rPr>
              <w:t>8. Strengths and Limitations of the Epidemiological Approach</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_Toc224921351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14</w:t>
            </w:r>
            <w:r w:rsidRPr="00E05678">
              <w:rPr>
                <w:rFonts w:cs="Times New Roman"/>
                <w:noProof/>
                <w:webHidden/>
              </w:rPr>
              <w:fldChar w:fldCharType="end"/>
            </w:r>
          </w:hyperlink>
        </w:p>
        <w:p w:rsidR="00C2563A" w:rsidRPr="00E05678" w:rsidRDefault="00807CD1" w:rsidP="00E05678">
          <w:pPr>
            <w:pStyle w:val="TOC2"/>
            <w:tabs>
              <w:tab w:val="right" w:leader="dot" w:pos="9016"/>
            </w:tabs>
            <w:spacing w:before="240" w:after="240"/>
            <w:rPr>
              <w:rFonts w:cs="Times New Roman"/>
              <w:noProof/>
            </w:rPr>
          </w:pPr>
          <w:hyperlink w:anchor="_Toc224921352" w:history="1">
            <w:r w:rsidR="00C2563A" w:rsidRPr="00E05678">
              <w:rPr>
                <w:rStyle w:val="Hyperlink"/>
                <w:rFonts w:cs="Times New Roman"/>
                <w:noProof/>
              </w:rPr>
              <w:t>9. Conclusion</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_Toc224921352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14</w:t>
            </w:r>
            <w:r w:rsidRPr="00E05678">
              <w:rPr>
                <w:rFonts w:cs="Times New Roman"/>
                <w:noProof/>
                <w:webHidden/>
              </w:rPr>
              <w:fldChar w:fldCharType="end"/>
            </w:r>
          </w:hyperlink>
        </w:p>
        <w:p w:rsidR="00C2563A" w:rsidRPr="00E05678" w:rsidRDefault="00807CD1" w:rsidP="00E05678">
          <w:pPr>
            <w:pStyle w:val="TOC1"/>
            <w:tabs>
              <w:tab w:val="right" w:leader="dot" w:pos="9016"/>
            </w:tabs>
            <w:spacing w:before="240" w:after="240"/>
            <w:rPr>
              <w:rFonts w:cs="Times New Roman"/>
              <w:noProof/>
            </w:rPr>
          </w:pPr>
          <w:hyperlink w:anchor="_Toc224921353" w:history="1">
            <w:r w:rsidR="00C2563A" w:rsidRPr="00E05678">
              <w:rPr>
                <w:rStyle w:val="Hyperlink"/>
                <w:rFonts w:cs="Times New Roman"/>
                <w:noProof/>
              </w:rPr>
              <w:t>Reference List</w:t>
            </w:r>
            <w:r w:rsidR="00C2563A" w:rsidRPr="00E05678">
              <w:rPr>
                <w:rFonts w:cs="Times New Roman"/>
                <w:noProof/>
                <w:webHidden/>
              </w:rPr>
              <w:tab/>
            </w:r>
            <w:r w:rsidRPr="00E05678">
              <w:rPr>
                <w:rFonts w:cs="Times New Roman"/>
                <w:noProof/>
                <w:webHidden/>
              </w:rPr>
              <w:fldChar w:fldCharType="begin"/>
            </w:r>
            <w:r w:rsidR="00C2563A" w:rsidRPr="00E05678">
              <w:rPr>
                <w:rFonts w:cs="Times New Roman"/>
                <w:noProof/>
                <w:webHidden/>
              </w:rPr>
              <w:instrText xml:space="preserve"> PAGEREF _Toc224921353 \h </w:instrText>
            </w:r>
            <w:r w:rsidRPr="00E05678">
              <w:rPr>
                <w:rFonts w:cs="Times New Roman"/>
                <w:noProof/>
                <w:webHidden/>
              </w:rPr>
            </w:r>
            <w:r w:rsidRPr="00E05678">
              <w:rPr>
                <w:rFonts w:cs="Times New Roman"/>
                <w:noProof/>
                <w:webHidden/>
              </w:rPr>
              <w:fldChar w:fldCharType="separate"/>
            </w:r>
            <w:r w:rsidR="00C2563A" w:rsidRPr="00E05678">
              <w:rPr>
                <w:rFonts w:cs="Times New Roman"/>
                <w:noProof/>
                <w:webHidden/>
              </w:rPr>
              <w:t>15</w:t>
            </w:r>
            <w:r w:rsidRPr="00E05678">
              <w:rPr>
                <w:rFonts w:cs="Times New Roman"/>
                <w:noProof/>
                <w:webHidden/>
              </w:rPr>
              <w:fldChar w:fldCharType="end"/>
            </w:r>
          </w:hyperlink>
        </w:p>
        <w:p w:rsidR="00C2563A" w:rsidRPr="00E05678" w:rsidRDefault="00807CD1" w:rsidP="00E05678">
          <w:pPr>
            <w:spacing w:before="240" w:after="240"/>
            <w:rPr>
              <w:rFonts w:cs="Times New Roman"/>
              <w:b/>
              <w:bCs/>
              <w:noProof/>
            </w:rPr>
          </w:pPr>
          <w:r w:rsidRPr="00E05678">
            <w:rPr>
              <w:rFonts w:cs="Times New Roman"/>
              <w:b/>
              <w:bCs/>
              <w:noProof/>
            </w:rPr>
            <w:fldChar w:fldCharType="end"/>
          </w:r>
        </w:p>
      </w:sdtContent>
    </w:sdt>
    <w:p w:rsidR="00E237CC" w:rsidRPr="00E05678" w:rsidRDefault="00E237CC" w:rsidP="00E05678">
      <w:pPr>
        <w:pStyle w:val="Heading1"/>
        <w:spacing w:before="240" w:after="240"/>
        <w:rPr>
          <w:rFonts w:cs="Times New Roman"/>
        </w:rPr>
      </w:pPr>
      <w:bookmarkStart w:id="0" w:name="_Toc224921335"/>
      <w:r w:rsidRPr="00E05678">
        <w:rPr>
          <w:rFonts w:cs="Times New Roman"/>
        </w:rPr>
        <w:lastRenderedPageBreak/>
        <w:t xml:space="preserve">Task 1: Social Epidemiological Analysis- </w:t>
      </w:r>
      <w:r w:rsidR="00AF5D8C" w:rsidRPr="00E05678">
        <w:rPr>
          <w:rFonts w:cs="Times New Roman"/>
        </w:rPr>
        <w:t xml:space="preserve">Age-Related Health Inequalities in the </w:t>
      </w:r>
      <w:bookmarkEnd w:id="0"/>
      <w:r w:rsidR="004D7FB1">
        <w:rPr>
          <w:rFonts w:cs="Times New Roman"/>
        </w:rPr>
        <w:t>UK</w:t>
      </w:r>
    </w:p>
    <w:p w:rsidR="004E2F33" w:rsidRPr="00E05678" w:rsidRDefault="004E2F33" w:rsidP="00E05678">
      <w:pPr>
        <w:pStyle w:val="Heading2"/>
        <w:spacing w:before="240" w:after="240"/>
        <w:rPr>
          <w:rFonts w:cs="Times New Roman"/>
        </w:rPr>
      </w:pPr>
      <w:bookmarkStart w:id="1" w:name="_Toc224921336"/>
      <w:r w:rsidRPr="00E05678">
        <w:rPr>
          <w:rFonts w:cs="Times New Roman"/>
        </w:rPr>
        <w:t>1. Introduction</w:t>
      </w:r>
      <w:bookmarkEnd w:id="1"/>
    </w:p>
    <w:p w:rsidR="00E35B30" w:rsidRPr="00E05678" w:rsidRDefault="00E35B30" w:rsidP="00E05678">
      <w:pPr>
        <w:spacing w:before="240" w:after="240"/>
        <w:rPr>
          <w:rFonts w:cs="Times New Roman"/>
        </w:rPr>
      </w:pPr>
      <w:r w:rsidRPr="00E35B30">
        <w:rPr>
          <w:rFonts w:cs="Times New Roman"/>
        </w:rPr>
        <w:t xml:space="preserve">Age-related health inequality is a growing public health concern in the United Kingdom as the </w:t>
      </w:r>
      <w:r w:rsidR="00AF5D8C" w:rsidRPr="00E05678">
        <w:rPr>
          <w:rFonts w:cs="Times New Roman"/>
        </w:rPr>
        <w:t>Health inequality with age is an increasing societal problem in the United Kingdom as the ageing population increases. The community of older adults, who are identified to be 65 years and above, constitutes more than 11 million individuals, which forms a large percentage of the population (Office for National Statistics, 2023).These are not biologically determined inequalities with the effect of ageing but rather due to accumulating social, economic and environmental disadvantages in the course of life. As an example, people with poorer backgrounds are less likely to live in good conditions and more likely to develop chronic diseases in their adulthood (Office for National Statistics, 2025). The present report thus looks at the major disease and social inequalities that afflict the elderly in the United Kingdom</w:t>
      </w:r>
      <w:r w:rsidRPr="00E35B30">
        <w:rPr>
          <w:rFonts w:cs="Times New Roman"/>
        </w:rPr>
        <w:t>.</w:t>
      </w:r>
    </w:p>
    <w:p w:rsidR="004E2F33" w:rsidRPr="00E05678" w:rsidRDefault="004E2F33" w:rsidP="00E05678">
      <w:pPr>
        <w:pStyle w:val="Heading2"/>
        <w:spacing w:before="240" w:after="240"/>
        <w:rPr>
          <w:rFonts w:cs="Times New Roman"/>
        </w:rPr>
      </w:pPr>
      <w:bookmarkStart w:id="2" w:name="_Toc224921337"/>
      <w:r w:rsidRPr="00E05678">
        <w:rPr>
          <w:rFonts w:cs="Times New Roman"/>
        </w:rPr>
        <w:t>2. Contextual Background and Underlying Factor</w:t>
      </w:r>
      <w:bookmarkEnd w:id="2"/>
    </w:p>
    <w:p w:rsidR="004E2F33" w:rsidRPr="00E05678" w:rsidRDefault="00B305A7" w:rsidP="00E05678">
      <w:pPr>
        <w:pStyle w:val="Heading3"/>
        <w:spacing w:before="240" w:after="240"/>
        <w:rPr>
          <w:rFonts w:cs="Times New Roman"/>
        </w:rPr>
      </w:pPr>
      <w:bookmarkStart w:id="3" w:name="_Toc224921338"/>
      <w:r w:rsidRPr="00E05678">
        <w:rPr>
          <w:rFonts w:cs="Times New Roman"/>
        </w:rPr>
        <w:t>2.1 Disease / Illness Inequalities</w:t>
      </w:r>
      <w:bookmarkEnd w:id="3"/>
    </w:p>
    <w:p w:rsidR="00B305A7" w:rsidRPr="00E05678" w:rsidRDefault="00B305A7" w:rsidP="00E05678">
      <w:pPr>
        <w:pStyle w:val="Heading4"/>
        <w:spacing w:before="240" w:after="240"/>
        <w:rPr>
          <w:rFonts w:cs="Times New Roman"/>
        </w:rPr>
      </w:pPr>
      <w:r w:rsidRPr="00E05678">
        <w:rPr>
          <w:rFonts w:cs="Times New Roman"/>
        </w:rPr>
        <w:t>2.1.1 Higher Prevalence of Chronic Diseases</w:t>
      </w:r>
    </w:p>
    <w:p w:rsidR="00E35B30" w:rsidRPr="00E05678" w:rsidRDefault="00AF5D8C" w:rsidP="00E05678">
      <w:pPr>
        <w:spacing w:before="240" w:after="240"/>
        <w:rPr>
          <w:rFonts w:cs="Times New Roman"/>
        </w:rPr>
      </w:pPr>
      <w:r w:rsidRPr="00E05678">
        <w:rPr>
          <w:rFonts w:cs="Times New Roman"/>
        </w:rPr>
        <w:t>Older adults have a disproportionate prevalence of chronic diseases, which are both biologically caused by ageing and cumulative risks over the life course. It has been shown that more than 60% of the population aged 65 years and older live with two or more chronic conditions, which is much lower in the younger age groups (Centre for Ageing Better, 2025). The socioeconomic inequality further increases this difference as multimorbidity occurs 10-15 years earlier in people with deprived background. More importantly, this implies that age does not exclusively cause the burden of chronic diseases but that it is also influenced by structural factors like income and lifestyle and access to healthcare, which supports the persistence of health disparities over time (Watkinson et al., 2021</w:t>
      </w:r>
      <w:r w:rsidR="00687125" w:rsidRPr="00E05678">
        <w:rPr>
          <w:rFonts w:cs="Times New Roman"/>
        </w:rPr>
        <w:t>)</w:t>
      </w:r>
      <w:r w:rsidR="00E35B30" w:rsidRPr="00E05678">
        <w:rPr>
          <w:rFonts w:cs="Times New Roman"/>
        </w:rPr>
        <w:t>.</w:t>
      </w:r>
    </w:p>
    <w:p w:rsidR="006560F9" w:rsidRPr="00E05678" w:rsidRDefault="006560F9" w:rsidP="00E05678">
      <w:pPr>
        <w:keepNext/>
        <w:spacing w:before="240" w:after="240"/>
        <w:jc w:val="center"/>
        <w:rPr>
          <w:rFonts w:cs="Times New Roman"/>
        </w:rPr>
      </w:pPr>
      <w:r w:rsidRPr="00E05678">
        <w:rPr>
          <w:rFonts w:cs="Times New Roman"/>
          <w:noProof/>
          <w:lang w:val="en-US"/>
        </w:rPr>
        <w:lastRenderedPageBreak/>
        <w:drawing>
          <wp:inline distT="0" distB="0" distL="0" distR="0">
            <wp:extent cx="5169535" cy="3800691"/>
            <wp:effectExtent l="0" t="0" r="0" b="9525"/>
            <wp:docPr id="2579588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172568" cy="3802921"/>
                    </a:xfrm>
                    <a:prstGeom prst="rect">
                      <a:avLst/>
                    </a:prstGeom>
                    <a:noFill/>
                    <a:ln>
                      <a:noFill/>
                    </a:ln>
                  </pic:spPr>
                </pic:pic>
              </a:graphicData>
            </a:graphic>
          </wp:inline>
        </w:drawing>
      </w:r>
    </w:p>
    <w:p w:rsidR="006560F9" w:rsidRPr="00E05678" w:rsidRDefault="006560F9"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00812241" w:rsidRPr="00E05678">
        <w:rPr>
          <w:rFonts w:cs="Times New Roman"/>
          <w:noProof/>
        </w:rPr>
        <w:t>1</w:t>
      </w:r>
      <w:r w:rsidR="00807CD1" w:rsidRPr="00E05678">
        <w:rPr>
          <w:rFonts w:cs="Times New Roman"/>
        </w:rPr>
        <w:fldChar w:fldCharType="end"/>
      </w:r>
      <w:r w:rsidRPr="00E05678">
        <w:rPr>
          <w:rFonts w:cs="Times New Roman"/>
        </w:rPr>
        <w:t>: Prevalence of multimorbidity by age and deprivation in England</w:t>
      </w:r>
    </w:p>
    <w:p w:rsidR="006560F9" w:rsidRPr="00E05678" w:rsidRDefault="006560F9" w:rsidP="00E05678">
      <w:pPr>
        <w:spacing w:before="240" w:after="240"/>
        <w:jc w:val="center"/>
        <w:rPr>
          <w:rFonts w:cs="Times New Roman"/>
        </w:rPr>
      </w:pPr>
      <w:r w:rsidRPr="00E05678">
        <w:rPr>
          <w:rFonts w:cs="Times New Roman"/>
        </w:rPr>
        <w:t>(Source: MacRae et al., 2022)</w:t>
      </w:r>
    </w:p>
    <w:p w:rsidR="007103A4" w:rsidRPr="00E05678" w:rsidRDefault="007103A4" w:rsidP="00E05678">
      <w:pPr>
        <w:keepNext/>
        <w:spacing w:before="240" w:after="240"/>
        <w:jc w:val="center"/>
        <w:rPr>
          <w:rFonts w:cs="Times New Roman"/>
        </w:rPr>
      </w:pPr>
      <w:r w:rsidRPr="00E05678">
        <w:rPr>
          <w:rFonts w:cs="Times New Roman"/>
          <w:noProof/>
          <w:lang w:val="en-US"/>
        </w:rPr>
        <w:lastRenderedPageBreak/>
        <w:drawing>
          <wp:inline distT="0" distB="0" distL="0" distR="0">
            <wp:extent cx="4645882" cy="3729162"/>
            <wp:effectExtent l="0" t="0" r="2540" b="5080"/>
            <wp:docPr id="1360777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777282" name=""/>
                    <pic:cNvPicPr/>
                  </pic:nvPicPr>
                  <pic:blipFill rotWithShape="1">
                    <a:blip r:embed="rId9"/>
                    <a:srcRect/>
                    <a:stretch>
                      <a:fillRect/>
                    </a:stretch>
                  </pic:blipFill>
                  <pic:spPr bwMode="auto">
                    <a:xfrm>
                      <a:off x="0" y="0"/>
                      <a:ext cx="4655900" cy="373720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7103A4" w:rsidRPr="00E05678" w:rsidRDefault="007103A4"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00812241" w:rsidRPr="00E05678">
        <w:rPr>
          <w:rFonts w:cs="Times New Roman"/>
          <w:noProof/>
        </w:rPr>
        <w:t>2</w:t>
      </w:r>
      <w:r w:rsidR="00807CD1" w:rsidRPr="00E05678">
        <w:rPr>
          <w:rFonts w:cs="Times New Roman"/>
        </w:rPr>
        <w:fldChar w:fldCharType="end"/>
      </w:r>
      <w:r w:rsidRPr="00E05678">
        <w:rPr>
          <w:rFonts w:cs="Times New Roman"/>
        </w:rPr>
        <w:t xml:space="preserve">: Prevalence of common health conditions by age in England </w:t>
      </w:r>
    </w:p>
    <w:p w:rsidR="007103A4" w:rsidRPr="00E05678" w:rsidRDefault="007103A4" w:rsidP="00E05678">
      <w:pPr>
        <w:spacing w:before="240" w:after="240"/>
        <w:jc w:val="center"/>
        <w:rPr>
          <w:rFonts w:cs="Times New Roman"/>
        </w:rPr>
      </w:pPr>
      <w:r w:rsidRPr="00E05678">
        <w:rPr>
          <w:rFonts w:cs="Times New Roman"/>
        </w:rPr>
        <w:t>(Source: Centre for Ageing Better, 2025)</w:t>
      </w:r>
    </w:p>
    <w:p w:rsidR="00B305A7" w:rsidRPr="00E05678" w:rsidRDefault="00B305A7" w:rsidP="00E05678">
      <w:pPr>
        <w:pStyle w:val="Heading4"/>
        <w:spacing w:before="240" w:after="240"/>
        <w:rPr>
          <w:rFonts w:cs="Times New Roman"/>
        </w:rPr>
      </w:pPr>
      <w:r w:rsidRPr="00E05678">
        <w:rPr>
          <w:rFonts w:cs="Times New Roman"/>
        </w:rPr>
        <w:t>2.1.2 Mental Health Inequalities</w:t>
      </w:r>
    </w:p>
    <w:p w:rsidR="00E35B30" w:rsidRPr="00E05678" w:rsidRDefault="00AF5D8C" w:rsidP="00E05678">
      <w:pPr>
        <w:spacing w:before="240" w:after="240"/>
        <w:rPr>
          <w:rFonts w:cs="Times New Roman"/>
        </w:rPr>
      </w:pPr>
      <w:r w:rsidRPr="00E05678">
        <w:rPr>
          <w:rFonts w:cs="Times New Roman"/>
        </w:rPr>
        <w:t xml:space="preserve">The older adults continue to experience significant mental health disparities that are not adequately tackled. In the UK, there are about 940,000 elderly people who are chronically lonely, and another 270,000 of these do not engage with anyone during the week (Age UK, 2024). These statistics indicate that there is evident difference in social and emotional wellbeing between the older generations and the younger generations. Depression and heightened susceptibility to dementia </w:t>
      </w:r>
      <w:r w:rsidR="004D7FB1" w:rsidRPr="00E05678">
        <w:rPr>
          <w:rFonts w:cs="Times New Roman"/>
        </w:rPr>
        <w:t>have</w:t>
      </w:r>
      <w:r w:rsidRPr="00E05678">
        <w:rPr>
          <w:rFonts w:cs="Times New Roman"/>
        </w:rPr>
        <w:t xml:space="preserve"> a strong link to loneliness, and mental disorders in elderly individuals remain underdiagnosed because of the stigma and lack of access to services.</w:t>
      </w:r>
    </w:p>
    <w:p w:rsidR="003D6BC9" w:rsidRPr="00E05678" w:rsidRDefault="00E56B35" w:rsidP="00E05678">
      <w:pPr>
        <w:keepNext/>
        <w:spacing w:before="240" w:after="240"/>
        <w:jc w:val="center"/>
        <w:rPr>
          <w:rFonts w:cs="Times New Roman"/>
        </w:rPr>
      </w:pPr>
      <w:r w:rsidRPr="00E05678">
        <w:rPr>
          <w:rFonts w:cs="Times New Roman"/>
          <w:noProof/>
          <w:lang w:val="en-US"/>
        </w:rPr>
        <w:lastRenderedPageBreak/>
        <w:drawing>
          <wp:inline distT="0" distB="0" distL="0" distR="0">
            <wp:extent cx="5263539" cy="2505075"/>
            <wp:effectExtent l="0" t="0" r="0" b="0"/>
            <wp:docPr id="1448032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032083" name=""/>
                    <pic:cNvPicPr/>
                  </pic:nvPicPr>
                  <pic:blipFill>
                    <a:blip r:embed="rId10"/>
                    <a:stretch>
                      <a:fillRect/>
                    </a:stretch>
                  </pic:blipFill>
                  <pic:spPr>
                    <a:xfrm>
                      <a:off x="0" y="0"/>
                      <a:ext cx="5268467" cy="2507420"/>
                    </a:xfrm>
                    <a:prstGeom prst="rect">
                      <a:avLst/>
                    </a:prstGeom>
                  </pic:spPr>
                </pic:pic>
              </a:graphicData>
            </a:graphic>
          </wp:inline>
        </w:drawing>
      </w:r>
    </w:p>
    <w:p w:rsidR="003D6BC9" w:rsidRPr="00E05678" w:rsidRDefault="003D6BC9"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00812241" w:rsidRPr="00E05678">
        <w:rPr>
          <w:rFonts w:cs="Times New Roman"/>
          <w:noProof/>
        </w:rPr>
        <w:t>3</w:t>
      </w:r>
      <w:r w:rsidR="00807CD1" w:rsidRPr="00E05678">
        <w:rPr>
          <w:rFonts w:cs="Times New Roman"/>
        </w:rPr>
        <w:fldChar w:fldCharType="end"/>
      </w:r>
      <w:r w:rsidRPr="00E05678">
        <w:rPr>
          <w:rFonts w:cs="Times New Roman"/>
        </w:rPr>
        <w:t>: Frequency of Loneliness Across Age Groups in the United Kingdom</w:t>
      </w:r>
    </w:p>
    <w:p w:rsidR="003D6BC9" w:rsidRPr="00E05678" w:rsidRDefault="003D6BC9" w:rsidP="00E05678">
      <w:pPr>
        <w:spacing w:before="240" w:after="240"/>
        <w:jc w:val="center"/>
        <w:rPr>
          <w:rFonts w:cs="Times New Roman"/>
        </w:rPr>
      </w:pPr>
      <w:r w:rsidRPr="00E05678">
        <w:rPr>
          <w:rFonts w:cs="Times New Roman"/>
        </w:rPr>
        <w:t>(Source: Office for National Statistics, 2023)</w:t>
      </w:r>
    </w:p>
    <w:p w:rsidR="00B305A7" w:rsidRPr="00E05678" w:rsidRDefault="00B305A7" w:rsidP="00E05678">
      <w:pPr>
        <w:pStyle w:val="Heading4"/>
        <w:spacing w:before="240" w:after="240"/>
        <w:rPr>
          <w:rFonts w:cs="Times New Roman"/>
        </w:rPr>
      </w:pPr>
      <w:r w:rsidRPr="00E05678">
        <w:rPr>
          <w:rFonts w:cs="Times New Roman"/>
        </w:rPr>
        <w:t>2.1.3 Higher Mortality and Morbidity Rates</w:t>
      </w:r>
    </w:p>
    <w:p w:rsidR="00E35B30" w:rsidRPr="00E05678" w:rsidRDefault="00AF5D8C" w:rsidP="00E05678">
      <w:pPr>
        <w:spacing w:before="240" w:after="240"/>
        <w:rPr>
          <w:rFonts w:cs="Times New Roman"/>
        </w:rPr>
      </w:pPr>
      <w:r w:rsidRPr="00E05678">
        <w:rPr>
          <w:rFonts w:cs="Times New Roman"/>
        </w:rPr>
        <w:t>The mortality and morbidity rates between older adults are much higher, and there are obvious inequalities associated with deprivation. Statistics indicate that the healthy life expectancy of residents of the least-deprived regions is 10 years less than that of citizens of the richest ones (Office for National Statistics, 2025). This proves that there are not only differences in lifespan but also in the quality of health. Notably, most of these consequences are avoidable and associated with the disparity in healthcare provision and worse living standards.</w:t>
      </w:r>
    </w:p>
    <w:p w:rsidR="003D6BC9" w:rsidRPr="00E05678" w:rsidRDefault="008F527D" w:rsidP="00E05678">
      <w:pPr>
        <w:keepNext/>
        <w:spacing w:before="240" w:after="240"/>
        <w:rPr>
          <w:rFonts w:cs="Times New Roman"/>
        </w:rPr>
      </w:pPr>
      <w:r w:rsidRPr="00E05678">
        <w:rPr>
          <w:rFonts w:cs="Times New Roman"/>
          <w:noProof/>
          <w:lang w:val="en-US"/>
        </w:rPr>
        <w:drawing>
          <wp:inline distT="0" distB="0" distL="0" distR="0">
            <wp:extent cx="2914639" cy="2219325"/>
            <wp:effectExtent l="0" t="0" r="635" b="0"/>
            <wp:docPr id="805607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607337" name=""/>
                    <pic:cNvPicPr/>
                  </pic:nvPicPr>
                  <pic:blipFill>
                    <a:blip r:embed="rId11"/>
                    <a:stretch>
                      <a:fillRect/>
                    </a:stretch>
                  </pic:blipFill>
                  <pic:spPr>
                    <a:xfrm>
                      <a:off x="0" y="0"/>
                      <a:ext cx="2934018" cy="2234081"/>
                    </a:xfrm>
                    <a:prstGeom prst="rect">
                      <a:avLst/>
                    </a:prstGeom>
                  </pic:spPr>
                </pic:pic>
              </a:graphicData>
            </a:graphic>
          </wp:inline>
        </w:drawing>
      </w:r>
      <w:r w:rsidRPr="00E05678">
        <w:rPr>
          <w:rFonts w:cs="Times New Roman"/>
          <w:noProof/>
          <w:lang w:val="en-US"/>
        </w:rPr>
        <w:drawing>
          <wp:inline distT="0" distB="0" distL="0" distR="0">
            <wp:extent cx="2780176" cy="2190750"/>
            <wp:effectExtent l="0" t="0" r="1270" b="0"/>
            <wp:docPr id="14397106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4653"/>
                    <a:stretch>
                      <a:fillRect/>
                    </a:stretch>
                  </pic:blipFill>
                  <pic:spPr bwMode="auto">
                    <a:xfrm>
                      <a:off x="0" y="0"/>
                      <a:ext cx="2795361" cy="2202715"/>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8F527D" w:rsidRPr="00E05678" w:rsidRDefault="003D6BC9"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00812241" w:rsidRPr="00E05678">
        <w:rPr>
          <w:rFonts w:cs="Times New Roman"/>
          <w:noProof/>
        </w:rPr>
        <w:t>4</w:t>
      </w:r>
      <w:r w:rsidR="00807CD1" w:rsidRPr="00E05678">
        <w:rPr>
          <w:rFonts w:cs="Times New Roman"/>
        </w:rPr>
        <w:fldChar w:fldCharType="end"/>
      </w:r>
      <w:r w:rsidRPr="00E05678">
        <w:rPr>
          <w:rFonts w:cs="Times New Roman"/>
        </w:rPr>
        <w:t>: Life expectancy rate and women living in derived areas in the UK</w:t>
      </w:r>
    </w:p>
    <w:p w:rsidR="003D6BC9" w:rsidRPr="00E05678" w:rsidRDefault="003D6BC9" w:rsidP="00E05678">
      <w:pPr>
        <w:spacing w:before="240" w:after="240"/>
        <w:jc w:val="center"/>
        <w:rPr>
          <w:rFonts w:cs="Times New Roman"/>
        </w:rPr>
      </w:pPr>
      <w:r w:rsidRPr="00E05678">
        <w:rPr>
          <w:rFonts w:cs="Times New Roman"/>
        </w:rPr>
        <w:lastRenderedPageBreak/>
        <w:t>(Source: Centre for Ageing Better, 2025)</w:t>
      </w:r>
    </w:p>
    <w:p w:rsidR="00B305A7" w:rsidRPr="00E05678" w:rsidRDefault="00B305A7" w:rsidP="00E05678">
      <w:pPr>
        <w:pStyle w:val="Heading3"/>
        <w:spacing w:before="240" w:after="240"/>
        <w:rPr>
          <w:rFonts w:cs="Times New Roman"/>
        </w:rPr>
      </w:pPr>
      <w:bookmarkStart w:id="4" w:name="_Toc224921339"/>
      <w:r w:rsidRPr="00E05678">
        <w:rPr>
          <w:rFonts w:cs="Times New Roman"/>
        </w:rPr>
        <w:t>2.2 Social Inequalities</w:t>
      </w:r>
      <w:bookmarkEnd w:id="4"/>
    </w:p>
    <w:p w:rsidR="00B305A7" w:rsidRPr="00E05678" w:rsidRDefault="00B305A7" w:rsidP="00E05678">
      <w:pPr>
        <w:pStyle w:val="Heading4"/>
        <w:spacing w:before="240" w:after="240"/>
        <w:rPr>
          <w:rFonts w:cs="Times New Roman"/>
        </w:rPr>
      </w:pPr>
      <w:r w:rsidRPr="00E05678">
        <w:rPr>
          <w:rFonts w:cs="Times New Roman"/>
        </w:rPr>
        <w:t>2.2.1 Social Isolation and Loneliness</w:t>
      </w:r>
    </w:p>
    <w:p w:rsidR="00E56B35" w:rsidRPr="00E05678" w:rsidRDefault="00AF5D8C" w:rsidP="00E05678">
      <w:pPr>
        <w:spacing w:before="240" w:after="240"/>
        <w:rPr>
          <w:rFonts w:cs="Times New Roman"/>
        </w:rPr>
      </w:pPr>
      <w:r w:rsidRPr="00E05678">
        <w:rPr>
          <w:rFonts w:cs="Times New Roman"/>
        </w:rPr>
        <w:t>Social isolation and loneliness are major social disparities that occur among older adults and have a major implication on health outcomes. Citizens of the UK also report that about 940,000 older adults are chronically lonely, and over 270,000 of them might spend a week without any social interactions (Age UK, 2024). Though loneliness occurs across all ages, it is highly enduring within old age because of various reasons like retirement, pregnancy and loss and low mobility.</w:t>
      </w:r>
    </w:p>
    <w:p w:rsidR="00B305A7" w:rsidRPr="00E05678" w:rsidRDefault="00B305A7" w:rsidP="00E05678">
      <w:pPr>
        <w:pStyle w:val="Heading4"/>
        <w:spacing w:before="240" w:after="240"/>
        <w:rPr>
          <w:rFonts w:cs="Times New Roman"/>
        </w:rPr>
      </w:pPr>
      <w:r w:rsidRPr="00E05678">
        <w:rPr>
          <w:rFonts w:cs="Times New Roman"/>
        </w:rPr>
        <w:t>2.2.2 Poverty and Financial Insecurity</w:t>
      </w:r>
    </w:p>
    <w:p w:rsidR="00E56B35" w:rsidRPr="00E05678" w:rsidRDefault="00AF5D8C" w:rsidP="00E05678">
      <w:pPr>
        <w:spacing w:before="240" w:after="240"/>
        <w:rPr>
          <w:rFonts w:cs="Times New Roman"/>
        </w:rPr>
      </w:pPr>
      <w:r w:rsidRPr="00E05678">
        <w:rPr>
          <w:rFonts w:cs="Times New Roman"/>
        </w:rPr>
        <w:t>Poverty has been one of the major determinants of health disparity among senior citizens where a huge percentage of pensioners are poor. According to the latest estimates, more than two million of the older generation in the UK reside in relative poverty (Department for Work and Pensions, 2025). This financial insecurity restricts access to good nutritional, heating and health facilities, hence increasing health hazards.</w:t>
      </w:r>
    </w:p>
    <w:p w:rsidR="000A1E06" w:rsidRPr="00E05678" w:rsidRDefault="000A1E06" w:rsidP="00E05678">
      <w:pPr>
        <w:keepNext/>
        <w:spacing w:before="240" w:after="240"/>
        <w:jc w:val="center"/>
        <w:rPr>
          <w:rFonts w:cs="Times New Roman"/>
        </w:rPr>
      </w:pPr>
      <w:r w:rsidRPr="00E05678">
        <w:rPr>
          <w:rFonts w:cs="Times New Roman"/>
          <w:noProof/>
          <w:lang w:val="en-US"/>
        </w:rPr>
        <w:drawing>
          <wp:inline distT="0" distB="0" distL="0" distR="0">
            <wp:extent cx="4341412" cy="3137976"/>
            <wp:effectExtent l="0" t="0" r="2540" b="5715"/>
            <wp:docPr id="192282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82225" name=""/>
                    <pic:cNvPicPr/>
                  </pic:nvPicPr>
                  <pic:blipFill>
                    <a:blip r:embed="rId13"/>
                    <a:stretch>
                      <a:fillRect/>
                    </a:stretch>
                  </pic:blipFill>
                  <pic:spPr>
                    <a:xfrm>
                      <a:off x="0" y="0"/>
                      <a:ext cx="4361465" cy="3152470"/>
                    </a:xfrm>
                    <a:prstGeom prst="rect">
                      <a:avLst/>
                    </a:prstGeom>
                  </pic:spPr>
                </pic:pic>
              </a:graphicData>
            </a:graphic>
          </wp:inline>
        </w:drawing>
      </w:r>
    </w:p>
    <w:p w:rsidR="000A1E06" w:rsidRPr="00E05678" w:rsidRDefault="000A1E06"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00812241" w:rsidRPr="00E05678">
        <w:rPr>
          <w:rFonts w:cs="Times New Roman"/>
          <w:noProof/>
        </w:rPr>
        <w:t>5</w:t>
      </w:r>
      <w:r w:rsidR="00807CD1" w:rsidRPr="00E05678">
        <w:rPr>
          <w:rFonts w:cs="Times New Roman"/>
        </w:rPr>
        <w:fldChar w:fldCharType="end"/>
      </w:r>
      <w:r w:rsidRPr="00E05678">
        <w:rPr>
          <w:rFonts w:cs="Times New Roman"/>
        </w:rPr>
        <w:t>: Percentage of Pensioners in Relative Poverty by Housing Tenure in the UK (2002–2023)</w:t>
      </w:r>
    </w:p>
    <w:p w:rsidR="000A1E06" w:rsidRPr="00E05678" w:rsidRDefault="000A1E06" w:rsidP="00E05678">
      <w:pPr>
        <w:spacing w:before="240" w:after="240"/>
        <w:jc w:val="center"/>
        <w:rPr>
          <w:rFonts w:cs="Times New Roman"/>
        </w:rPr>
      </w:pPr>
      <w:r w:rsidRPr="00E05678">
        <w:rPr>
          <w:rFonts w:cs="Times New Roman"/>
        </w:rPr>
        <w:t>(Source:Centre for Ageing Better, 2025)</w:t>
      </w:r>
    </w:p>
    <w:p w:rsidR="00B305A7" w:rsidRPr="00E05678" w:rsidRDefault="00B305A7" w:rsidP="00E05678">
      <w:pPr>
        <w:pStyle w:val="Heading4"/>
        <w:spacing w:before="240" w:after="240"/>
        <w:rPr>
          <w:rFonts w:cs="Times New Roman"/>
        </w:rPr>
      </w:pPr>
      <w:r w:rsidRPr="00E05678">
        <w:rPr>
          <w:rFonts w:cs="Times New Roman"/>
        </w:rPr>
        <w:lastRenderedPageBreak/>
        <w:t>2.2.3 Housing and Living Conditions</w:t>
      </w:r>
    </w:p>
    <w:p w:rsidR="00E56B35" w:rsidRPr="00E05678" w:rsidRDefault="00AF5D8C" w:rsidP="00E05678">
      <w:pPr>
        <w:spacing w:before="240" w:after="240"/>
        <w:rPr>
          <w:rFonts w:cs="Times New Roman"/>
        </w:rPr>
      </w:pPr>
      <w:r w:rsidRPr="00E05678">
        <w:rPr>
          <w:rFonts w:cs="Times New Roman"/>
        </w:rPr>
        <w:t xml:space="preserve">The housing conditions are very important in determining the health outcomes of older adults. There are a large number of people who do not have a suitable or well-maintained accommodation, and a significant percentage of residents also stays alone, which makes them particularly vulnerable (Office for National Statistics, 2023). The inadequacy of housing conditions such as cold conditions and inaccessibility </w:t>
      </w:r>
      <w:r w:rsidR="004D7FB1" w:rsidRPr="00E05678">
        <w:rPr>
          <w:rFonts w:cs="Times New Roman"/>
        </w:rPr>
        <w:t>is</w:t>
      </w:r>
      <w:r w:rsidRPr="00E05678">
        <w:rPr>
          <w:rFonts w:cs="Times New Roman"/>
        </w:rPr>
        <w:t xml:space="preserve"> linked to high chances of disease and injury.</w:t>
      </w:r>
    </w:p>
    <w:p w:rsidR="00B305A7" w:rsidRPr="00E05678" w:rsidRDefault="00B305A7" w:rsidP="00E05678">
      <w:pPr>
        <w:pStyle w:val="Heading2"/>
        <w:spacing w:before="240" w:after="240"/>
        <w:rPr>
          <w:rFonts w:cs="Times New Roman"/>
        </w:rPr>
      </w:pPr>
      <w:bookmarkStart w:id="5" w:name="_Toc224921340"/>
      <w:r w:rsidRPr="00E05678">
        <w:rPr>
          <w:rFonts w:cs="Times New Roman"/>
        </w:rPr>
        <w:t>3. National Response to Reduce Health Inequalities</w:t>
      </w:r>
      <w:bookmarkEnd w:id="5"/>
    </w:p>
    <w:p w:rsidR="000A1E06" w:rsidRPr="00E05678" w:rsidRDefault="00AF5D8C" w:rsidP="00E05678">
      <w:pPr>
        <w:spacing w:before="240" w:after="240"/>
        <w:rPr>
          <w:rFonts w:cs="Times New Roman"/>
        </w:rPr>
      </w:pPr>
      <w:r w:rsidRPr="00E05678">
        <w:rPr>
          <w:rFonts w:cs="Times New Roman"/>
        </w:rPr>
        <w:t xml:space="preserve">NHS Long Term Plan and the Ageing Well Programme are national strategies intended to decrease the inequalities through enhancing integrated care and expanding the services available to older adults in communities. These programmes are focused on prevention and early intervention especially in chronic conditions and frailty.Nevertheless, it was indicated that the uneven distribution of services provision remains in the country, and poor access and outcomes are observed in the deprived regions (Office for Health Improvement and Disparities, 2025). It means that the national policies are still weak without specific and </w:t>
      </w:r>
      <w:r w:rsidR="004D7FB1" w:rsidRPr="00E05678">
        <w:rPr>
          <w:rFonts w:cs="Times New Roman"/>
        </w:rPr>
        <w:t>locally focused</w:t>
      </w:r>
      <w:r w:rsidRPr="00E05678">
        <w:rPr>
          <w:rFonts w:cs="Times New Roman"/>
        </w:rPr>
        <w:t xml:space="preserve"> implementation and elimination of structural inequalities</w:t>
      </w:r>
      <w:r w:rsidR="000A1E06" w:rsidRPr="00E05678">
        <w:rPr>
          <w:rFonts w:cs="Times New Roman"/>
        </w:rPr>
        <w:t>.</w:t>
      </w:r>
    </w:p>
    <w:p w:rsidR="00B305A7" w:rsidRPr="00E05678" w:rsidRDefault="00B305A7" w:rsidP="00E05678">
      <w:pPr>
        <w:pStyle w:val="Heading2"/>
        <w:spacing w:before="240" w:after="240"/>
        <w:rPr>
          <w:rFonts w:cs="Times New Roman"/>
        </w:rPr>
      </w:pPr>
      <w:bookmarkStart w:id="6" w:name="_Toc224921341"/>
      <w:r w:rsidRPr="00E05678">
        <w:rPr>
          <w:rFonts w:cs="Times New Roman"/>
        </w:rPr>
        <w:t>4. Organisations Supporting Older Adults</w:t>
      </w:r>
      <w:bookmarkEnd w:id="6"/>
    </w:p>
    <w:p w:rsidR="000A1E06" w:rsidRPr="00E05678" w:rsidRDefault="00AF5D8C" w:rsidP="00E05678">
      <w:pPr>
        <w:spacing w:before="240" w:after="240"/>
        <w:rPr>
          <w:rFonts w:cs="Times New Roman"/>
        </w:rPr>
      </w:pPr>
      <w:r w:rsidRPr="00E05678">
        <w:rPr>
          <w:rFonts w:cs="Times New Roman"/>
        </w:rPr>
        <w:t>Age UK is an essential organisation in solving inequalities through offering support services, advocacy and research targeting the older populations. The organisation provides interventions that address loneliness, poverty and access to care including both advice services and community programmes. It also generates facts that indicate inequalities, like the extent of chronic loneliness among aged persons (Age UK, 2024). Nevertheless, it is restricted in its ability to access the most vulnerable populations in an unending manner because of its dependence on charity funding and local delivery.</w:t>
      </w:r>
    </w:p>
    <w:p w:rsidR="00F6697A" w:rsidRPr="00E05678" w:rsidRDefault="00B305A7" w:rsidP="00E05678">
      <w:pPr>
        <w:pStyle w:val="Heading2"/>
        <w:spacing w:before="240" w:after="240"/>
        <w:rPr>
          <w:rFonts w:cs="Times New Roman"/>
        </w:rPr>
      </w:pPr>
      <w:bookmarkStart w:id="7" w:name="_Toc224921342"/>
      <w:r w:rsidRPr="00E05678">
        <w:rPr>
          <w:rFonts w:cs="Times New Roman"/>
        </w:rPr>
        <w:t>5. Conclusion</w:t>
      </w:r>
      <w:bookmarkEnd w:id="7"/>
    </w:p>
    <w:p w:rsidR="00215982" w:rsidRPr="00E05678" w:rsidRDefault="00AF5D8C" w:rsidP="00E05678">
      <w:pPr>
        <w:spacing w:before="240" w:after="240"/>
        <w:rPr>
          <w:rFonts w:cs="Times New Roman"/>
        </w:rPr>
      </w:pPr>
      <w:r w:rsidRPr="00E05678">
        <w:rPr>
          <w:rFonts w:cs="Times New Roman"/>
        </w:rPr>
        <w:t xml:space="preserve">Biological ageing coupled with cumulative social disadvantage is what produces age-related health inequalities in the UK. It has been proven that inequality in chronic diseases, mental disorders and mortality is directly connected with issues like poverty, isolation and housing. The support is offered by the national policies and organisations, but the fact that inequalities </w:t>
      </w:r>
      <w:r w:rsidRPr="00E05678">
        <w:rPr>
          <w:rFonts w:cs="Times New Roman"/>
        </w:rPr>
        <w:lastRenderedPageBreak/>
        <w:t>persist demonstrates that more specific, structure-oriented interventions are required to ensure fair health outcomes later in life</w:t>
      </w:r>
      <w:r w:rsidR="000429D2" w:rsidRPr="00E05678">
        <w:rPr>
          <w:rFonts w:cs="Times New Roman"/>
        </w:rPr>
        <w:t>.</w:t>
      </w:r>
      <w:r w:rsidR="00215982" w:rsidRPr="00E05678">
        <w:rPr>
          <w:rFonts w:cs="Times New Roman"/>
        </w:rPr>
        <w:br w:type="page"/>
      </w:r>
    </w:p>
    <w:p w:rsidR="000429D2" w:rsidRPr="00E05678" w:rsidRDefault="00215982" w:rsidP="00E05678">
      <w:pPr>
        <w:pStyle w:val="Heading1"/>
        <w:spacing w:before="240" w:after="240"/>
        <w:rPr>
          <w:rFonts w:cs="Times New Roman"/>
        </w:rPr>
      </w:pPr>
      <w:bookmarkStart w:id="8" w:name="_Toc224921343"/>
      <w:r w:rsidRPr="00E05678">
        <w:rPr>
          <w:rFonts w:cs="Times New Roman"/>
        </w:rPr>
        <w:lastRenderedPageBreak/>
        <w:t>Task 2: Epidemiological Analysis</w:t>
      </w:r>
      <w:bookmarkEnd w:id="8"/>
    </w:p>
    <w:p w:rsidR="00CE059A" w:rsidRPr="00E05678" w:rsidRDefault="00CE059A" w:rsidP="00E05678">
      <w:pPr>
        <w:pStyle w:val="Heading2"/>
        <w:spacing w:before="240" w:after="240"/>
        <w:rPr>
          <w:rFonts w:cs="Times New Roman"/>
        </w:rPr>
      </w:pPr>
      <w:bookmarkStart w:id="9" w:name="_Toc224921344"/>
      <w:r w:rsidRPr="00E05678">
        <w:rPr>
          <w:rFonts w:cs="Times New Roman"/>
        </w:rPr>
        <w:t>1. Introduction</w:t>
      </w:r>
      <w:bookmarkEnd w:id="9"/>
    </w:p>
    <w:p w:rsidR="00CE059A" w:rsidRPr="00E05678" w:rsidRDefault="00AF5D8C" w:rsidP="00E05678">
      <w:pPr>
        <w:spacing w:before="240" w:after="240"/>
        <w:rPr>
          <w:rFonts w:cs="Times New Roman"/>
        </w:rPr>
      </w:pPr>
      <w:r w:rsidRPr="00E05678">
        <w:rPr>
          <w:rFonts w:cs="Times New Roman"/>
        </w:rPr>
        <w:t>Dementia is a chronic neurological disorder that is marked by memory impairment, changes in behaviour and the inability to carry out normal daily activities (World Health Organisation, 2023). It is a serious social and economic problem in the society because of its rising prevalence and high social and economic burden. Worldwide, there are more than 55 million people living with dementia and in the UK this figure is over 900,000 people, and the figure is projected to increase (Alzheimer Society, 2024). It is a condition that comes with decreased autonomy, high use of health services and high caregiver burden. Dementia in Tower Hamlets, a borough with a high level of socioeconomic deprivation and ethnic diversity, also poses other problems concerning disparities in access, diagnosis and care. Thus, the report is a critical analysis of the epidemiology, determinants, public health responses and intervention strategies of dementia in Tower Hamlets</w:t>
      </w:r>
      <w:r w:rsidR="00CE059A" w:rsidRPr="00CE059A">
        <w:rPr>
          <w:rFonts w:cs="Times New Roman"/>
        </w:rPr>
        <w:t>.</w:t>
      </w:r>
    </w:p>
    <w:p w:rsidR="00812241" w:rsidRPr="00E05678" w:rsidRDefault="00812241" w:rsidP="00E05678">
      <w:pPr>
        <w:keepNext/>
        <w:spacing w:before="240" w:after="240"/>
        <w:jc w:val="center"/>
        <w:rPr>
          <w:rFonts w:cs="Times New Roman"/>
        </w:rPr>
      </w:pPr>
      <w:r w:rsidRPr="00E05678">
        <w:rPr>
          <w:rFonts w:cs="Times New Roman"/>
          <w:noProof/>
          <w:lang w:val="en-US"/>
        </w:rPr>
        <w:drawing>
          <wp:inline distT="0" distB="0" distL="0" distR="0">
            <wp:extent cx="4753288" cy="3061252"/>
            <wp:effectExtent l="0" t="0" r="0" b="6350"/>
            <wp:docPr id="973678601" name="Picture 18" descr="Leading cause of death 2023: &#10;“Bar chart to show death rates in UK for conditions causing most deaths in 2023. The order, from highest to lowest being: &#10;Dementia and Alzheimer’s disease,&#10;coronary heart disease (e.g. heart attacks),&#10;chronic lower respiratory disease, (e.g. COPD),&#10;cerebrovascular diseases (e.g. strokes, aneurysms),&#10;lung cancer.&#10;Sources: Office for National Statistics, National Records of Scotland, Northern Ireland Statistics and Research Agency”&#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3" descr="Leading cause of death 2023: &#10;“Bar chart to show death rates in UK for conditions causing most deaths in 2023. The order, from highest to lowest being: &#10;Dementia and Alzheimer’s disease,&#10;coronary heart disease (e.g. heart attacks),&#10;chronic lower respiratory disease, (e.g. COPD),&#10;cerebrovascular diseases (e.g. strokes, aneurysms),&#10;lung cancer.&#10;Sources: Office for National Statistics, National Records of Scotland, Northern Ireland Statistics and Research Agency”&#10;&#10;"/>
                    <pic:cNvPicPr>
                      <a:picLocks noChangeAspect="1" noChangeArrowheads="1"/>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4759829" cy="3065465"/>
                    </a:xfrm>
                    <a:prstGeom prst="rect">
                      <a:avLst/>
                    </a:prstGeom>
                    <a:noFill/>
                    <a:ln>
                      <a:noFill/>
                    </a:ln>
                  </pic:spPr>
                </pic:pic>
              </a:graphicData>
            </a:graphic>
          </wp:inline>
        </w:drawing>
      </w:r>
    </w:p>
    <w:p w:rsidR="00812241" w:rsidRPr="00E05678" w:rsidRDefault="00812241"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Pr="00E05678">
        <w:rPr>
          <w:rFonts w:cs="Times New Roman"/>
          <w:noProof/>
        </w:rPr>
        <w:t>6</w:t>
      </w:r>
      <w:r w:rsidR="00807CD1" w:rsidRPr="00E05678">
        <w:rPr>
          <w:rFonts w:cs="Times New Roman"/>
        </w:rPr>
        <w:fldChar w:fldCharType="end"/>
      </w:r>
      <w:r w:rsidRPr="00E05678">
        <w:rPr>
          <w:rFonts w:cs="Times New Roman"/>
        </w:rPr>
        <w:t>: Dementia as the leading cause of death in the UK</w:t>
      </w:r>
    </w:p>
    <w:p w:rsidR="00812241" w:rsidRPr="00E05678" w:rsidRDefault="00812241" w:rsidP="00E05678">
      <w:pPr>
        <w:spacing w:before="240" w:after="240"/>
        <w:jc w:val="center"/>
        <w:rPr>
          <w:rFonts w:cs="Times New Roman"/>
        </w:rPr>
      </w:pPr>
      <w:r w:rsidRPr="00E05678">
        <w:rPr>
          <w:rFonts w:cs="Times New Roman"/>
        </w:rPr>
        <w:t>(Source: Alzheimer’s Society, 2024)</w:t>
      </w:r>
    </w:p>
    <w:p w:rsidR="00DE487C" w:rsidRPr="00E05678" w:rsidRDefault="00DE487C" w:rsidP="00E05678">
      <w:pPr>
        <w:pStyle w:val="Heading2"/>
        <w:spacing w:before="240" w:after="240"/>
        <w:rPr>
          <w:rFonts w:cs="Times New Roman"/>
        </w:rPr>
      </w:pPr>
      <w:bookmarkStart w:id="10" w:name="_Toc224921345"/>
      <w:r w:rsidRPr="00E05678">
        <w:rPr>
          <w:rFonts w:cs="Times New Roman"/>
        </w:rPr>
        <w:lastRenderedPageBreak/>
        <w:t>2. Determinants and Risk Factors of Dementia</w:t>
      </w:r>
      <w:bookmarkEnd w:id="10"/>
    </w:p>
    <w:p w:rsidR="00DE487C" w:rsidRPr="00DE487C" w:rsidRDefault="00C2563A" w:rsidP="00E05678">
      <w:pPr>
        <w:spacing w:before="240" w:after="240"/>
        <w:rPr>
          <w:rFonts w:cs="Times New Roman"/>
        </w:rPr>
      </w:pPr>
      <w:r w:rsidRPr="00E05678">
        <w:rPr>
          <w:rFonts w:cs="Times New Roman"/>
        </w:rPr>
        <w:t>The relationship between dementia and the biological and social determinants is complex, thus, showing that the distribution of dementia is determined by health disparities at a larger scale. Age is the most important risk factor, but the presence of modifiable risk factors that contributed to higher risks included cardiovascular disease, diabetes, smoking and physical inactivity (World Health Organisation, 2025). Vulnerability is augmented in Tower Hamlets by high rates of deprivation and distribution of long-term conditions. Also, less education is found to be linked to decreased cognitive reserve, which makes people vulnerable to cognitive breakdown. More importantly, these patterns reveal that dementia is not just another effect of ageing but indicates cumulative disadvantage throughout the life. This implies that preventive interventions aimed at addressing risk factors that are adjustable in nature must be used in minimising the burden of disease in the future</w:t>
      </w:r>
      <w:r w:rsidR="00DE487C" w:rsidRPr="00DE487C">
        <w:rPr>
          <w:rFonts w:cs="Times New Roman"/>
        </w:rPr>
        <w:t>.</w:t>
      </w:r>
    </w:p>
    <w:p w:rsidR="00DE487C" w:rsidRPr="00E05678" w:rsidRDefault="00DE487C" w:rsidP="00E05678">
      <w:pPr>
        <w:pStyle w:val="Heading2"/>
        <w:spacing w:before="240" w:after="240"/>
        <w:rPr>
          <w:rFonts w:cs="Times New Roman"/>
        </w:rPr>
      </w:pPr>
      <w:bookmarkStart w:id="11" w:name="_Toc224921346"/>
      <w:r w:rsidRPr="00E05678">
        <w:rPr>
          <w:rFonts w:cs="Times New Roman"/>
        </w:rPr>
        <w:t>3. Epidemiological Evidence and Population at Risk in Tower Hamlets</w:t>
      </w:r>
      <w:bookmarkEnd w:id="11"/>
    </w:p>
    <w:p w:rsidR="00DE487C" w:rsidRPr="00DE487C" w:rsidRDefault="00C2563A" w:rsidP="00E05678">
      <w:pPr>
        <w:spacing w:before="240" w:after="240"/>
        <w:rPr>
          <w:rFonts w:cs="Times New Roman"/>
        </w:rPr>
      </w:pPr>
      <w:r w:rsidRPr="00E05678">
        <w:rPr>
          <w:rFonts w:cs="Times New Roman"/>
        </w:rPr>
        <w:t xml:space="preserve">Dementia epidemiological research </w:t>
      </w:r>
      <w:r w:rsidR="004D7FB1" w:rsidRPr="00E05678">
        <w:rPr>
          <w:rFonts w:cs="Times New Roman"/>
        </w:rPr>
        <w:t>reveals</w:t>
      </w:r>
      <w:r w:rsidRPr="00E05678">
        <w:rPr>
          <w:rFonts w:cs="Times New Roman"/>
        </w:rPr>
        <w:t xml:space="preserve"> that, older adults, deprived populations, and some ethnic minority groups have a higher incidence of dementia. Local health statistics in Tower Hamlets indicate that there is a possibility of underdiagnosis due to low rates of diagnosis in the area than the national averages (Gong et al., 2025). Late diagnosis is also caused by cultural stigma, language barriers and differences in health-seeking behaviour especially among minorities. In addition, the high level of such conditions like diabetes and cardiovascular disease predisposes dementia in the borough. More importantly, epidemiological research shows that the problem of inequalities in the outcomes of dementia is not only caused by biological issues but also by the existence of structural barriers in health care systems. This indicates that there should be culturally sensitive interventions to overcome these disparities</w:t>
      </w:r>
      <w:r w:rsidR="00DE487C" w:rsidRPr="00DE487C">
        <w:rPr>
          <w:rFonts w:cs="Times New Roman"/>
        </w:rPr>
        <w:t>.</w:t>
      </w:r>
    </w:p>
    <w:p w:rsidR="00DE487C" w:rsidRPr="00E05678" w:rsidRDefault="00DE487C" w:rsidP="00E05678">
      <w:pPr>
        <w:pStyle w:val="Heading2"/>
        <w:spacing w:before="240" w:after="240"/>
        <w:rPr>
          <w:rFonts w:cs="Times New Roman"/>
        </w:rPr>
      </w:pPr>
      <w:bookmarkStart w:id="12" w:name="_Toc224921347"/>
      <w:r w:rsidRPr="00E05678">
        <w:rPr>
          <w:rFonts w:cs="Times New Roman"/>
        </w:rPr>
        <w:t>4. Public Health Measures: Prevention, Protection and Promotion</w:t>
      </w:r>
      <w:bookmarkEnd w:id="12"/>
    </w:p>
    <w:p w:rsidR="00C2563A" w:rsidRPr="00E05678" w:rsidRDefault="00C2563A" w:rsidP="00E05678">
      <w:pPr>
        <w:spacing w:before="240" w:after="240"/>
        <w:rPr>
          <w:rFonts w:cs="Times New Roman"/>
        </w:rPr>
      </w:pPr>
      <w:r w:rsidRPr="00E05678">
        <w:rPr>
          <w:rFonts w:cs="Times New Roman"/>
        </w:rPr>
        <w:t xml:space="preserve">The dementia prevention, protection and promotion strategies allocate to the national strategies and pinpoint various initiatives that are locally provided to respond to dementia in Tower Hamlets. Preventive strategies are aimed at lessening the modifiable risk variables by programmes targeting bodily activity, smoking abatement and heart illness that prove significant in Tower Hamlets due to the elevated occurrence of diabetes and heart disease </w:t>
      </w:r>
      <w:r w:rsidRPr="00E05678">
        <w:rPr>
          <w:rFonts w:cs="Times New Roman"/>
        </w:rPr>
        <w:lastRenderedPageBreak/>
        <w:t>(Molnár et al., 2022). To illustrate, in the local Primary Care Networks, social prescribing can allow general practitioners to recommend patients to community-based interventions that help to enhance physical and cognitive wellbeing i.e., exercise groups and other social clubs. Nonetheless, there is an unbalanced interaction with such programmes especially among the deprived and minority groups, which are limiting their effectiveness.</w:t>
      </w:r>
    </w:p>
    <w:p w:rsidR="00DE487C" w:rsidRPr="00E05678" w:rsidRDefault="00C2563A" w:rsidP="00E05678">
      <w:pPr>
        <w:spacing w:before="240" w:after="240"/>
        <w:rPr>
          <w:rFonts w:cs="Times New Roman"/>
        </w:rPr>
      </w:pPr>
      <w:r w:rsidRPr="00E05678">
        <w:rPr>
          <w:rFonts w:cs="Times New Roman"/>
        </w:rPr>
        <w:t xml:space="preserve">The delivery of the protection measures is largely by NHS memory assessment service and early diagnosis programmes, which seek to facilitate the detection of dementia at an earlier stage and intervention. These services in Tower Hamlets are aided by multidisciplinary teams and pathways of integrated care. Nevertheless, it has been shown that the rates of diagnosing still fall short of national levels, which means that a range of obstacles, including cultural stigma and language barriers and lack of awareness options, still persist (Rassy et al., 2023). Some of the promotion strategies are dementia-friendly community initiatives and awareness campaigns, which are usually provided in collaboration with local organisations and faith groups to enhance the coverage of the diverse communities. These approaches have led to heightened </w:t>
      </w:r>
      <w:r w:rsidR="004D7FB1" w:rsidRPr="00E05678">
        <w:rPr>
          <w:rFonts w:cs="Times New Roman"/>
        </w:rPr>
        <w:t>awareness,</w:t>
      </w:r>
      <w:r w:rsidRPr="00E05678">
        <w:rPr>
          <w:rFonts w:cs="Times New Roman"/>
        </w:rPr>
        <w:t xml:space="preserve"> but the effectiveness of the method is limited by poor attendance and lack of resources. More importantly, this points out that despite its holistic nature, the 3Ps model can only be effective when it is implemented over a long time with localised measures to counter structural disparities</w:t>
      </w:r>
      <w:r w:rsidR="00DE487C" w:rsidRPr="00DE487C">
        <w:rPr>
          <w:rFonts w:cs="Times New Roman"/>
        </w:rPr>
        <w:t>.</w:t>
      </w:r>
    </w:p>
    <w:tbl>
      <w:tblPr>
        <w:tblStyle w:val="TableGrid"/>
        <w:tblW w:w="0" w:type="auto"/>
        <w:tblLook w:val="04A0"/>
      </w:tblPr>
      <w:tblGrid>
        <w:gridCol w:w="1239"/>
        <w:gridCol w:w="4053"/>
        <w:gridCol w:w="3950"/>
      </w:tblGrid>
      <w:tr w:rsidR="00D326C8" w:rsidRPr="00D326C8" w:rsidTr="00D326C8">
        <w:tc>
          <w:tcPr>
            <w:tcW w:w="0" w:type="auto"/>
            <w:hideMark/>
          </w:tcPr>
          <w:p w:rsidR="00D326C8" w:rsidRPr="00D326C8" w:rsidRDefault="00D326C8" w:rsidP="00E05678">
            <w:pPr>
              <w:spacing w:before="240" w:after="240"/>
              <w:jc w:val="left"/>
              <w:rPr>
                <w:rFonts w:cs="Times New Roman"/>
                <w:b/>
                <w:bCs/>
              </w:rPr>
            </w:pPr>
            <w:r w:rsidRPr="00D326C8">
              <w:rPr>
                <w:rFonts w:cs="Times New Roman"/>
                <w:b/>
                <w:bCs/>
              </w:rPr>
              <w:t>Approach</w:t>
            </w:r>
          </w:p>
        </w:tc>
        <w:tc>
          <w:tcPr>
            <w:tcW w:w="0" w:type="auto"/>
            <w:hideMark/>
          </w:tcPr>
          <w:p w:rsidR="00D326C8" w:rsidRPr="00D326C8" w:rsidRDefault="00D326C8" w:rsidP="00E05678">
            <w:pPr>
              <w:spacing w:before="240" w:after="240"/>
              <w:jc w:val="left"/>
              <w:rPr>
                <w:rFonts w:cs="Times New Roman"/>
                <w:b/>
                <w:bCs/>
              </w:rPr>
            </w:pPr>
            <w:r w:rsidRPr="00D326C8">
              <w:rPr>
                <w:rFonts w:cs="Times New Roman"/>
                <w:b/>
                <w:bCs/>
              </w:rPr>
              <w:t>Examples (Tower Hamlets / UK)</w:t>
            </w:r>
          </w:p>
        </w:tc>
        <w:tc>
          <w:tcPr>
            <w:tcW w:w="0" w:type="auto"/>
            <w:hideMark/>
          </w:tcPr>
          <w:p w:rsidR="00D326C8" w:rsidRPr="00D326C8" w:rsidRDefault="00D326C8" w:rsidP="00E05678">
            <w:pPr>
              <w:spacing w:before="240" w:after="240"/>
              <w:jc w:val="left"/>
              <w:rPr>
                <w:rFonts w:cs="Times New Roman"/>
                <w:b/>
                <w:bCs/>
              </w:rPr>
            </w:pPr>
            <w:r w:rsidRPr="00D326C8">
              <w:rPr>
                <w:rFonts w:cs="Times New Roman"/>
                <w:b/>
                <w:bCs/>
              </w:rPr>
              <w:t>Critical Evaluation</w:t>
            </w:r>
          </w:p>
        </w:tc>
      </w:tr>
      <w:tr w:rsidR="00D326C8" w:rsidRPr="00D326C8" w:rsidTr="00D326C8">
        <w:tc>
          <w:tcPr>
            <w:tcW w:w="0" w:type="auto"/>
            <w:hideMark/>
          </w:tcPr>
          <w:p w:rsidR="00D326C8" w:rsidRPr="00D326C8" w:rsidRDefault="00D326C8" w:rsidP="00E05678">
            <w:pPr>
              <w:spacing w:before="240" w:after="240"/>
              <w:rPr>
                <w:rFonts w:cs="Times New Roman"/>
              </w:rPr>
            </w:pPr>
            <w:r w:rsidRPr="00D326C8">
              <w:rPr>
                <w:rFonts w:cs="Times New Roman"/>
                <w:b/>
                <w:bCs/>
              </w:rPr>
              <w:t>Prevention</w:t>
            </w:r>
          </w:p>
        </w:tc>
        <w:tc>
          <w:tcPr>
            <w:tcW w:w="0" w:type="auto"/>
            <w:hideMark/>
          </w:tcPr>
          <w:p w:rsidR="00D326C8" w:rsidRPr="00D326C8" w:rsidRDefault="00D326C8" w:rsidP="00E05678">
            <w:pPr>
              <w:spacing w:before="240" w:after="240"/>
              <w:rPr>
                <w:rFonts w:cs="Times New Roman"/>
              </w:rPr>
            </w:pPr>
            <w:r w:rsidRPr="00D326C8">
              <w:rPr>
                <w:rFonts w:cs="Times New Roman"/>
              </w:rPr>
              <w:t>Social prescribing, lifestyle interventions, cardiovascular risk reduction programmes</w:t>
            </w:r>
          </w:p>
        </w:tc>
        <w:tc>
          <w:tcPr>
            <w:tcW w:w="0" w:type="auto"/>
            <w:hideMark/>
          </w:tcPr>
          <w:p w:rsidR="00D326C8" w:rsidRPr="00D326C8" w:rsidRDefault="00D326C8" w:rsidP="00E05678">
            <w:pPr>
              <w:spacing w:before="240" w:after="240"/>
              <w:rPr>
                <w:rFonts w:cs="Times New Roman"/>
              </w:rPr>
            </w:pPr>
            <w:r w:rsidRPr="00D326C8">
              <w:rPr>
                <w:rFonts w:cs="Times New Roman"/>
              </w:rPr>
              <w:t>Effective in theory, but uptake remains uneven in deprived populations</w:t>
            </w:r>
          </w:p>
        </w:tc>
      </w:tr>
      <w:tr w:rsidR="00D326C8" w:rsidRPr="00D326C8" w:rsidTr="00D326C8">
        <w:tc>
          <w:tcPr>
            <w:tcW w:w="0" w:type="auto"/>
            <w:hideMark/>
          </w:tcPr>
          <w:p w:rsidR="00D326C8" w:rsidRPr="00D326C8" w:rsidRDefault="00D326C8" w:rsidP="00E05678">
            <w:pPr>
              <w:spacing w:before="240" w:after="240"/>
              <w:rPr>
                <w:rFonts w:cs="Times New Roman"/>
              </w:rPr>
            </w:pPr>
            <w:r w:rsidRPr="00D326C8">
              <w:rPr>
                <w:rFonts w:cs="Times New Roman"/>
                <w:b/>
                <w:bCs/>
              </w:rPr>
              <w:t>Protection</w:t>
            </w:r>
          </w:p>
        </w:tc>
        <w:tc>
          <w:tcPr>
            <w:tcW w:w="0" w:type="auto"/>
            <w:hideMark/>
          </w:tcPr>
          <w:p w:rsidR="00D326C8" w:rsidRPr="00D326C8" w:rsidRDefault="00D326C8" w:rsidP="00E05678">
            <w:pPr>
              <w:spacing w:before="240" w:after="240"/>
              <w:rPr>
                <w:rFonts w:cs="Times New Roman"/>
              </w:rPr>
            </w:pPr>
            <w:r w:rsidRPr="00D326C8">
              <w:rPr>
                <w:rFonts w:cs="Times New Roman"/>
              </w:rPr>
              <w:t>NHS memory assessment services, early diagnosis initiatives, clinical management</w:t>
            </w:r>
          </w:p>
        </w:tc>
        <w:tc>
          <w:tcPr>
            <w:tcW w:w="0" w:type="auto"/>
            <w:hideMark/>
          </w:tcPr>
          <w:p w:rsidR="00D326C8" w:rsidRPr="00D326C8" w:rsidRDefault="00D326C8" w:rsidP="00E05678">
            <w:pPr>
              <w:spacing w:before="240" w:after="240"/>
              <w:rPr>
                <w:rFonts w:cs="Times New Roman"/>
              </w:rPr>
            </w:pPr>
            <w:r w:rsidRPr="00D326C8">
              <w:rPr>
                <w:rFonts w:cs="Times New Roman"/>
              </w:rPr>
              <w:t>Improves early detection, but underdiagnosis persists among minority groups</w:t>
            </w:r>
          </w:p>
        </w:tc>
      </w:tr>
      <w:tr w:rsidR="00D326C8" w:rsidRPr="00D326C8" w:rsidTr="00D326C8">
        <w:tc>
          <w:tcPr>
            <w:tcW w:w="0" w:type="auto"/>
            <w:hideMark/>
          </w:tcPr>
          <w:p w:rsidR="00D326C8" w:rsidRPr="00D326C8" w:rsidRDefault="00D326C8" w:rsidP="00E05678">
            <w:pPr>
              <w:spacing w:before="240" w:after="240"/>
              <w:rPr>
                <w:rFonts w:cs="Times New Roman"/>
              </w:rPr>
            </w:pPr>
            <w:r w:rsidRPr="00D326C8">
              <w:rPr>
                <w:rFonts w:cs="Times New Roman"/>
                <w:b/>
                <w:bCs/>
              </w:rPr>
              <w:t>Promotion</w:t>
            </w:r>
          </w:p>
        </w:tc>
        <w:tc>
          <w:tcPr>
            <w:tcW w:w="0" w:type="auto"/>
            <w:hideMark/>
          </w:tcPr>
          <w:p w:rsidR="00D326C8" w:rsidRPr="00D326C8" w:rsidRDefault="00D326C8" w:rsidP="00E05678">
            <w:pPr>
              <w:spacing w:before="240" w:after="240"/>
              <w:rPr>
                <w:rFonts w:cs="Times New Roman"/>
              </w:rPr>
            </w:pPr>
            <w:r w:rsidRPr="00D326C8">
              <w:rPr>
                <w:rFonts w:cs="Times New Roman"/>
              </w:rPr>
              <w:t>Dementia-friendly communities, awareness campaigns, community outreach</w:t>
            </w:r>
          </w:p>
        </w:tc>
        <w:tc>
          <w:tcPr>
            <w:tcW w:w="0" w:type="auto"/>
            <w:hideMark/>
          </w:tcPr>
          <w:p w:rsidR="00D326C8" w:rsidRPr="00D326C8" w:rsidRDefault="00D326C8" w:rsidP="00E05678">
            <w:pPr>
              <w:spacing w:before="240" w:after="240"/>
              <w:rPr>
                <w:rFonts w:cs="Times New Roman"/>
              </w:rPr>
            </w:pPr>
            <w:r w:rsidRPr="00D326C8">
              <w:rPr>
                <w:rFonts w:cs="Times New Roman"/>
              </w:rPr>
              <w:t>Raises awareness, but impact limited by cultural stigma and engagement barriers</w:t>
            </w:r>
          </w:p>
        </w:tc>
      </w:tr>
    </w:tbl>
    <w:p w:rsidR="00D326C8" w:rsidRPr="00E05678" w:rsidRDefault="00D326C8" w:rsidP="00E05678">
      <w:pPr>
        <w:spacing w:before="240" w:after="240"/>
        <w:rPr>
          <w:rFonts w:cs="Times New Roman"/>
        </w:rPr>
      </w:pPr>
    </w:p>
    <w:p w:rsidR="004B2064" w:rsidRPr="00E05678" w:rsidRDefault="004B2064" w:rsidP="00E05678">
      <w:pPr>
        <w:keepNext/>
        <w:spacing w:before="240" w:after="240"/>
        <w:jc w:val="center"/>
        <w:rPr>
          <w:rFonts w:cs="Times New Roman"/>
        </w:rPr>
      </w:pPr>
      <w:r w:rsidRPr="00E05678">
        <w:rPr>
          <w:rFonts w:cs="Times New Roman"/>
          <w:noProof/>
          <w:lang w:val="en-US"/>
        </w:rPr>
        <w:lastRenderedPageBreak/>
        <w:drawing>
          <wp:inline distT="0" distB="0" distL="0" distR="0">
            <wp:extent cx="3514476" cy="3181795"/>
            <wp:effectExtent l="0" t="0" r="0" b="0"/>
            <wp:docPr id="1195280562" name="Picture 17" descr="The WFPHA Global Charter for the Public's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31" descr="The WFPHA Global Charter for the Public's Health"/>
                    <pic:cNvPicPr>
                      <a:picLocks noChangeAspect="1" noChangeArrowheads="1"/>
                    </pic:cNvPicPr>
                  </pic:nvPicPr>
                  <pic:blipFill>
                    <a:blip r:embed="rId1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3518922" cy="3185821"/>
                    </a:xfrm>
                    <a:prstGeom prst="rect">
                      <a:avLst/>
                    </a:prstGeom>
                    <a:noFill/>
                    <a:ln>
                      <a:noFill/>
                    </a:ln>
                  </pic:spPr>
                </pic:pic>
              </a:graphicData>
            </a:graphic>
          </wp:inline>
        </w:drawing>
      </w:r>
    </w:p>
    <w:p w:rsidR="004B2064" w:rsidRPr="00E05678" w:rsidRDefault="004B2064" w:rsidP="00E05678">
      <w:pPr>
        <w:pStyle w:val="Caption"/>
        <w:spacing w:before="240" w:after="240" w:line="360" w:lineRule="auto"/>
        <w:jc w:val="center"/>
        <w:rPr>
          <w:rFonts w:cs="Times New Roman"/>
        </w:rPr>
      </w:pPr>
      <w:r w:rsidRPr="00E05678">
        <w:rPr>
          <w:rFonts w:cs="Times New Roman"/>
        </w:rPr>
        <w:t xml:space="preserve">Figure </w:t>
      </w:r>
      <w:r w:rsidR="00807CD1" w:rsidRPr="00E05678">
        <w:rPr>
          <w:rFonts w:cs="Times New Roman"/>
        </w:rPr>
        <w:fldChar w:fldCharType="begin"/>
      </w:r>
      <w:r w:rsidRPr="00E05678">
        <w:rPr>
          <w:rFonts w:cs="Times New Roman"/>
        </w:rPr>
        <w:instrText xml:space="preserve"> SEQ Figure \* ARABIC </w:instrText>
      </w:r>
      <w:r w:rsidR="00807CD1" w:rsidRPr="00E05678">
        <w:rPr>
          <w:rFonts w:cs="Times New Roman"/>
        </w:rPr>
        <w:fldChar w:fldCharType="separate"/>
      </w:r>
      <w:r w:rsidR="00812241" w:rsidRPr="00E05678">
        <w:rPr>
          <w:rFonts w:cs="Times New Roman"/>
          <w:noProof/>
        </w:rPr>
        <w:t>7</w:t>
      </w:r>
      <w:r w:rsidR="00807CD1" w:rsidRPr="00E05678">
        <w:rPr>
          <w:rFonts w:cs="Times New Roman"/>
        </w:rPr>
        <w:fldChar w:fldCharType="end"/>
      </w:r>
      <w:r w:rsidRPr="00E05678">
        <w:rPr>
          <w:rFonts w:cs="Times New Roman"/>
        </w:rPr>
        <w:t xml:space="preserve">: </w:t>
      </w:r>
      <w:r w:rsidRPr="00D326C8">
        <w:rPr>
          <w:rFonts w:cs="Times New Roman"/>
        </w:rPr>
        <w:t>3Ps framework</w:t>
      </w:r>
      <w:r w:rsidRPr="00E05678">
        <w:rPr>
          <w:rFonts w:cs="Times New Roman"/>
        </w:rPr>
        <w:t xml:space="preserve"> for public health measure</w:t>
      </w:r>
    </w:p>
    <w:p w:rsidR="004B2064" w:rsidRPr="00E05678" w:rsidRDefault="004B2064" w:rsidP="00E05678">
      <w:pPr>
        <w:spacing w:before="240" w:after="240"/>
        <w:jc w:val="center"/>
        <w:rPr>
          <w:rFonts w:cs="Times New Roman"/>
        </w:rPr>
      </w:pPr>
      <w:r w:rsidRPr="00E05678">
        <w:rPr>
          <w:rFonts w:cs="Times New Roman"/>
        </w:rPr>
        <w:t>(Source: WFPHA, 2023)</w:t>
      </w:r>
    </w:p>
    <w:p w:rsidR="00DE487C" w:rsidRPr="00E05678" w:rsidRDefault="00DE487C" w:rsidP="00E05678">
      <w:pPr>
        <w:pStyle w:val="Heading2"/>
        <w:spacing w:before="240" w:after="240"/>
        <w:rPr>
          <w:rFonts w:cs="Times New Roman"/>
        </w:rPr>
      </w:pPr>
      <w:bookmarkStart w:id="13" w:name="_Toc224921348"/>
      <w:r w:rsidRPr="00E05678">
        <w:rPr>
          <w:rFonts w:cs="Times New Roman"/>
        </w:rPr>
        <w:t>5. Monitoring and Surveillance Systems</w:t>
      </w:r>
      <w:bookmarkEnd w:id="13"/>
    </w:p>
    <w:p w:rsidR="00DE487C" w:rsidRPr="00DE487C" w:rsidRDefault="00C2563A" w:rsidP="00E05678">
      <w:pPr>
        <w:spacing w:before="240" w:after="240"/>
        <w:rPr>
          <w:rFonts w:cs="Times New Roman"/>
        </w:rPr>
      </w:pPr>
      <w:r w:rsidRPr="00E05678">
        <w:rPr>
          <w:rFonts w:cs="Times New Roman"/>
        </w:rPr>
        <w:t>Dementia trends can only be understood by using monitoring and surveillance systems, which are important in informing the strategies of health of the population. In the UK data is gathered by use of NHS Digital, GP dementia registers and local authority health profiles. These systems give information concerning diagnosis rates, service utilisation and population requirements in Tower Hamlets. Nonetheless, factors like underdiagnosis and not all the data is provided decrease the accuracy of the prevalence estimates (WFPHA, 2023). The populations that are marginalised are especially underrepresented, which creates the risk of misusing the resources. Importantly, although surveillance systems can facilitate evidence-based planning, the success of these systems is limited by disparities in data collection and unequal access to healthcare, and better data integration and culturally competent diagnostic services are required</w:t>
      </w:r>
      <w:r w:rsidR="00DE487C" w:rsidRPr="00DE487C">
        <w:rPr>
          <w:rFonts w:cs="Times New Roman"/>
        </w:rPr>
        <w:t>.</w:t>
      </w:r>
    </w:p>
    <w:p w:rsidR="00DE487C" w:rsidRPr="00E05678" w:rsidRDefault="00DE487C" w:rsidP="00E05678">
      <w:pPr>
        <w:pStyle w:val="Heading2"/>
        <w:spacing w:before="240" w:after="240"/>
        <w:rPr>
          <w:rFonts w:cs="Times New Roman"/>
        </w:rPr>
      </w:pPr>
      <w:bookmarkStart w:id="14" w:name="_Toc224921349"/>
      <w:r w:rsidRPr="00E05678">
        <w:rPr>
          <w:rFonts w:cs="Times New Roman"/>
        </w:rPr>
        <w:t>6. Public Health Impact</w:t>
      </w:r>
      <w:bookmarkEnd w:id="14"/>
    </w:p>
    <w:p w:rsidR="00DE487C" w:rsidRPr="00E05678" w:rsidRDefault="00D326C8" w:rsidP="00E05678">
      <w:pPr>
        <w:spacing w:before="240" w:after="240"/>
        <w:rPr>
          <w:rFonts w:cs="Times New Roman"/>
        </w:rPr>
      </w:pPr>
      <w:r w:rsidRPr="00E05678">
        <w:rPr>
          <w:rFonts w:cs="Times New Roman"/>
        </w:rPr>
        <w:t>Dementia has significant short- and long-term impacts across individual, social and healthcare dimensions</w:t>
      </w:r>
      <w:r w:rsidR="00DE487C" w:rsidRPr="00DE487C">
        <w:rPr>
          <w:rFonts w:cs="Times New Roman"/>
        </w:rPr>
        <w:t>.</w:t>
      </w:r>
    </w:p>
    <w:tbl>
      <w:tblPr>
        <w:tblStyle w:val="TableGrid"/>
        <w:tblW w:w="0" w:type="auto"/>
        <w:tblLook w:val="04A0"/>
      </w:tblPr>
      <w:tblGrid>
        <w:gridCol w:w="1705"/>
        <w:gridCol w:w="3455"/>
        <w:gridCol w:w="4082"/>
      </w:tblGrid>
      <w:tr w:rsidR="00D326C8" w:rsidRPr="00D326C8" w:rsidTr="004D7FB1">
        <w:tc>
          <w:tcPr>
            <w:tcW w:w="1705" w:type="dxa"/>
            <w:hideMark/>
          </w:tcPr>
          <w:p w:rsidR="00D326C8" w:rsidRPr="00D326C8" w:rsidRDefault="00D326C8" w:rsidP="00E05678">
            <w:pPr>
              <w:spacing w:before="240" w:after="240"/>
              <w:jc w:val="left"/>
              <w:rPr>
                <w:rFonts w:cs="Times New Roman"/>
                <w:b/>
                <w:bCs/>
              </w:rPr>
            </w:pPr>
            <w:r w:rsidRPr="00D326C8">
              <w:rPr>
                <w:rFonts w:cs="Times New Roman"/>
                <w:b/>
                <w:bCs/>
              </w:rPr>
              <w:lastRenderedPageBreak/>
              <w:t>Impact Type</w:t>
            </w:r>
          </w:p>
        </w:tc>
        <w:tc>
          <w:tcPr>
            <w:tcW w:w="3455" w:type="dxa"/>
            <w:hideMark/>
          </w:tcPr>
          <w:p w:rsidR="00D326C8" w:rsidRPr="00D326C8" w:rsidRDefault="00D326C8" w:rsidP="00E05678">
            <w:pPr>
              <w:spacing w:before="240" w:after="240"/>
              <w:jc w:val="left"/>
              <w:rPr>
                <w:rFonts w:cs="Times New Roman"/>
                <w:b/>
                <w:bCs/>
              </w:rPr>
            </w:pPr>
            <w:r w:rsidRPr="00D326C8">
              <w:rPr>
                <w:rFonts w:cs="Times New Roman"/>
                <w:b/>
                <w:bCs/>
              </w:rPr>
              <w:t>Short-term Effects</w:t>
            </w:r>
          </w:p>
        </w:tc>
        <w:tc>
          <w:tcPr>
            <w:tcW w:w="0" w:type="auto"/>
            <w:hideMark/>
          </w:tcPr>
          <w:p w:rsidR="00D326C8" w:rsidRPr="00D326C8" w:rsidRDefault="00D326C8" w:rsidP="00E05678">
            <w:pPr>
              <w:spacing w:before="240" w:after="240"/>
              <w:jc w:val="left"/>
              <w:rPr>
                <w:rFonts w:cs="Times New Roman"/>
                <w:b/>
                <w:bCs/>
              </w:rPr>
            </w:pPr>
            <w:r w:rsidRPr="00D326C8">
              <w:rPr>
                <w:rFonts w:cs="Times New Roman"/>
                <w:b/>
                <w:bCs/>
              </w:rPr>
              <w:t>Long-term Effects</w:t>
            </w:r>
          </w:p>
        </w:tc>
      </w:tr>
      <w:tr w:rsidR="00D326C8" w:rsidRPr="00D326C8" w:rsidTr="004D7FB1">
        <w:tc>
          <w:tcPr>
            <w:tcW w:w="1705" w:type="dxa"/>
            <w:hideMark/>
          </w:tcPr>
          <w:p w:rsidR="00D326C8" w:rsidRPr="00D326C8" w:rsidRDefault="00D326C8" w:rsidP="00E05678">
            <w:pPr>
              <w:spacing w:before="240" w:after="240"/>
              <w:rPr>
                <w:rFonts w:cs="Times New Roman"/>
              </w:rPr>
            </w:pPr>
            <w:r w:rsidRPr="00D326C8">
              <w:rPr>
                <w:rFonts w:cs="Times New Roman"/>
                <w:b/>
                <w:bCs/>
              </w:rPr>
              <w:t>Health</w:t>
            </w:r>
          </w:p>
        </w:tc>
        <w:tc>
          <w:tcPr>
            <w:tcW w:w="3455" w:type="dxa"/>
            <w:hideMark/>
          </w:tcPr>
          <w:p w:rsidR="00D326C8" w:rsidRPr="00D326C8" w:rsidRDefault="00D326C8" w:rsidP="00E05678">
            <w:pPr>
              <w:spacing w:before="240" w:after="240"/>
              <w:rPr>
                <w:rFonts w:cs="Times New Roman"/>
              </w:rPr>
            </w:pPr>
            <w:r w:rsidRPr="00D326C8">
              <w:rPr>
                <w:rFonts w:cs="Times New Roman"/>
              </w:rPr>
              <w:t>Cognitive decline, increased hospital admissions</w:t>
            </w:r>
          </w:p>
        </w:tc>
        <w:tc>
          <w:tcPr>
            <w:tcW w:w="0" w:type="auto"/>
            <w:hideMark/>
          </w:tcPr>
          <w:p w:rsidR="00D326C8" w:rsidRPr="00D326C8" w:rsidRDefault="00D326C8" w:rsidP="00E05678">
            <w:pPr>
              <w:spacing w:before="240" w:after="240"/>
              <w:rPr>
                <w:rFonts w:cs="Times New Roman"/>
              </w:rPr>
            </w:pPr>
            <w:r w:rsidRPr="00D326C8">
              <w:rPr>
                <w:rFonts w:cs="Times New Roman"/>
              </w:rPr>
              <w:t>Severe disability, comorbidity, increased mortality</w:t>
            </w:r>
          </w:p>
        </w:tc>
      </w:tr>
      <w:tr w:rsidR="00D326C8" w:rsidRPr="00D326C8" w:rsidTr="004D7FB1">
        <w:tc>
          <w:tcPr>
            <w:tcW w:w="1705" w:type="dxa"/>
            <w:hideMark/>
          </w:tcPr>
          <w:p w:rsidR="00D326C8" w:rsidRPr="00D326C8" w:rsidRDefault="00D326C8" w:rsidP="00E05678">
            <w:pPr>
              <w:spacing w:before="240" w:after="240"/>
              <w:rPr>
                <w:rFonts w:cs="Times New Roman"/>
              </w:rPr>
            </w:pPr>
            <w:r w:rsidRPr="00D326C8">
              <w:rPr>
                <w:rFonts w:cs="Times New Roman"/>
                <w:b/>
                <w:bCs/>
              </w:rPr>
              <w:t>Social</w:t>
            </w:r>
          </w:p>
        </w:tc>
        <w:tc>
          <w:tcPr>
            <w:tcW w:w="3455" w:type="dxa"/>
            <w:hideMark/>
          </w:tcPr>
          <w:p w:rsidR="00D326C8" w:rsidRPr="00D326C8" w:rsidRDefault="00D326C8" w:rsidP="00E05678">
            <w:pPr>
              <w:spacing w:before="240" w:after="240"/>
              <w:rPr>
                <w:rFonts w:cs="Times New Roman"/>
              </w:rPr>
            </w:pPr>
            <w:r w:rsidRPr="00D326C8">
              <w:rPr>
                <w:rFonts w:cs="Times New Roman"/>
              </w:rPr>
              <w:t>Loss of independence, social isolation</w:t>
            </w:r>
          </w:p>
        </w:tc>
        <w:tc>
          <w:tcPr>
            <w:tcW w:w="0" w:type="auto"/>
            <w:hideMark/>
          </w:tcPr>
          <w:p w:rsidR="00D326C8" w:rsidRPr="00D326C8" w:rsidRDefault="00D326C8" w:rsidP="00E05678">
            <w:pPr>
              <w:spacing w:before="240" w:after="240"/>
              <w:rPr>
                <w:rFonts w:cs="Times New Roman"/>
              </w:rPr>
            </w:pPr>
            <w:r w:rsidRPr="00D326C8">
              <w:rPr>
                <w:rFonts w:cs="Times New Roman"/>
              </w:rPr>
              <w:t>Long-term care dependency, reduced quality of life</w:t>
            </w:r>
          </w:p>
        </w:tc>
      </w:tr>
      <w:tr w:rsidR="00D326C8" w:rsidRPr="00D326C8" w:rsidTr="004D7FB1">
        <w:tc>
          <w:tcPr>
            <w:tcW w:w="1705" w:type="dxa"/>
            <w:hideMark/>
          </w:tcPr>
          <w:p w:rsidR="00D326C8" w:rsidRPr="00D326C8" w:rsidRDefault="00D326C8" w:rsidP="00E05678">
            <w:pPr>
              <w:spacing w:before="240" w:after="240"/>
              <w:rPr>
                <w:rFonts w:cs="Times New Roman"/>
              </w:rPr>
            </w:pPr>
            <w:r w:rsidRPr="00D326C8">
              <w:rPr>
                <w:rFonts w:cs="Times New Roman"/>
                <w:b/>
                <w:bCs/>
              </w:rPr>
              <w:t>Economic</w:t>
            </w:r>
          </w:p>
        </w:tc>
        <w:tc>
          <w:tcPr>
            <w:tcW w:w="3455" w:type="dxa"/>
            <w:hideMark/>
          </w:tcPr>
          <w:p w:rsidR="00D326C8" w:rsidRPr="00D326C8" w:rsidRDefault="00D326C8" w:rsidP="00E05678">
            <w:pPr>
              <w:spacing w:before="240" w:after="240"/>
              <w:rPr>
                <w:rFonts w:cs="Times New Roman"/>
              </w:rPr>
            </w:pPr>
            <w:r w:rsidRPr="00D326C8">
              <w:rPr>
                <w:rFonts w:cs="Times New Roman"/>
              </w:rPr>
              <w:t>Increased healthcare costs</w:t>
            </w:r>
          </w:p>
        </w:tc>
        <w:tc>
          <w:tcPr>
            <w:tcW w:w="0" w:type="auto"/>
            <w:hideMark/>
          </w:tcPr>
          <w:p w:rsidR="00D326C8" w:rsidRPr="00D326C8" w:rsidRDefault="00D326C8" w:rsidP="00E05678">
            <w:pPr>
              <w:spacing w:before="240" w:after="240"/>
              <w:rPr>
                <w:rFonts w:cs="Times New Roman"/>
              </w:rPr>
            </w:pPr>
            <w:r w:rsidRPr="00D326C8">
              <w:rPr>
                <w:rFonts w:cs="Times New Roman"/>
              </w:rPr>
              <w:t>Long-term financial burden on families and NHS</w:t>
            </w:r>
          </w:p>
        </w:tc>
      </w:tr>
    </w:tbl>
    <w:p w:rsidR="00C2563A" w:rsidRPr="00E05678" w:rsidRDefault="00C2563A" w:rsidP="00E05678">
      <w:pPr>
        <w:spacing w:before="240" w:after="240"/>
        <w:rPr>
          <w:rFonts w:cs="Times New Roman"/>
        </w:rPr>
      </w:pPr>
      <w:r w:rsidRPr="00E05678">
        <w:rPr>
          <w:rFonts w:cs="Times New Roman"/>
        </w:rPr>
        <w:t>Short-term effects, on the one hand, include progressive decline in cognitive abilities, exacerbated risk of hospitalisation and reduced capacity to carry out day-to-day activities, which burdens the primary and acute care sectors in the short term. In Tower Hamlets, the impact of these effects is augmented by the high deprivation levels, where help and diagnosis may not be timely (Gong et al., 2025). In the long run, dementia causes severe disability, long-term care dependency and higher mortality and this greatly burdens the social care services in demand. Caregiving that is undertaken on informal basis also imposes emotional and financial burden on the families, mostly in low-income households.</w:t>
      </w:r>
    </w:p>
    <w:p w:rsidR="00D326C8" w:rsidRPr="00DE487C" w:rsidRDefault="00C2563A" w:rsidP="00E05678">
      <w:pPr>
        <w:spacing w:before="240" w:after="240"/>
        <w:rPr>
          <w:rFonts w:cs="Times New Roman"/>
        </w:rPr>
      </w:pPr>
      <w:r w:rsidRPr="00E05678">
        <w:rPr>
          <w:rFonts w:cs="Times New Roman"/>
        </w:rPr>
        <w:t>Moreover, dementia is an issue that increases health disparities, with disadvantaged backgrounds increasing the risk of developing it at an earlier age and worse prognosis. It incurs high economic cost and as the level of long-term care and healthcare utilisation increases, the burden is exerted on the locally based NHS services. More importantly, these effects underscore the fact that dementia is not just a clinical complication, but it is a social and economic problem that needs concerted and long-term interventions in the field of public health</w:t>
      </w:r>
      <w:r w:rsidR="00D326C8" w:rsidRPr="00E05678">
        <w:rPr>
          <w:rFonts w:cs="Times New Roman"/>
        </w:rPr>
        <w:t>.</w:t>
      </w:r>
    </w:p>
    <w:p w:rsidR="00DE487C" w:rsidRPr="00E05678" w:rsidRDefault="00DE487C" w:rsidP="00E05678">
      <w:pPr>
        <w:pStyle w:val="Heading2"/>
        <w:spacing w:before="240" w:after="240"/>
        <w:rPr>
          <w:rFonts w:cs="Times New Roman"/>
        </w:rPr>
      </w:pPr>
      <w:bookmarkStart w:id="15" w:name="_Toc224921350"/>
      <w:r w:rsidRPr="00E05678">
        <w:rPr>
          <w:rFonts w:cs="Times New Roman"/>
        </w:rPr>
        <w:t xml:space="preserve">7. </w:t>
      </w:r>
      <w:r w:rsidR="004D7FB1">
        <w:rPr>
          <w:rFonts w:cs="Times New Roman"/>
        </w:rPr>
        <w:t xml:space="preserve">Health </w:t>
      </w:r>
      <w:r w:rsidRPr="00E05678">
        <w:rPr>
          <w:rFonts w:cs="Times New Roman"/>
        </w:rPr>
        <w:t>Intervention Programme</w:t>
      </w:r>
      <w:bookmarkEnd w:id="15"/>
      <w:r w:rsidR="004D7FB1">
        <w:rPr>
          <w:rFonts w:cs="Times New Roman"/>
        </w:rPr>
        <w:t xml:space="preserve"> and Impact</w:t>
      </w:r>
    </w:p>
    <w:p w:rsidR="00C2563A" w:rsidRPr="00E05678" w:rsidRDefault="00C2563A" w:rsidP="00E05678">
      <w:pPr>
        <w:spacing w:before="240" w:after="240"/>
        <w:rPr>
          <w:rFonts w:cs="Times New Roman"/>
        </w:rPr>
      </w:pPr>
      <w:r w:rsidRPr="00E05678">
        <w:rPr>
          <w:rFonts w:cs="Times New Roman"/>
        </w:rPr>
        <w:t xml:space="preserve">The best intervention programme in the Tower Hamlets is based on early diagnosis, culturally relevant care and community participation. On the basis of the current social prescribing and dementia-friendly efforts, specific outreach programmes will have to be established in cooperation with the local community and faith organisations to enhance awareness and </w:t>
      </w:r>
      <w:r w:rsidRPr="00E05678">
        <w:rPr>
          <w:rFonts w:cs="Times New Roman"/>
        </w:rPr>
        <w:lastRenderedPageBreak/>
        <w:t>lessen stigma (World Health Organisation, 2025). Besides, an increase in access to memory clinics and diagnostic services can be helpful in the early intervention.</w:t>
      </w:r>
    </w:p>
    <w:p w:rsidR="00DE487C" w:rsidRPr="00DE487C" w:rsidRDefault="00C2563A" w:rsidP="00E05678">
      <w:pPr>
        <w:spacing w:before="240" w:after="240"/>
        <w:rPr>
          <w:rFonts w:cs="Times New Roman"/>
        </w:rPr>
      </w:pPr>
      <w:r w:rsidRPr="00E05678">
        <w:rPr>
          <w:rFonts w:cs="Times New Roman"/>
        </w:rPr>
        <w:t>Increased rates of diagnosis, better patient outcomes and lower hospital admissions are some of the indicators that can be used to determine the effectiveness of such programmes. Nevertheless, obstacles such as funding issues, staffing and fluctuating population interest might limit effectiveness. Most importantly, effective interventions have to be designed locally and the evaluation should be conducted continuously to guarantee that they are effective in terms of meeting the particular needs of the citizen</w:t>
      </w:r>
      <w:r w:rsidR="00DE487C" w:rsidRPr="00DE487C">
        <w:rPr>
          <w:rFonts w:cs="Times New Roman"/>
        </w:rPr>
        <w:t>.</w:t>
      </w:r>
    </w:p>
    <w:p w:rsidR="00DE487C" w:rsidRPr="00E05678" w:rsidRDefault="00DE487C" w:rsidP="00E05678">
      <w:pPr>
        <w:pStyle w:val="Heading2"/>
        <w:spacing w:before="240" w:after="240"/>
        <w:rPr>
          <w:rFonts w:cs="Times New Roman"/>
        </w:rPr>
      </w:pPr>
      <w:bookmarkStart w:id="16" w:name="_Toc224921351"/>
      <w:r w:rsidRPr="00E05678">
        <w:rPr>
          <w:rFonts w:cs="Times New Roman"/>
        </w:rPr>
        <w:t>8. Strengths and Limitations of the Epidemiological Approach</w:t>
      </w:r>
      <w:bookmarkEnd w:id="16"/>
    </w:p>
    <w:p w:rsidR="00DE487C" w:rsidRPr="00DE487C" w:rsidRDefault="00C2563A" w:rsidP="00E05678">
      <w:pPr>
        <w:spacing w:before="240" w:after="240"/>
        <w:rPr>
          <w:rFonts w:cs="Times New Roman"/>
        </w:rPr>
      </w:pPr>
      <w:r w:rsidRPr="00E05678">
        <w:rPr>
          <w:rFonts w:cs="Times New Roman"/>
        </w:rPr>
        <w:t xml:space="preserve">Epidemiology offers a useful model of dementia distribution and can be used to inform the policy of health of the population. It allows defining those at-risk </w:t>
      </w:r>
      <w:r w:rsidR="004D7FB1" w:rsidRPr="00E05678">
        <w:rPr>
          <w:rFonts w:cs="Times New Roman"/>
        </w:rPr>
        <w:t>groups and</w:t>
      </w:r>
      <w:r w:rsidRPr="00E05678">
        <w:rPr>
          <w:rFonts w:cs="Times New Roman"/>
        </w:rPr>
        <w:t xml:space="preserve"> facilitates evidence-based intervention design. Nevertheless, there are the drawbacks associated with underdiagnosis, missing data, and possible bias especially in the heterogeneous population like Tower Hamlets. Depending on the culture of the people and their behaviour, quantitative data might not describe cultural and behavioural variables affecting access to healthcare. Most importantly, epidemiological methods need to be supplemented with a qualitative insight and knowledge in the community to offer an all-encompassing perspective of dementia and its disparities</w:t>
      </w:r>
      <w:r w:rsidR="00DE487C" w:rsidRPr="00DE487C">
        <w:rPr>
          <w:rFonts w:cs="Times New Roman"/>
        </w:rPr>
        <w:t>.</w:t>
      </w:r>
    </w:p>
    <w:p w:rsidR="00D326C8" w:rsidRPr="00E05678" w:rsidRDefault="00D326C8" w:rsidP="00E05678">
      <w:pPr>
        <w:pStyle w:val="Heading2"/>
        <w:spacing w:before="240" w:after="240"/>
        <w:rPr>
          <w:rFonts w:cs="Times New Roman"/>
        </w:rPr>
      </w:pPr>
      <w:bookmarkStart w:id="17" w:name="_Toc224921352"/>
      <w:r w:rsidRPr="00E05678">
        <w:rPr>
          <w:rFonts w:cs="Times New Roman"/>
        </w:rPr>
        <w:t>9. Conclusion</w:t>
      </w:r>
      <w:bookmarkEnd w:id="17"/>
    </w:p>
    <w:p w:rsidR="00DE487C" w:rsidRPr="00E05678" w:rsidRDefault="00C2563A" w:rsidP="00E05678">
      <w:pPr>
        <w:spacing w:before="240" w:after="240"/>
        <w:rPr>
          <w:rFonts w:cs="Times New Roman"/>
        </w:rPr>
      </w:pPr>
      <w:r w:rsidRPr="00E05678">
        <w:rPr>
          <w:rFonts w:cs="Times New Roman"/>
        </w:rPr>
        <w:t>The situation with dementia in Tower Hamlets indicates that biological ageing and social inequality interact in a complicated process that has great impacts on individuals, families and health care organisations. It is proved that the risk, diagnosis and outcomes are determined by deprivation, cultural factors and access to healthcare. Although the strategies and interventions on the part of the public health offer valuable support, the importance of the existing inequalities allows noting the necessity of the locally specific strategies. Thus, to alleviate the effect of dementia, there is a need to have integrated, evidence-based approaches to both medical and social determinants</w:t>
      </w:r>
      <w:r w:rsidR="00D326C8" w:rsidRPr="00E05678">
        <w:rPr>
          <w:rFonts w:cs="Times New Roman"/>
        </w:rPr>
        <w:t>.</w:t>
      </w:r>
      <w:r w:rsidR="00DE487C" w:rsidRPr="00E05678">
        <w:rPr>
          <w:rFonts w:cs="Times New Roman"/>
        </w:rPr>
        <w:br w:type="page"/>
      </w:r>
    </w:p>
    <w:p w:rsidR="00B305A7" w:rsidRPr="00E05678" w:rsidRDefault="00F6697A" w:rsidP="00E05678">
      <w:pPr>
        <w:pStyle w:val="Heading1"/>
        <w:spacing w:before="240" w:after="240"/>
        <w:rPr>
          <w:rFonts w:cs="Times New Roman"/>
        </w:rPr>
      </w:pPr>
      <w:bookmarkStart w:id="18" w:name="_Toc224921353"/>
      <w:r w:rsidRPr="00E05678">
        <w:rPr>
          <w:rFonts w:cs="Times New Roman"/>
        </w:rPr>
        <w:lastRenderedPageBreak/>
        <w:t>Reference List</w:t>
      </w:r>
      <w:bookmarkEnd w:id="18"/>
    </w:p>
    <w:p w:rsidR="00040425" w:rsidRPr="00E35B30" w:rsidRDefault="00040425" w:rsidP="00E05678">
      <w:pPr>
        <w:spacing w:before="240" w:after="240"/>
        <w:rPr>
          <w:rFonts w:cs="Times New Roman"/>
        </w:rPr>
      </w:pPr>
      <w:r w:rsidRPr="00560D34">
        <w:rPr>
          <w:rFonts w:cs="Times New Roman"/>
        </w:rPr>
        <w:t xml:space="preserve">Age UK (2024). </w:t>
      </w:r>
      <w:r w:rsidRPr="00560D34">
        <w:rPr>
          <w:rFonts w:cs="Times New Roman"/>
          <w:i/>
          <w:iCs/>
        </w:rPr>
        <w:t>AGE UK’S NEW REPORT SHOWS ‘YOU ARE NOT ALONE IN FEELING LONELY’</w:t>
      </w:r>
      <w:r w:rsidRPr="00560D34">
        <w:rPr>
          <w:rFonts w:cs="Times New Roman"/>
        </w:rPr>
        <w:t xml:space="preserve">. [online] Age UK. Available at: </w:t>
      </w:r>
      <w:hyperlink r:id="rId16" w:history="1">
        <w:r w:rsidRPr="00560D34">
          <w:rPr>
            <w:rStyle w:val="Hyperlink"/>
            <w:rFonts w:cs="Times New Roman"/>
          </w:rPr>
          <w:t>https://www.ageuk.org.uk/latest-press/articles/age-uks-new-report-shows-you-are-not-alone-in-feeling-lonely/</w:t>
        </w:r>
      </w:hyperlink>
    </w:p>
    <w:p w:rsidR="00040425" w:rsidRPr="00E35B30" w:rsidRDefault="00040425" w:rsidP="00E05678">
      <w:pPr>
        <w:spacing w:before="240" w:after="240"/>
        <w:rPr>
          <w:rFonts w:cs="Times New Roman"/>
        </w:rPr>
      </w:pPr>
      <w:r w:rsidRPr="00560D34">
        <w:rPr>
          <w:rFonts w:cs="Times New Roman"/>
        </w:rPr>
        <w:t xml:space="preserve">Age UK (2025). </w:t>
      </w:r>
      <w:r w:rsidRPr="00560D34">
        <w:rPr>
          <w:rFonts w:cs="Times New Roman"/>
          <w:i/>
          <w:iCs/>
        </w:rPr>
        <w:t xml:space="preserve">Age UK </w:t>
      </w:r>
      <w:r w:rsidRPr="00560D34">
        <w:rPr>
          <w:rFonts w:cs="Times New Roman"/>
        </w:rPr>
        <w:t xml:space="preserve">. [online] Age UK. Available at: </w:t>
      </w:r>
      <w:hyperlink r:id="rId17" w:history="1">
        <w:r w:rsidRPr="00560D34">
          <w:rPr>
            <w:rStyle w:val="Hyperlink"/>
            <w:rFonts w:cs="Times New Roman"/>
          </w:rPr>
          <w:t>https://www.ageuk.org.uk/discover/2025/september/state-of-health-and-care-of-older-people-in-england-2025/</w:t>
        </w:r>
      </w:hyperlink>
    </w:p>
    <w:p w:rsidR="00040425" w:rsidRPr="00E35B30" w:rsidRDefault="00040425" w:rsidP="00E05678">
      <w:pPr>
        <w:spacing w:before="240" w:after="240"/>
        <w:rPr>
          <w:rFonts w:cs="Times New Roman"/>
        </w:rPr>
      </w:pPr>
      <w:r w:rsidRPr="00E35B30">
        <w:rPr>
          <w:rFonts w:cs="Times New Roman"/>
        </w:rPr>
        <w:t xml:space="preserve">Alzheimer’s Society (2024) </w:t>
      </w:r>
      <w:r w:rsidRPr="00E35B30">
        <w:rPr>
          <w:rFonts w:cs="Times New Roman"/>
          <w:i/>
          <w:iCs/>
        </w:rPr>
        <w:t>How many people have dementia in the UK?</w:t>
      </w:r>
      <w:r w:rsidRPr="00E35B30">
        <w:rPr>
          <w:rFonts w:cs="Times New Roman"/>
        </w:rPr>
        <w:t xml:space="preserve"> Alzheimer’s Society.</w:t>
      </w:r>
      <w:hyperlink r:id="rId18" w:history="1">
        <w:r w:rsidRPr="00E05678">
          <w:rPr>
            <w:rStyle w:val="Hyperlink"/>
            <w:rFonts w:cs="Times New Roman"/>
          </w:rPr>
          <w:t>https://www.alzheimers.org.uk/blog/how-many-people-have-dementia-uk</w:t>
        </w:r>
      </w:hyperlink>
    </w:p>
    <w:p w:rsidR="00040425" w:rsidRPr="00E05678" w:rsidRDefault="00040425" w:rsidP="00E05678">
      <w:pPr>
        <w:spacing w:before="240" w:after="240"/>
        <w:rPr>
          <w:rFonts w:cs="Times New Roman"/>
        </w:rPr>
      </w:pPr>
      <w:r w:rsidRPr="000A1E06">
        <w:rPr>
          <w:rFonts w:cs="Times New Roman"/>
        </w:rPr>
        <w:t xml:space="preserve">Centre for Ageing Better. (2025). </w:t>
      </w:r>
      <w:r w:rsidRPr="000A1E06">
        <w:rPr>
          <w:rFonts w:cs="Times New Roman"/>
          <w:i/>
          <w:iCs/>
        </w:rPr>
        <w:t>Financial Security | The State of Ageing 2025</w:t>
      </w:r>
      <w:r w:rsidRPr="000A1E06">
        <w:rPr>
          <w:rFonts w:cs="Times New Roman"/>
        </w:rPr>
        <w:t xml:space="preserve">. [online] Available at: </w:t>
      </w:r>
      <w:hyperlink r:id="rId19" w:history="1">
        <w:r w:rsidRPr="000A1E06">
          <w:rPr>
            <w:rStyle w:val="Hyperlink"/>
            <w:rFonts w:cs="Times New Roman"/>
          </w:rPr>
          <w:t>https://ageing-better.org.uk/financial-security-state-ageing-2025</w:t>
        </w:r>
      </w:hyperlink>
      <w:r w:rsidRPr="000A1E06">
        <w:rPr>
          <w:rFonts w:cs="Times New Roman"/>
        </w:rPr>
        <w:t>.</w:t>
      </w:r>
    </w:p>
    <w:p w:rsidR="00040425" w:rsidRPr="00E05678" w:rsidRDefault="00040425" w:rsidP="00E05678">
      <w:pPr>
        <w:spacing w:before="240" w:after="240"/>
        <w:rPr>
          <w:rFonts w:cs="Times New Roman"/>
        </w:rPr>
      </w:pPr>
      <w:r w:rsidRPr="007103A4">
        <w:rPr>
          <w:rFonts w:cs="Times New Roman"/>
        </w:rPr>
        <w:t xml:space="preserve">Centre for Ageing Better. (2025). </w:t>
      </w:r>
      <w:r w:rsidRPr="007103A4">
        <w:rPr>
          <w:rFonts w:cs="Times New Roman"/>
          <w:i/>
          <w:iCs/>
        </w:rPr>
        <w:t>Health and wellbeing | The State of Ageing 2025</w:t>
      </w:r>
      <w:r w:rsidRPr="007103A4">
        <w:rPr>
          <w:rFonts w:cs="Times New Roman"/>
        </w:rPr>
        <w:t xml:space="preserve">. [online] Available at: </w:t>
      </w:r>
      <w:hyperlink r:id="rId20" w:history="1">
        <w:r w:rsidRPr="007103A4">
          <w:rPr>
            <w:rStyle w:val="Hyperlink"/>
            <w:rFonts w:cs="Times New Roman"/>
          </w:rPr>
          <w:t>https://ageing-better.org.uk/health-and-wellbeing-state-ageing-2025</w:t>
        </w:r>
      </w:hyperlink>
      <w:r w:rsidRPr="007103A4">
        <w:rPr>
          <w:rFonts w:cs="Times New Roman"/>
        </w:rPr>
        <w:t>.</w:t>
      </w:r>
    </w:p>
    <w:p w:rsidR="00040425" w:rsidRPr="00E35B30" w:rsidRDefault="00040425" w:rsidP="00E05678">
      <w:pPr>
        <w:spacing w:before="240" w:after="240"/>
        <w:rPr>
          <w:rFonts w:cs="Times New Roman"/>
        </w:rPr>
      </w:pPr>
      <w:r w:rsidRPr="00E35B30">
        <w:rPr>
          <w:rFonts w:cs="Times New Roman"/>
        </w:rPr>
        <w:t xml:space="preserve">Department for Work and Pensions (2025) </w:t>
      </w:r>
      <w:r w:rsidRPr="00E35B30">
        <w:rPr>
          <w:rFonts w:cs="Times New Roman"/>
          <w:i/>
          <w:iCs/>
        </w:rPr>
        <w:t>Households below average income: for financial years ending 1995 to 2024</w:t>
      </w:r>
      <w:r w:rsidRPr="00E35B30">
        <w:rPr>
          <w:rFonts w:cs="Times New Roman"/>
        </w:rPr>
        <w:t>. London: Department for Work and Pensions.</w:t>
      </w:r>
      <w:hyperlink r:id="rId21" w:history="1">
        <w:r w:rsidRPr="00E05678">
          <w:rPr>
            <w:rStyle w:val="Hyperlink"/>
            <w:rFonts w:cs="Times New Roman"/>
          </w:rPr>
          <w:t>https://www.gov.uk/government/statistics/announcements/households-below-average-income-for-financial-years-ending-1995-to-2024</w:t>
        </w:r>
      </w:hyperlink>
    </w:p>
    <w:p w:rsidR="00040425" w:rsidRPr="00E05678" w:rsidRDefault="00040425" w:rsidP="00E05678">
      <w:pPr>
        <w:spacing w:before="240" w:after="240"/>
        <w:rPr>
          <w:rFonts w:cs="Times New Roman"/>
        </w:rPr>
      </w:pPr>
      <w:r w:rsidRPr="00E05678">
        <w:rPr>
          <w:rFonts w:cs="Times New Roman"/>
        </w:rPr>
        <w:t xml:space="preserve">Gong, L., Best, K., Jordão, M., Hawkins, R. and Clegg, A., (2025). P59 Disparities in dementia diagnosis rates in ethnic groups: analysis of primary care data in Bradford, UK. </w:t>
      </w:r>
      <w:hyperlink r:id="rId22" w:history="1">
        <w:r w:rsidRPr="00E05678">
          <w:rPr>
            <w:rStyle w:val="Hyperlink"/>
            <w:rFonts w:cs="Times New Roman"/>
          </w:rPr>
          <w:t>https://jech.bmj.com/content/jech/79/Suppl_1/A66.2.full.pdf</w:t>
        </w:r>
      </w:hyperlink>
    </w:p>
    <w:p w:rsidR="00040425" w:rsidRPr="00E05678" w:rsidRDefault="00040425" w:rsidP="00E05678">
      <w:pPr>
        <w:spacing w:before="240" w:after="240"/>
        <w:rPr>
          <w:rFonts w:cs="Times New Roman"/>
        </w:rPr>
      </w:pPr>
      <w:r w:rsidRPr="006560F9">
        <w:rPr>
          <w:rFonts w:cs="Times New Roman"/>
        </w:rPr>
        <w:t xml:space="preserve">MacRae, C., Mercer, S.W., Henderson, D., McMinn, M., Morales, D.R., Jefferson, E., Lyons, R.A., Lyons, J., Dibben, C., McAllister, D.A. and Guthrie, B. (2022). Age, sex, and socioeconomic differences in multimorbidity measured in four ways: UK primary care cross-sectional analysis. </w:t>
      </w:r>
      <w:r w:rsidRPr="006560F9">
        <w:rPr>
          <w:rFonts w:cs="Times New Roman"/>
          <w:i/>
          <w:iCs/>
        </w:rPr>
        <w:t>British Journal of General Practice</w:t>
      </w:r>
      <w:r w:rsidRPr="006560F9">
        <w:rPr>
          <w:rFonts w:cs="Times New Roman"/>
        </w:rPr>
        <w:t>, p.BJGP.2022.0405. doi:</w:t>
      </w:r>
      <w:hyperlink r:id="rId23" w:history="1">
        <w:r w:rsidRPr="006560F9">
          <w:rPr>
            <w:rStyle w:val="Hyperlink"/>
            <w:rFonts w:cs="Times New Roman"/>
          </w:rPr>
          <w:t>https://doi.org/10.3399/bjgp.2022.0405</w:t>
        </w:r>
      </w:hyperlink>
    </w:p>
    <w:p w:rsidR="00040425" w:rsidRPr="00E35B30" w:rsidRDefault="00040425" w:rsidP="00E05678">
      <w:pPr>
        <w:spacing w:before="240" w:after="240"/>
        <w:rPr>
          <w:rFonts w:cs="Times New Roman"/>
        </w:rPr>
      </w:pPr>
      <w:r w:rsidRPr="00E35B30">
        <w:rPr>
          <w:rFonts w:cs="Times New Roman"/>
        </w:rPr>
        <w:t xml:space="preserve">Ministry of Housing, Communities and Local Government (2025) </w:t>
      </w:r>
      <w:r w:rsidRPr="00E35B30">
        <w:rPr>
          <w:rFonts w:cs="Times New Roman"/>
          <w:i/>
          <w:iCs/>
        </w:rPr>
        <w:t>English Housing Survey 2023 to 2024: drivers and impacts of housing quality</w:t>
      </w:r>
      <w:r w:rsidRPr="00E35B30">
        <w:rPr>
          <w:rFonts w:cs="Times New Roman"/>
        </w:rPr>
        <w:t>. London: GOV.UK.</w:t>
      </w:r>
      <w:hyperlink r:id="rId24" w:history="1">
        <w:r w:rsidRPr="00E05678">
          <w:rPr>
            <w:rStyle w:val="Hyperlink"/>
            <w:rFonts w:cs="Times New Roman"/>
          </w:rPr>
          <w:t>https://www.gov.uk/government/statistics/english-housing-survey-2023-to-2024-</w:t>
        </w:r>
        <w:r w:rsidRPr="00E05678">
          <w:rPr>
            <w:rStyle w:val="Hyperlink"/>
            <w:rFonts w:cs="Times New Roman"/>
          </w:rPr>
          <w:lastRenderedPageBreak/>
          <w:t>drivers-and-impacts-of-housing-quality/english-housing-survey-2023-to-2024-drivers-and-impacts-of-housing-quality</w:t>
        </w:r>
      </w:hyperlink>
    </w:p>
    <w:p w:rsidR="00040425" w:rsidRPr="00E05678" w:rsidRDefault="00040425" w:rsidP="00E05678">
      <w:pPr>
        <w:spacing w:before="240" w:after="240"/>
        <w:rPr>
          <w:rFonts w:cs="Times New Roman"/>
        </w:rPr>
      </w:pPr>
      <w:r w:rsidRPr="00E05678">
        <w:rPr>
          <w:rFonts w:cs="Times New Roman"/>
        </w:rPr>
        <w:t xml:space="preserve">Molnár, O., Hoberg, E., Trivellone, V., Földvári, G. and Brooks, D.R., (2022). The 3P Framework: A Comprehensive Approach to Coping with the Emerging Infectious Disease Crisis. </w:t>
      </w:r>
      <w:hyperlink r:id="rId25" w:history="1">
        <w:r w:rsidRPr="00E05678">
          <w:rPr>
            <w:rStyle w:val="Hyperlink"/>
            <w:rFonts w:cs="Times New Roman"/>
          </w:rPr>
          <w:t>https://digitalcommons.unl.edu/cgi/viewcontent.cgi?article=1022&amp;context=manter</w:t>
        </w:r>
      </w:hyperlink>
    </w:p>
    <w:p w:rsidR="00040425" w:rsidRPr="00E35B30" w:rsidRDefault="00040425" w:rsidP="00E05678">
      <w:pPr>
        <w:spacing w:before="240" w:after="240"/>
        <w:rPr>
          <w:rFonts w:cs="Times New Roman"/>
        </w:rPr>
      </w:pPr>
      <w:r w:rsidRPr="00E35B30">
        <w:rPr>
          <w:rFonts w:cs="Times New Roman"/>
        </w:rPr>
        <w:t xml:space="preserve">NHS England (2025) </w:t>
      </w:r>
      <w:r w:rsidRPr="00E35B30">
        <w:rPr>
          <w:rFonts w:cs="Times New Roman"/>
          <w:i/>
          <w:iCs/>
        </w:rPr>
        <w:t>Improving care for older people</w:t>
      </w:r>
      <w:r w:rsidRPr="00E35B30">
        <w:rPr>
          <w:rFonts w:cs="Times New Roman"/>
        </w:rPr>
        <w:t>. NHS England.</w:t>
      </w:r>
      <w:hyperlink r:id="rId26" w:history="1">
        <w:r w:rsidRPr="00E05678">
          <w:rPr>
            <w:rStyle w:val="Hyperlink"/>
            <w:rFonts w:cs="Times New Roman"/>
          </w:rPr>
          <w:t>https://www.england.nhs.uk/ourwork/clinical-policy/older-people/improving-care-for-older-people/</w:t>
        </w:r>
      </w:hyperlink>
    </w:p>
    <w:p w:rsidR="00040425" w:rsidRPr="00E35B30" w:rsidRDefault="00040425" w:rsidP="00E05678">
      <w:pPr>
        <w:spacing w:before="240" w:after="240"/>
        <w:rPr>
          <w:rFonts w:cs="Times New Roman"/>
        </w:rPr>
      </w:pPr>
      <w:r w:rsidRPr="00E35B30">
        <w:rPr>
          <w:rFonts w:cs="Times New Roman"/>
        </w:rPr>
        <w:t xml:space="preserve">NHS England (2025) </w:t>
      </w:r>
      <w:r w:rsidRPr="00E35B30">
        <w:rPr>
          <w:rFonts w:cs="Times New Roman"/>
          <w:i/>
          <w:iCs/>
        </w:rPr>
        <w:t>Older people</w:t>
      </w:r>
      <w:r w:rsidRPr="00E35B30">
        <w:rPr>
          <w:rFonts w:cs="Times New Roman"/>
        </w:rPr>
        <w:t>. NHS England.</w:t>
      </w:r>
      <w:hyperlink r:id="rId27" w:history="1">
        <w:r w:rsidRPr="00E05678">
          <w:rPr>
            <w:rStyle w:val="Hyperlink"/>
            <w:rFonts w:cs="Times New Roman"/>
          </w:rPr>
          <w:t>https://www.england.nhs.uk/ourwork/clinical-policy/older-people/</w:t>
        </w:r>
      </w:hyperlink>
    </w:p>
    <w:p w:rsidR="00040425" w:rsidRPr="00E35B30" w:rsidRDefault="00040425" w:rsidP="00E05678">
      <w:pPr>
        <w:spacing w:before="240" w:after="240"/>
        <w:rPr>
          <w:rFonts w:cs="Times New Roman"/>
        </w:rPr>
      </w:pPr>
      <w:r w:rsidRPr="00E35B30">
        <w:rPr>
          <w:rFonts w:cs="Times New Roman"/>
        </w:rPr>
        <w:t xml:space="preserve">Office for Health Improvement and Disparities (2025) </w:t>
      </w:r>
      <w:r w:rsidRPr="00E35B30">
        <w:rPr>
          <w:rFonts w:cs="Times New Roman"/>
          <w:i/>
          <w:iCs/>
        </w:rPr>
        <w:t>Dementia profile: prevalence and supporting well topics statistical commentary, March 2025</w:t>
      </w:r>
      <w:r w:rsidRPr="00E35B30">
        <w:rPr>
          <w:rFonts w:cs="Times New Roman"/>
        </w:rPr>
        <w:t>. London: GOV.UK.</w:t>
      </w:r>
      <w:hyperlink r:id="rId28" w:history="1">
        <w:r w:rsidRPr="00E05678">
          <w:rPr>
            <w:rStyle w:val="Hyperlink"/>
            <w:rFonts w:cs="Times New Roman"/>
          </w:rPr>
          <w:t>https://www.gov.uk/government/statistics/dementia-profile-march-2025-update/dementia-profile-prevalence-and-supporting-well-topics-statistical-commentary-march-2025</w:t>
        </w:r>
      </w:hyperlink>
    </w:p>
    <w:p w:rsidR="00040425" w:rsidRPr="00E35B30" w:rsidRDefault="00040425" w:rsidP="00E05678">
      <w:pPr>
        <w:spacing w:before="240" w:after="240"/>
        <w:rPr>
          <w:rFonts w:cs="Times New Roman"/>
        </w:rPr>
      </w:pPr>
      <w:r w:rsidRPr="00E35B30">
        <w:rPr>
          <w:rFonts w:cs="Times New Roman"/>
        </w:rPr>
        <w:t xml:space="preserve">Office for National Statistics </w:t>
      </w:r>
      <w:r w:rsidRPr="00E05678">
        <w:rPr>
          <w:rFonts w:cs="Times New Roman"/>
          <w:sz w:val="22"/>
        </w:rPr>
        <w:t xml:space="preserve">(2023). </w:t>
      </w:r>
      <w:r w:rsidRPr="00E05678">
        <w:rPr>
          <w:rFonts w:cs="Times New Roman"/>
          <w:i/>
          <w:iCs/>
          <w:sz w:val="22"/>
        </w:rPr>
        <w:t>Profile of the older population living in England and Wales in 2021 and changes since 2011</w:t>
      </w:r>
      <w:r w:rsidRPr="00E05678">
        <w:rPr>
          <w:rFonts w:cs="Times New Roman"/>
          <w:sz w:val="22"/>
        </w:rPr>
        <w:t xml:space="preserve">. [online] www.ons.gov.uk. Available at: </w:t>
      </w:r>
      <w:hyperlink r:id="rId29" w:history="1">
        <w:r w:rsidRPr="00E05678">
          <w:rPr>
            <w:rStyle w:val="Hyperlink"/>
            <w:rFonts w:cs="Times New Roman"/>
          </w:rPr>
          <w:t>https://www.ons.gov.uk/peoplepopulationandcommunity/birthsdeathsandmarriages/ageing/articles/profileoftheolderpopulationlivinginenglandandwalesin2021andchangessince2011/2023-04-03</w:t>
        </w:r>
      </w:hyperlink>
      <w:r w:rsidRPr="00E05678">
        <w:rPr>
          <w:rFonts w:cs="Times New Roman"/>
          <w:sz w:val="22"/>
        </w:rPr>
        <w:t>.</w:t>
      </w:r>
    </w:p>
    <w:p w:rsidR="00040425" w:rsidRPr="00E35B30" w:rsidRDefault="00040425" w:rsidP="00E05678">
      <w:pPr>
        <w:spacing w:before="240" w:after="240"/>
        <w:rPr>
          <w:rFonts w:cs="Times New Roman"/>
        </w:rPr>
      </w:pPr>
      <w:r w:rsidRPr="00E35B30">
        <w:rPr>
          <w:rFonts w:cs="Times New Roman"/>
        </w:rPr>
        <w:t xml:space="preserve">Office for National Statistics (2025) </w:t>
      </w:r>
      <w:r w:rsidRPr="00E35B30">
        <w:rPr>
          <w:rFonts w:cs="Times New Roman"/>
          <w:i/>
          <w:iCs/>
        </w:rPr>
        <w:t>Deaths registered in England and Wales: 2024</w:t>
      </w:r>
      <w:r w:rsidRPr="00E35B30">
        <w:rPr>
          <w:rFonts w:cs="Times New Roman"/>
        </w:rPr>
        <w:t>. Newport: ONS.</w:t>
      </w:r>
      <w:hyperlink r:id="rId30" w:history="1">
        <w:r w:rsidRPr="00E05678">
          <w:rPr>
            <w:rStyle w:val="Hyperlink"/>
            <w:rFonts w:cs="Times New Roman"/>
          </w:rPr>
          <w:t>https://www.ons.gov.uk/peoplepopulationandcommunity/birthsdeathsandmarriages/deaths/bulletins/deathsregistrationsummarytables/2024</w:t>
        </w:r>
      </w:hyperlink>
    </w:p>
    <w:p w:rsidR="00040425" w:rsidRPr="00E35B30" w:rsidRDefault="00040425" w:rsidP="00E05678">
      <w:pPr>
        <w:spacing w:before="240" w:after="240"/>
        <w:rPr>
          <w:rFonts w:cs="Times New Roman"/>
        </w:rPr>
      </w:pPr>
      <w:r w:rsidRPr="00E35B30">
        <w:rPr>
          <w:rFonts w:cs="Times New Roman"/>
        </w:rPr>
        <w:t xml:space="preserve">Office for National Statistics (2025) </w:t>
      </w:r>
      <w:r w:rsidRPr="00E35B30">
        <w:rPr>
          <w:rFonts w:cs="Times New Roman"/>
          <w:i/>
          <w:iCs/>
        </w:rPr>
        <w:t>Healthy life expectancy by national area deprivation, England, time series</w:t>
      </w:r>
      <w:r w:rsidRPr="00E35B30">
        <w:rPr>
          <w:rFonts w:cs="Times New Roman"/>
        </w:rPr>
        <w:t>. Newport: ONS.</w:t>
      </w:r>
      <w:hyperlink r:id="rId31" w:history="1">
        <w:r w:rsidRPr="00E05678">
          <w:rPr>
            <w:rStyle w:val="Hyperlink"/>
            <w:rFonts w:cs="Times New Roman"/>
          </w:rPr>
          <w:t>https://www.ons.gov.uk/peoplepopulationandcommunity/healthandsocialcare/healthinequalities/bulletins/healthylifeexpectancybynationalareadeprivationenglandandwales/between2013to2015and2020to2022</w:t>
        </w:r>
      </w:hyperlink>
    </w:p>
    <w:p w:rsidR="00040425" w:rsidRPr="00E05678" w:rsidRDefault="00040425" w:rsidP="00E05678">
      <w:pPr>
        <w:spacing w:before="240" w:after="240"/>
        <w:rPr>
          <w:rFonts w:cs="Times New Roman"/>
        </w:rPr>
      </w:pPr>
      <w:r w:rsidRPr="00E05678">
        <w:rPr>
          <w:rFonts w:cs="Times New Roman"/>
        </w:rPr>
        <w:lastRenderedPageBreak/>
        <w:t>Rassy, N., Van Straaten, A., Carette, C., Hamer, M., Rives-Lange, C. and Czernichow, S., (2023). Association of healthy lifestyle factors and obesity-related diseases in adults in the UK. </w:t>
      </w:r>
      <w:r w:rsidRPr="00E05678">
        <w:rPr>
          <w:rFonts w:cs="Times New Roman"/>
          <w:i/>
          <w:iCs/>
        </w:rPr>
        <w:t>JAMA network open</w:t>
      </w:r>
      <w:r w:rsidRPr="00E05678">
        <w:rPr>
          <w:rFonts w:cs="Times New Roman"/>
        </w:rPr>
        <w:t>, </w:t>
      </w:r>
      <w:r w:rsidRPr="00E05678">
        <w:rPr>
          <w:rFonts w:cs="Times New Roman"/>
          <w:i/>
          <w:iCs/>
        </w:rPr>
        <w:t>6</w:t>
      </w:r>
      <w:r w:rsidRPr="00E05678">
        <w:rPr>
          <w:rFonts w:cs="Times New Roman"/>
        </w:rPr>
        <w:t xml:space="preserve">(5), p.e2314741. </w:t>
      </w:r>
      <w:hyperlink r:id="rId32" w:history="1">
        <w:r w:rsidRPr="00E05678">
          <w:rPr>
            <w:rStyle w:val="Hyperlink"/>
            <w:rFonts w:cs="Times New Roman"/>
          </w:rPr>
          <w:t>https://jamanetwork.com/journals/jamanetworkopen/articlepdf/2805328/rassy_2023_oi_230451_1684340601.25814.pdf</w:t>
        </w:r>
      </w:hyperlink>
    </w:p>
    <w:p w:rsidR="00040425" w:rsidRPr="00E05678" w:rsidRDefault="00040425" w:rsidP="00E05678">
      <w:pPr>
        <w:spacing w:before="240" w:after="240"/>
        <w:rPr>
          <w:rFonts w:cs="Times New Roman"/>
        </w:rPr>
      </w:pPr>
      <w:r w:rsidRPr="00E05678">
        <w:rPr>
          <w:rFonts w:cs="Times New Roman"/>
          <w:lang w:val="it-IT"/>
        </w:rPr>
        <w:t xml:space="preserve">Wang, J., Wang, C., Li, X., Guo, J., Dove, A., Cui, Z. and Xu, W., (2023). </w:t>
      </w:r>
      <w:r w:rsidRPr="00E05678">
        <w:rPr>
          <w:rFonts w:cs="Times New Roman"/>
        </w:rPr>
        <w:t>Association of anemia with cognitive function and dementia among older adults: the role of inflammation. </w:t>
      </w:r>
      <w:r w:rsidRPr="00E05678">
        <w:rPr>
          <w:rFonts w:cs="Times New Roman"/>
          <w:i/>
          <w:iCs/>
        </w:rPr>
        <w:t>Journal of Alzheimer’s Disease</w:t>
      </w:r>
      <w:r w:rsidRPr="00E05678">
        <w:rPr>
          <w:rFonts w:cs="Times New Roman"/>
        </w:rPr>
        <w:t>, </w:t>
      </w:r>
      <w:r w:rsidRPr="00E05678">
        <w:rPr>
          <w:rFonts w:cs="Times New Roman"/>
          <w:i/>
          <w:iCs/>
        </w:rPr>
        <w:t>96</w:t>
      </w:r>
      <w:r w:rsidRPr="00E05678">
        <w:rPr>
          <w:rFonts w:cs="Times New Roman"/>
        </w:rPr>
        <w:t xml:space="preserve">(1), pp.125-134. </w:t>
      </w:r>
      <w:hyperlink r:id="rId33" w:history="1">
        <w:r w:rsidRPr="00E05678">
          <w:rPr>
            <w:rStyle w:val="Hyperlink"/>
            <w:rFonts w:cs="Times New Roman"/>
          </w:rPr>
          <w:t>https://journals.sagepub.com/doi/pdf/10.3233/JAD-230483</w:t>
        </w:r>
      </w:hyperlink>
    </w:p>
    <w:p w:rsidR="00040425" w:rsidRPr="00E05678" w:rsidRDefault="00040425" w:rsidP="00E05678">
      <w:pPr>
        <w:spacing w:before="240" w:after="240"/>
        <w:rPr>
          <w:rFonts w:cs="Times New Roman"/>
        </w:rPr>
      </w:pPr>
      <w:r w:rsidRPr="00E05678">
        <w:rPr>
          <w:rFonts w:cs="Times New Roman"/>
        </w:rPr>
        <w:t>Watkinson, R.E., Sutton, M. and Turner, A.J., (2021). Ethnic inequalities in health-related quality of life among older adults in England: secondary analysis of a national cross-sectional survey. </w:t>
      </w:r>
      <w:r w:rsidRPr="00E05678">
        <w:rPr>
          <w:rFonts w:cs="Times New Roman"/>
          <w:i/>
          <w:iCs/>
        </w:rPr>
        <w:t>The Lancet Public Health</w:t>
      </w:r>
      <w:r w:rsidRPr="00E05678">
        <w:rPr>
          <w:rFonts w:cs="Times New Roman"/>
        </w:rPr>
        <w:t>, </w:t>
      </w:r>
      <w:r w:rsidRPr="00E05678">
        <w:rPr>
          <w:rFonts w:cs="Times New Roman"/>
          <w:i/>
          <w:iCs/>
        </w:rPr>
        <w:t>6</w:t>
      </w:r>
      <w:r w:rsidRPr="00E05678">
        <w:rPr>
          <w:rFonts w:cs="Times New Roman"/>
        </w:rPr>
        <w:t xml:space="preserve">(3), pp.e145-e154. </w:t>
      </w:r>
      <w:hyperlink r:id="rId34" w:history="1">
        <w:r w:rsidRPr="00E05678">
          <w:rPr>
            <w:rStyle w:val="Hyperlink"/>
            <w:rFonts w:cs="Times New Roman"/>
          </w:rPr>
          <w:t>https://www.thelancet.com/pdfs/journals/lanpub/PIIS2468-2667(20)30287-5.pdf</w:t>
        </w:r>
      </w:hyperlink>
    </w:p>
    <w:p w:rsidR="00040425" w:rsidRPr="00E05678" w:rsidRDefault="00040425" w:rsidP="00E05678">
      <w:pPr>
        <w:spacing w:before="240" w:after="240"/>
        <w:rPr>
          <w:rFonts w:cs="Times New Roman"/>
        </w:rPr>
      </w:pPr>
      <w:r w:rsidRPr="004B2064">
        <w:rPr>
          <w:rFonts w:cs="Times New Roman"/>
        </w:rPr>
        <w:t xml:space="preserve">WFPHA (2023). </w:t>
      </w:r>
      <w:r w:rsidRPr="004B2064">
        <w:rPr>
          <w:rFonts w:cs="Times New Roman"/>
          <w:i/>
          <w:iCs/>
        </w:rPr>
        <w:t>The Global Charter for the Public’s Health | WFPHA</w:t>
      </w:r>
      <w:r w:rsidRPr="004B2064">
        <w:rPr>
          <w:rFonts w:cs="Times New Roman"/>
        </w:rPr>
        <w:t xml:space="preserve">. [online] Available at: </w:t>
      </w:r>
      <w:hyperlink r:id="rId35" w:history="1">
        <w:r w:rsidRPr="004B2064">
          <w:rPr>
            <w:rStyle w:val="Hyperlink"/>
            <w:rFonts w:cs="Times New Roman"/>
          </w:rPr>
          <w:t>https://www.wfpha.org/the-global-charter-for-the-publics-health/</w:t>
        </w:r>
      </w:hyperlink>
      <w:r w:rsidRPr="004B2064">
        <w:rPr>
          <w:rFonts w:cs="Times New Roman"/>
        </w:rPr>
        <w:t>.</w:t>
      </w:r>
    </w:p>
    <w:p w:rsidR="00040425" w:rsidRPr="00E05678" w:rsidRDefault="00040425" w:rsidP="00E05678">
      <w:pPr>
        <w:spacing w:before="240" w:after="240"/>
        <w:rPr>
          <w:rFonts w:cs="Times New Roman"/>
        </w:rPr>
      </w:pPr>
      <w:r w:rsidRPr="00BB2849">
        <w:rPr>
          <w:rFonts w:cs="Times New Roman"/>
        </w:rPr>
        <w:t xml:space="preserve">World Health Organization (2025b). </w:t>
      </w:r>
      <w:r w:rsidRPr="00BB2849">
        <w:rPr>
          <w:rFonts w:cs="Times New Roman"/>
          <w:i/>
          <w:iCs/>
        </w:rPr>
        <w:t>Dementia</w:t>
      </w:r>
      <w:r w:rsidRPr="00BB2849">
        <w:rPr>
          <w:rFonts w:cs="Times New Roman"/>
        </w:rPr>
        <w:t xml:space="preserve">. [online] World Health Organization. Available at: </w:t>
      </w:r>
      <w:hyperlink r:id="rId36" w:history="1">
        <w:r w:rsidRPr="00BB2849">
          <w:rPr>
            <w:rStyle w:val="Hyperlink"/>
            <w:rFonts w:cs="Times New Roman"/>
          </w:rPr>
          <w:t>https://www.who.int/news-room/fact-sheets/detail/dementia</w:t>
        </w:r>
      </w:hyperlink>
      <w:r w:rsidRPr="00BB2849">
        <w:rPr>
          <w:rFonts w:cs="Times New Roman"/>
        </w:rPr>
        <w:t>.</w:t>
      </w:r>
    </w:p>
    <w:p w:rsidR="00040425" w:rsidRPr="00E05678" w:rsidRDefault="00040425" w:rsidP="00E05678">
      <w:pPr>
        <w:spacing w:before="240" w:after="240"/>
        <w:rPr>
          <w:rFonts w:cs="Times New Roman"/>
        </w:rPr>
      </w:pPr>
    </w:p>
    <w:p w:rsidR="00BB2849" w:rsidRPr="00E05678" w:rsidRDefault="00BB2849" w:rsidP="00E05678">
      <w:pPr>
        <w:spacing w:before="240" w:after="240"/>
        <w:rPr>
          <w:rFonts w:cs="Times New Roman"/>
        </w:rPr>
      </w:pPr>
    </w:p>
    <w:sectPr w:rsidR="00BB2849" w:rsidRPr="00E05678" w:rsidSect="00C2563A">
      <w:footerReference w:type="default" r:id="rId37"/>
      <w:pgSz w:w="11906" w:h="16838" w:code="9"/>
      <w:pgMar w:top="1440" w:right="1440" w:bottom="1440" w:left="1440" w:header="709" w:footer="709"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25AF7" w:rsidRDefault="00B25AF7" w:rsidP="00C2563A">
      <w:pPr>
        <w:spacing w:after="0" w:line="240" w:lineRule="auto"/>
      </w:pPr>
      <w:r>
        <w:separator/>
      </w:r>
    </w:p>
  </w:endnote>
  <w:endnote w:type="continuationSeparator" w:id="1">
    <w:p w:rsidR="00B25AF7" w:rsidRDefault="00B25AF7" w:rsidP="00C2563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33329239"/>
      <w:docPartObj>
        <w:docPartGallery w:val="Page Numbers (Bottom of Page)"/>
        <w:docPartUnique/>
      </w:docPartObj>
    </w:sdtPr>
    <w:sdtEndPr>
      <w:rPr>
        <w:noProof/>
      </w:rPr>
    </w:sdtEndPr>
    <w:sdtContent>
      <w:p w:rsidR="00C2563A" w:rsidRDefault="00807CD1">
        <w:pPr>
          <w:pStyle w:val="Footer"/>
          <w:jc w:val="right"/>
        </w:pPr>
        <w:r>
          <w:fldChar w:fldCharType="begin"/>
        </w:r>
        <w:r w:rsidR="00C2563A">
          <w:instrText xml:space="preserve"> PAGE   \* MERGEFORMAT </w:instrText>
        </w:r>
        <w:r>
          <w:fldChar w:fldCharType="separate"/>
        </w:r>
        <w:r w:rsidR="00550506">
          <w:rPr>
            <w:noProof/>
          </w:rPr>
          <w:t>2</w:t>
        </w:r>
        <w:r>
          <w:rPr>
            <w:noProof/>
          </w:rPr>
          <w:fldChar w:fldCharType="end"/>
        </w:r>
      </w:p>
    </w:sdtContent>
  </w:sdt>
  <w:p w:rsidR="00C2563A" w:rsidRDefault="00C2563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25AF7" w:rsidRDefault="00B25AF7" w:rsidP="00C2563A">
      <w:pPr>
        <w:spacing w:after="0" w:line="240" w:lineRule="auto"/>
      </w:pPr>
      <w:r>
        <w:separator/>
      </w:r>
    </w:p>
  </w:footnote>
  <w:footnote w:type="continuationSeparator" w:id="1">
    <w:p w:rsidR="00B25AF7" w:rsidRDefault="00B25AF7" w:rsidP="00C2563A">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3E02E8"/>
    <w:rsid w:val="00040425"/>
    <w:rsid w:val="000429D2"/>
    <w:rsid w:val="000A1E06"/>
    <w:rsid w:val="00215982"/>
    <w:rsid w:val="00285933"/>
    <w:rsid w:val="003B4A54"/>
    <w:rsid w:val="003D6BC9"/>
    <w:rsid w:val="003E02E8"/>
    <w:rsid w:val="004B2064"/>
    <w:rsid w:val="004D7FB1"/>
    <w:rsid w:val="004E2F33"/>
    <w:rsid w:val="00550506"/>
    <w:rsid w:val="00560D34"/>
    <w:rsid w:val="005D5D8C"/>
    <w:rsid w:val="006560F9"/>
    <w:rsid w:val="00687125"/>
    <w:rsid w:val="007103A4"/>
    <w:rsid w:val="00807CD1"/>
    <w:rsid w:val="00812241"/>
    <w:rsid w:val="008F527D"/>
    <w:rsid w:val="00977817"/>
    <w:rsid w:val="00AF5D8C"/>
    <w:rsid w:val="00B25AF7"/>
    <w:rsid w:val="00B305A7"/>
    <w:rsid w:val="00BB2849"/>
    <w:rsid w:val="00C2563A"/>
    <w:rsid w:val="00CD03C5"/>
    <w:rsid w:val="00CE059A"/>
    <w:rsid w:val="00D270DE"/>
    <w:rsid w:val="00D326C8"/>
    <w:rsid w:val="00DB66BE"/>
    <w:rsid w:val="00DE487C"/>
    <w:rsid w:val="00E05678"/>
    <w:rsid w:val="00E237CC"/>
    <w:rsid w:val="00E35B30"/>
    <w:rsid w:val="00E56B35"/>
    <w:rsid w:val="00E707FF"/>
    <w:rsid w:val="00F645D1"/>
    <w:rsid w:val="00F6697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563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563A"/>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C2563A"/>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C2563A"/>
    <w:pPr>
      <w:keepNext/>
      <w:keepLines/>
      <w:spacing w:before="160" w:after="80"/>
      <w:outlineLvl w:val="2"/>
    </w:pPr>
    <w:rPr>
      <w:rFonts w:eastAsiaTheme="majorEastAsia" w:cstheme="majorBidi"/>
      <w:b/>
      <w:i/>
      <w:szCs w:val="28"/>
    </w:rPr>
  </w:style>
  <w:style w:type="paragraph" w:styleId="Heading4">
    <w:name w:val="heading 4"/>
    <w:basedOn w:val="Normal"/>
    <w:next w:val="Normal"/>
    <w:link w:val="Heading4Char"/>
    <w:uiPriority w:val="9"/>
    <w:unhideWhenUsed/>
    <w:qFormat/>
    <w:rsid w:val="00C2563A"/>
    <w:pPr>
      <w:keepNext/>
      <w:keepLines/>
      <w:spacing w:before="80" w:after="40"/>
      <w:outlineLvl w:val="3"/>
    </w:pPr>
    <w:rPr>
      <w:rFonts w:eastAsiaTheme="majorEastAsia" w:cstheme="majorBidi"/>
      <w:b/>
      <w:i/>
      <w:iCs/>
      <w:u w:val="single"/>
    </w:rPr>
  </w:style>
  <w:style w:type="paragraph" w:styleId="Heading5">
    <w:name w:val="heading 5"/>
    <w:basedOn w:val="Normal"/>
    <w:next w:val="Normal"/>
    <w:link w:val="Heading5Char"/>
    <w:uiPriority w:val="9"/>
    <w:semiHidden/>
    <w:unhideWhenUsed/>
    <w:qFormat/>
    <w:rsid w:val="003E02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2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2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2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2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563A"/>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C2563A"/>
    <w:rPr>
      <w:rFonts w:ascii="Times New Roman" w:eastAsiaTheme="majorEastAsia" w:hAnsi="Times New Roman" w:cstheme="majorBidi"/>
      <w:b/>
      <w:sz w:val="26"/>
      <w:szCs w:val="32"/>
    </w:rPr>
  </w:style>
  <w:style w:type="character" w:customStyle="1" w:styleId="Heading3Char">
    <w:name w:val="Heading 3 Char"/>
    <w:basedOn w:val="DefaultParagraphFont"/>
    <w:link w:val="Heading3"/>
    <w:uiPriority w:val="9"/>
    <w:rsid w:val="00C2563A"/>
    <w:rPr>
      <w:rFonts w:ascii="Times New Roman" w:eastAsiaTheme="majorEastAsia" w:hAnsi="Times New Roman" w:cstheme="majorBidi"/>
      <w:b/>
      <w:i/>
      <w:sz w:val="24"/>
      <w:szCs w:val="28"/>
    </w:rPr>
  </w:style>
  <w:style w:type="character" w:customStyle="1" w:styleId="Heading4Char">
    <w:name w:val="Heading 4 Char"/>
    <w:basedOn w:val="DefaultParagraphFont"/>
    <w:link w:val="Heading4"/>
    <w:uiPriority w:val="9"/>
    <w:rsid w:val="00C2563A"/>
    <w:rPr>
      <w:rFonts w:ascii="Times New Roman" w:eastAsiaTheme="majorEastAsia" w:hAnsi="Times New Roman" w:cstheme="majorBidi"/>
      <w:b/>
      <w:i/>
      <w:iCs/>
      <w:sz w:val="24"/>
      <w:u w:val="single"/>
    </w:rPr>
  </w:style>
  <w:style w:type="character" w:customStyle="1" w:styleId="Heading5Char">
    <w:name w:val="Heading 5 Char"/>
    <w:basedOn w:val="DefaultParagraphFont"/>
    <w:link w:val="Heading5"/>
    <w:uiPriority w:val="9"/>
    <w:semiHidden/>
    <w:rsid w:val="003E02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2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2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2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2E8"/>
    <w:rPr>
      <w:rFonts w:eastAsiaTheme="majorEastAsia" w:cstheme="majorBidi"/>
      <w:color w:val="272727" w:themeColor="text1" w:themeTint="D8"/>
    </w:rPr>
  </w:style>
  <w:style w:type="paragraph" w:styleId="Title">
    <w:name w:val="Title"/>
    <w:basedOn w:val="Normal"/>
    <w:next w:val="Normal"/>
    <w:link w:val="TitleChar"/>
    <w:uiPriority w:val="10"/>
    <w:qFormat/>
    <w:rsid w:val="003E02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2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2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2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2E8"/>
    <w:pPr>
      <w:spacing w:before="160"/>
      <w:jc w:val="center"/>
    </w:pPr>
    <w:rPr>
      <w:i/>
      <w:iCs/>
      <w:color w:val="404040" w:themeColor="text1" w:themeTint="BF"/>
    </w:rPr>
  </w:style>
  <w:style w:type="character" w:customStyle="1" w:styleId="QuoteChar">
    <w:name w:val="Quote Char"/>
    <w:basedOn w:val="DefaultParagraphFont"/>
    <w:link w:val="Quote"/>
    <w:uiPriority w:val="29"/>
    <w:rsid w:val="003E02E8"/>
    <w:rPr>
      <w:i/>
      <w:iCs/>
      <w:color w:val="404040" w:themeColor="text1" w:themeTint="BF"/>
    </w:rPr>
  </w:style>
  <w:style w:type="paragraph" w:styleId="ListParagraph">
    <w:name w:val="List Paragraph"/>
    <w:basedOn w:val="Normal"/>
    <w:uiPriority w:val="34"/>
    <w:qFormat/>
    <w:rsid w:val="003E02E8"/>
    <w:pPr>
      <w:ind w:left="720"/>
      <w:contextualSpacing/>
    </w:pPr>
  </w:style>
  <w:style w:type="character" w:styleId="IntenseEmphasis">
    <w:name w:val="Intense Emphasis"/>
    <w:basedOn w:val="DefaultParagraphFont"/>
    <w:uiPriority w:val="21"/>
    <w:qFormat/>
    <w:rsid w:val="003E02E8"/>
    <w:rPr>
      <w:i/>
      <w:iCs/>
      <w:color w:val="0F4761" w:themeColor="accent1" w:themeShade="BF"/>
    </w:rPr>
  </w:style>
  <w:style w:type="paragraph" w:styleId="IntenseQuote">
    <w:name w:val="Intense Quote"/>
    <w:basedOn w:val="Normal"/>
    <w:next w:val="Normal"/>
    <w:link w:val="IntenseQuoteChar"/>
    <w:uiPriority w:val="30"/>
    <w:qFormat/>
    <w:rsid w:val="003E02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2E8"/>
    <w:rPr>
      <w:i/>
      <w:iCs/>
      <w:color w:val="0F4761" w:themeColor="accent1" w:themeShade="BF"/>
    </w:rPr>
  </w:style>
  <w:style w:type="character" w:styleId="IntenseReference">
    <w:name w:val="Intense Reference"/>
    <w:basedOn w:val="DefaultParagraphFont"/>
    <w:uiPriority w:val="32"/>
    <w:qFormat/>
    <w:rsid w:val="003E02E8"/>
    <w:rPr>
      <w:b/>
      <w:bCs/>
      <w:smallCaps/>
      <w:color w:val="0F4761" w:themeColor="accent1" w:themeShade="BF"/>
      <w:spacing w:val="5"/>
    </w:rPr>
  </w:style>
  <w:style w:type="paragraph" w:styleId="Caption">
    <w:name w:val="caption"/>
    <w:basedOn w:val="Normal"/>
    <w:next w:val="Normal"/>
    <w:uiPriority w:val="35"/>
    <w:unhideWhenUsed/>
    <w:qFormat/>
    <w:rsid w:val="006560F9"/>
    <w:pPr>
      <w:spacing w:after="200" w:line="240" w:lineRule="auto"/>
    </w:pPr>
    <w:rPr>
      <w:i/>
      <w:iCs/>
      <w:color w:val="0E2841" w:themeColor="text2"/>
      <w:sz w:val="18"/>
      <w:szCs w:val="18"/>
    </w:rPr>
  </w:style>
  <w:style w:type="character" w:styleId="Hyperlink">
    <w:name w:val="Hyperlink"/>
    <w:basedOn w:val="DefaultParagraphFont"/>
    <w:uiPriority w:val="99"/>
    <w:unhideWhenUsed/>
    <w:rsid w:val="006560F9"/>
    <w:rPr>
      <w:color w:val="467886" w:themeColor="hyperlink"/>
      <w:u w:val="single"/>
    </w:rPr>
  </w:style>
  <w:style w:type="character" w:customStyle="1" w:styleId="UnresolvedMention">
    <w:name w:val="Unresolved Mention"/>
    <w:basedOn w:val="DefaultParagraphFont"/>
    <w:uiPriority w:val="99"/>
    <w:semiHidden/>
    <w:unhideWhenUsed/>
    <w:rsid w:val="006560F9"/>
    <w:rPr>
      <w:color w:val="605E5C"/>
      <w:shd w:val="clear" w:color="auto" w:fill="E1DFDD"/>
    </w:rPr>
  </w:style>
  <w:style w:type="paragraph" w:styleId="NormalWeb">
    <w:name w:val="Normal (Web)"/>
    <w:basedOn w:val="Normal"/>
    <w:uiPriority w:val="99"/>
    <w:semiHidden/>
    <w:unhideWhenUsed/>
    <w:rsid w:val="00E56B35"/>
    <w:rPr>
      <w:rFonts w:cs="Times New Roman"/>
      <w:szCs w:val="24"/>
    </w:rPr>
  </w:style>
  <w:style w:type="table" w:styleId="TableGrid">
    <w:name w:val="Table Grid"/>
    <w:basedOn w:val="TableNormal"/>
    <w:uiPriority w:val="39"/>
    <w:rsid w:val="00D326C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C25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563A"/>
    <w:rPr>
      <w:rFonts w:ascii="Times New Roman" w:hAnsi="Times New Roman"/>
      <w:sz w:val="24"/>
    </w:rPr>
  </w:style>
  <w:style w:type="paragraph" w:styleId="Footer">
    <w:name w:val="footer"/>
    <w:basedOn w:val="Normal"/>
    <w:link w:val="FooterChar"/>
    <w:uiPriority w:val="99"/>
    <w:unhideWhenUsed/>
    <w:rsid w:val="00C25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563A"/>
    <w:rPr>
      <w:rFonts w:ascii="Times New Roman" w:hAnsi="Times New Roman"/>
      <w:sz w:val="24"/>
    </w:rPr>
  </w:style>
  <w:style w:type="paragraph" w:styleId="TOCHeading">
    <w:name w:val="TOC Heading"/>
    <w:basedOn w:val="Heading1"/>
    <w:next w:val="Normal"/>
    <w:uiPriority w:val="39"/>
    <w:unhideWhenUsed/>
    <w:qFormat/>
    <w:rsid w:val="00C2563A"/>
    <w:pPr>
      <w:spacing w:before="240" w:after="0" w:line="259" w:lineRule="auto"/>
      <w:jc w:val="left"/>
      <w:outlineLvl w:val="9"/>
    </w:pPr>
    <w:rPr>
      <w:rFonts w:asciiTheme="majorHAnsi" w:hAnsiTheme="majorHAnsi"/>
      <w:b w:val="0"/>
      <w:color w:val="0F4761" w:themeColor="accent1" w:themeShade="BF"/>
      <w:kern w:val="0"/>
      <w:sz w:val="32"/>
      <w:szCs w:val="32"/>
      <w:lang w:val="en-US"/>
    </w:rPr>
  </w:style>
  <w:style w:type="paragraph" w:styleId="TOC1">
    <w:name w:val="toc 1"/>
    <w:basedOn w:val="Normal"/>
    <w:next w:val="Normal"/>
    <w:autoRedefine/>
    <w:uiPriority w:val="39"/>
    <w:unhideWhenUsed/>
    <w:rsid w:val="00C2563A"/>
    <w:pPr>
      <w:spacing w:after="100"/>
    </w:pPr>
  </w:style>
  <w:style w:type="paragraph" w:styleId="TOC2">
    <w:name w:val="toc 2"/>
    <w:basedOn w:val="Normal"/>
    <w:next w:val="Normal"/>
    <w:autoRedefine/>
    <w:uiPriority w:val="39"/>
    <w:unhideWhenUsed/>
    <w:rsid w:val="00C2563A"/>
    <w:pPr>
      <w:spacing w:after="100"/>
      <w:ind w:left="240"/>
    </w:pPr>
  </w:style>
  <w:style w:type="paragraph" w:styleId="TOC3">
    <w:name w:val="toc 3"/>
    <w:basedOn w:val="Normal"/>
    <w:next w:val="Normal"/>
    <w:autoRedefine/>
    <w:uiPriority w:val="39"/>
    <w:unhideWhenUsed/>
    <w:rsid w:val="00C2563A"/>
    <w:pPr>
      <w:spacing w:after="100"/>
      <w:ind w:left="480"/>
    </w:pPr>
  </w:style>
  <w:style w:type="paragraph" w:styleId="BalloonText">
    <w:name w:val="Balloon Text"/>
    <w:basedOn w:val="Normal"/>
    <w:link w:val="BalloonTextChar"/>
    <w:uiPriority w:val="99"/>
    <w:semiHidden/>
    <w:unhideWhenUsed/>
    <w:rsid w:val="005505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050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alzheimers.org.uk/blog/how-many-people-have-dementia-uk" TargetMode="External"/><Relationship Id="rId26" Type="http://schemas.openxmlformats.org/officeDocument/2006/relationships/hyperlink" Target="https://www.england.nhs.uk/ourwork/clinical-policy/older-people/improving-care-for-older-people/"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uk/government/statistics/announcements/households-below-average-income-for-financial-years-ending-1995-to-2024" TargetMode="External"/><Relationship Id="rId34" Type="http://schemas.openxmlformats.org/officeDocument/2006/relationships/hyperlink" Target="https://www.thelancet.com/pdfs/journals/lanpub/PIIS2468-2667(20)30287-5.pdf"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www.ageuk.org.uk/discover/2025/september/state-of-health-and-care-of-older-people-in-england-2025/" TargetMode="External"/><Relationship Id="rId25" Type="http://schemas.openxmlformats.org/officeDocument/2006/relationships/hyperlink" Target="https://digitalcommons.unl.edu/cgi/viewcontent.cgi?article=1022&amp;context=manter" TargetMode="External"/><Relationship Id="rId33" Type="http://schemas.openxmlformats.org/officeDocument/2006/relationships/hyperlink" Target="https://journals.sagepub.com/doi/pdf/10.3233/JAD-230483"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geuk.org.uk/latest-press/articles/age-uks-new-report-shows-you-are-not-alone-in-feeling-lonely/" TargetMode="External"/><Relationship Id="rId20" Type="http://schemas.openxmlformats.org/officeDocument/2006/relationships/hyperlink" Target="https://ageing-better.org.uk/health-and-wellbeing-state-ageing-2025" TargetMode="External"/><Relationship Id="rId29" Type="http://schemas.openxmlformats.org/officeDocument/2006/relationships/hyperlink" Target="https://www.ons.gov.uk/peoplepopulationandcommunity/birthsdeathsandmarriages/ageing/articles/profileoftheolderpopulationlivinginenglandandwalesin2021andchangessince2011/2023-04-0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gov.uk/government/statistics/english-housing-survey-2023-to-2024-drivers-and-impacts-of-housing-quality/english-housing-survey-2023-to-2024-drivers-and-impacts-of-housing-quality" TargetMode="External"/><Relationship Id="rId32" Type="http://schemas.openxmlformats.org/officeDocument/2006/relationships/hyperlink" Target="https://jamanetwork.com/journals/jamanetworkopen/articlepdf/2805328/rassy_2023_oi_230451_1684340601.25814.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doi.org/10.3399/bjgp.2022.0405" TargetMode="External"/><Relationship Id="rId28" Type="http://schemas.openxmlformats.org/officeDocument/2006/relationships/hyperlink" Target="https://www.gov.uk/government/statistics/dementia-profile-march-2025-update/dementia-profile-prevalence-and-supporting-well-topics-statistical-commentary-march-2025" TargetMode="External"/><Relationship Id="rId36" Type="http://schemas.openxmlformats.org/officeDocument/2006/relationships/hyperlink" Target="https://www.who.int/news-room/fact-sheets/detail/dementia" TargetMode="External"/><Relationship Id="rId10" Type="http://schemas.openxmlformats.org/officeDocument/2006/relationships/image" Target="media/image4.png"/><Relationship Id="rId19" Type="http://schemas.openxmlformats.org/officeDocument/2006/relationships/hyperlink" Target="https://ageing-better.org.uk/financial-security-state-ageing-2025" TargetMode="External"/><Relationship Id="rId31" Type="http://schemas.openxmlformats.org/officeDocument/2006/relationships/hyperlink" Target="https://www.ons.gov.uk/peoplepopulationandcommunity/healthandsocialcare/healthinequalities/bulletins/healthylifeexpectancybynationalareadeprivationenglandandwales/between2013to2015and2020to20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jech.bmj.com/content/jech/79/Suppl_1/A66.2.full.pdf" TargetMode="External"/><Relationship Id="rId27" Type="http://schemas.openxmlformats.org/officeDocument/2006/relationships/hyperlink" Target="https://www.england.nhs.uk/ourwork/clinical-policy/older-people/" TargetMode="External"/><Relationship Id="rId30" Type="http://schemas.openxmlformats.org/officeDocument/2006/relationships/hyperlink" Target="https://www.ons.gov.uk/peoplepopulationandcommunity/birthsdeathsandmarriages/deaths/bulletins/deathsregistrationsummarytables/2024" TargetMode="External"/><Relationship Id="rId35" Type="http://schemas.openxmlformats.org/officeDocument/2006/relationships/hyperlink" Target="https://www.wfpha.org/the-global-charter-for-the-publics-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F5FDD0-4611-49DE-ABFC-97764D085B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322</TotalTime>
  <Pages>18</Pages>
  <Words>4239</Words>
  <Characters>24166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28349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ASUS</cp:lastModifiedBy>
  <cp:revision>12</cp:revision>
  <dcterms:created xsi:type="dcterms:W3CDTF">2026-03-20T07:08:00Z</dcterms:created>
  <dcterms:modified xsi:type="dcterms:W3CDTF">2026-03-23T00:02:00Z</dcterms:modified>
</cp:coreProperties>
</file>