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u w:val="single"/>
          <w:lang w:val="en-GB"/>
        </w:rPr>
      </w:pPr>
      <w:bookmarkStart w:id="0" w:name="_GoBack"/>
      <w:bookmarkEnd w:id="0"/>
      <w:r>
        <w:rPr>
          <w:b/>
          <w:u w:val="single"/>
          <w:lang w:val="en-GB"/>
        </w:rPr>
        <w:t>Reflection</w:t>
      </w:r>
    </w:p>
    <w:p>
      <w:pPr>
        <w:rPr>
          <w:rFonts w:hint="eastAsia"/>
        </w:rPr>
      </w:pPr>
      <w:r>
        <w:rPr>
          <w:rFonts w:hint="eastAsia"/>
        </w:rPr>
        <w:t>Undertaking the John Muir Award project in my Nan’s garden provided an unexpected opportunity to reconnect with nature on a personal level while developing a deeper appreciation for local biodiversity and environmental stewardship. What began as a simple exploration of a familiar outdoor space evolved into a meaningful journey of observation, learning, and conservation.</w:t>
      </w:r>
    </w:p>
    <w:p>
      <w:pPr>
        <w:rPr>
          <w:rFonts w:hint="eastAsia"/>
        </w:rPr>
      </w:pPr>
      <w:r>
        <w:rPr>
          <w:rFonts w:hint="eastAsia"/>
        </w:rPr>
        <w:t xml:space="preserve">I chose to explore my Nan’s garden, located in a quiet residential area on the outskirts of </w:t>
      </w:r>
      <w:r>
        <w:rPr>
          <w:rFonts w:hint="default"/>
          <w:lang w:val="en-GB"/>
        </w:rPr>
        <w:t>Mountain Ash</w:t>
      </w:r>
      <w:r>
        <w:rPr>
          <w:rFonts w:hint="eastAsia"/>
        </w:rPr>
        <w:t>, as my site for outdoor learning. It’s a small but thriving green space, filled with flowers, herbs, fruit bushes, and a few old trees. The garden has always felt like a peaceful and familiar place, but this time, I viewed it through a more curious and mindful lens.</w:t>
      </w:r>
    </w:p>
    <w:p>
      <w:pPr>
        <w:rPr>
          <w:rFonts w:hint="eastAsia"/>
        </w:rPr>
      </w:pPr>
      <w:r>
        <w:rPr>
          <w:rFonts w:hint="eastAsia"/>
        </w:rPr>
        <w:t>I chose this site because it’s deeply personal—somewhere I’ve visited since childhood—but I had never really paused to explore it in detail. It’s a semi-private space, rich in biodiversity despite being surrounded by houses. It offered a safe, accessible setting for observation, reflection, and re-connection with nature.</w:t>
      </w:r>
    </w:p>
    <w:p>
      <w:pPr>
        <w:rPr>
          <w:rFonts w:hint="eastAsia"/>
        </w:rPr>
      </w:pPr>
      <w:r>
        <w:rPr>
          <w:rFonts w:hint="eastAsia"/>
        </w:rPr>
        <w:t>Throughout the project, I spent time quietly observing the natural rhythms of the garden</w:t>
      </w:r>
      <w:r>
        <w:rPr>
          <w:rFonts w:hint="default"/>
          <w:lang w:val="en-GB"/>
        </w:rPr>
        <w:t xml:space="preserve">, </w:t>
      </w:r>
      <w:r>
        <w:rPr>
          <w:rFonts w:hint="eastAsia"/>
        </w:rPr>
        <w:t xml:space="preserve">taking note of the variety of birds, insects, and flowers that inhabit this small but vibrant ecosystem. I was particularly drawn to the robins that </w:t>
      </w:r>
      <w:r>
        <w:rPr>
          <w:rFonts w:hint="default"/>
          <w:lang w:val="en-GB"/>
        </w:rPr>
        <w:t>visited</w:t>
      </w:r>
      <w:r>
        <w:rPr>
          <w:rFonts w:hint="eastAsia"/>
        </w:rPr>
        <w:t xml:space="preserve"> the garden. Their presence encouraged me to restore a broken birdhouse and bird bath, which had long been neglected. Repairing these structures not only improved the aesthetic of the garden but also served a real environmental purpose</w:t>
      </w:r>
      <w:r>
        <w:rPr>
          <w:rFonts w:hint="default"/>
          <w:lang w:val="en-GB"/>
        </w:rPr>
        <w:t xml:space="preserve">, </w:t>
      </w:r>
      <w:r>
        <w:rPr>
          <w:rFonts w:hint="eastAsia"/>
        </w:rPr>
        <w:t>providing shelter and a clean water source for the local bird population.</w:t>
      </w:r>
    </w:p>
    <w:p>
      <w:pPr>
        <w:rPr>
          <w:rFonts w:hint="eastAsia"/>
        </w:rPr>
      </w:pPr>
      <w:r>
        <w:rPr>
          <w:rFonts w:hint="eastAsia"/>
        </w:rPr>
        <w:t>This hands-on conservation work taught me that small acts of care can have a significant impact. I had previously underestimated the role that urban or domestic gardens play in supporting wildlife. This realisation marked a shift in my thinking. Conservation is not only about grand gestures in distant landscapes</w:t>
      </w:r>
      <w:r>
        <w:rPr>
          <w:rFonts w:hint="default"/>
          <w:lang w:val="en-GB"/>
        </w:rPr>
        <w:t>, but i</w:t>
      </w:r>
      <w:r>
        <w:rPr>
          <w:rFonts w:hint="eastAsia"/>
        </w:rPr>
        <w:t xml:space="preserve">t starts in our own </w:t>
      </w:r>
      <w:r>
        <w:rPr>
          <w:rFonts w:hint="default"/>
          <w:lang w:val="en-GB"/>
        </w:rPr>
        <w:t>gardens.</w:t>
      </w:r>
    </w:p>
    <w:p>
      <w:pPr>
        <w:rPr>
          <w:rFonts w:hint="eastAsia"/>
        </w:rPr>
      </w:pPr>
      <w:r>
        <w:rPr>
          <w:rFonts w:hint="eastAsia"/>
        </w:rPr>
        <w:t>In terms of new learning, I found myself researching bird behaviours, seasonal flower cycles, and even the best materials to use for restoring bird habitats. This sparked a growing interest in how green spaces can be made more wildlife-friendly and sustainable. I would like to further explore concepts like rewilding in urban spaces and how small-scale environmental action can be embedded into community and educational settings.</w:t>
      </w:r>
    </w:p>
    <w:p>
      <w:pPr>
        <w:rPr>
          <w:rFonts w:hint="eastAsia"/>
        </w:rPr>
      </w:pPr>
      <w:r>
        <w:rPr>
          <w:rFonts w:hint="eastAsia"/>
        </w:rPr>
        <w:t xml:space="preserve">The project also stirred a personal nostalgia. It reminded me of childhood afternoons spent in the garden, watching bees </w:t>
      </w:r>
      <w:r>
        <w:rPr>
          <w:rFonts w:hint="default"/>
          <w:lang w:val="en-GB"/>
        </w:rPr>
        <w:t>favour the purple flowers</w:t>
      </w:r>
      <w:r>
        <w:rPr>
          <w:rFonts w:hint="eastAsia"/>
        </w:rPr>
        <w:t xml:space="preserve"> and digging in the soil. There is a certain magic in those early interactions with nature</w:t>
      </w:r>
      <w:r>
        <w:rPr>
          <w:rFonts w:hint="default"/>
          <w:lang w:val="en-GB"/>
        </w:rPr>
        <w:t>, so</w:t>
      </w:r>
      <w:r>
        <w:rPr>
          <w:rFonts w:hint="eastAsia"/>
        </w:rPr>
        <w:t>mething that too many children today risk missing out on. This reflection made me consider the importance of fostering a strong connection between children and the natural world. Experiences like mine, even in simple settings, can inspire curiosity, empathy, and a lifelong respect for the environment.</w:t>
      </w:r>
    </w:p>
    <w:p>
      <w:pPr>
        <w:rPr>
          <w:rFonts w:hint="eastAsia"/>
        </w:rPr>
      </w:pPr>
      <w:r>
        <w:rPr>
          <w:rFonts w:hint="eastAsia"/>
        </w:rPr>
        <w:t>As an early years practitioner, I recognise the importance of fostering children’s connection with the natural world through meaningful, experiential learning. Inspired by the values underpinning the John Muir Award—discover, explore, conserve, and share—I intend to embed these principles into my everyday practice. The Award’s emphasis on immersive, child-led engagement with nature has highlighted for me the potential of even small-scale environments, such as gardens or outdoor play spaces, to act as powerful sites for learning. Drawing from my personal exploration of my Nan’s garden, I became more aware of the richness of local biodiversity and how overlooked environments can spark curiosity, creativity, and care for the natural world. In practice, I will create opportunities for children to observe wildlife, grow plants, and engage in open-ended, sensory exploration. I will encourage reflective thinking and discussion around caring for the environment, thus supporting early Education for Sustainable Development (ESD). By minimising unnecessary adult intervention and allowing children autonomy in their outdoor play, I aim to nurture a sense of wonder, stewardship, and responsibility. This aligns with the Curriculum for Wales’s commitment to ethical, informed citizens, and supports holistic development across all Areas of Learning and Experience.</w:t>
      </w:r>
    </w:p>
    <w:p>
      <w:pPr>
        <w:rPr>
          <w:b/>
          <w:u w:val="single"/>
          <w:lang w:val="en-GB"/>
        </w:rPr>
      </w:pPr>
      <w:r>
        <w:rPr>
          <w:rFonts w:hint="eastAsia"/>
        </w:rPr>
        <w:t>In conclusion, this project affirmed the importance of observation, patience, and care in both understanding and protecting the natural world. It helped me see how accessible conservation can be and reinforced my belief that engaging with nature</w:t>
      </w:r>
      <w:r>
        <w:rPr>
          <w:rFonts w:hint="default"/>
          <w:lang w:val="en-GB"/>
        </w:rPr>
        <w:t xml:space="preserve">, </w:t>
      </w:r>
      <w:r>
        <w:rPr>
          <w:rFonts w:hint="eastAsia"/>
        </w:rPr>
        <w:t>even in small, everyday ways</w:t>
      </w:r>
      <w:r>
        <w:rPr>
          <w:rFonts w:hint="default"/>
          <w:lang w:val="en-GB"/>
        </w:rPr>
        <w:t xml:space="preserve"> </w:t>
      </w:r>
      <w:r>
        <w:rPr>
          <w:rFonts w:hint="eastAsia"/>
        </w:rPr>
        <w:t>is a</w:t>
      </w:r>
      <w:r>
        <w:rPr>
          <w:rFonts w:hint="default"/>
          <w:lang w:val="en-GB"/>
        </w:rPr>
        <w:t xml:space="preserve">n important </w:t>
      </w:r>
      <w:r>
        <w:rPr>
          <w:rFonts w:hint="eastAsia"/>
        </w:rPr>
        <w:t>part of developing environmental responsibility. I am inspired to continue this journey, and to encourage others</w:t>
      </w:r>
      <w:r>
        <w:rPr>
          <w:rFonts w:hint="default"/>
          <w:lang w:val="en-GB"/>
        </w:rPr>
        <w:t xml:space="preserve">, </w:t>
      </w:r>
      <w:r>
        <w:rPr>
          <w:rFonts w:hint="eastAsia"/>
        </w:rPr>
        <w:t>especially children</w:t>
      </w:r>
      <w:r>
        <w:rPr>
          <w:rFonts w:hint="default"/>
          <w:lang w:val="en-GB"/>
        </w:rPr>
        <w:t xml:space="preserve">, </w:t>
      </w:r>
      <w:r>
        <w:rPr>
          <w:rFonts w:hint="eastAsia"/>
        </w:rPr>
        <w:t>to rediscover the joy and wonder of the world just outside their doo</w:t>
      </w:r>
      <w:r>
        <w:rPr>
          <w:rFonts w:hint="default"/>
          <w:lang w:val="en-GB"/>
        </w:rPr>
        <w:t>r.</w:t>
      </w:r>
    </w:p>
    <w:p>
      <w:pPr>
        <w:rPr>
          <w:b/>
          <w:u w:val="single"/>
          <w:lang w:val="en-GB"/>
        </w:rPr>
      </w:pPr>
      <w:r>
        <w:rPr>
          <w:b/>
          <w:u w:val="single"/>
          <w:lang w:val="en-GB"/>
        </w:rPr>
        <w:t>Part 2</w:t>
      </w:r>
    </w:p>
    <w:p>
      <w:pPr/>
      <w:r>
        <w:rPr>
          <w:rFonts w:hint="eastAsia"/>
        </w:rPr>
        <w:t>Sustainability, in its broadest sense, refers to meeting the needs of the present without compromising the ability of future generations to meet their own needs (WCED, 1987). This foundational concept, introduced in Our Common Future,</w:t>
      </w:r>
      <w:r>
        <w:t xml:space="preserve"> </w:t>
      </w:r>
      <w:r>
        <w:rPr>
          <w:rFonts w:hint="eastAsia"/>
        </w:rPr>
        <w:t>the Brundtland Report,</w:t>
      </w:r>
      <w:r>
        <w:t xml:space="preserve"> </w:t>
      </w:r>
      <w:r>
        <w:rPr>
          <w:rFonts w:hint="eastAsia"/>
        </w:rPr>
        <w:t>emphasises the interconnectedness of environmental integrity, economic viability, and social equity</w:t>
      </w:r>
      <w:r>
        <w:t xml:space="preserve"> (United Nations, n.d)</w:t>
      </w:r>
      <w:r>
        <w:rPr>
          <w:rFonts w:hint="eastAsia"/>
        </w:rPr>
        <w:t>. Since then, global initiatives such as the Earth Summit (Rio de Janeiro, 1992) have furthered international commitments to sustainable development, laying the groundwork for frameworks such as the United Nations Sustainable Development Goals (SDGs).</w:t>
      </w:r>
      <w:r>
        <w:t xml:space="preserve"> </w:t>
      </w:r>
      <w:r>
        <w:rPr>
          <w:rFonts w:hint="eastAsia"/>
        </w:rPr>
        <w:t>In Wales, sustainability has been embedded into national policy through pioneering legislation such as the Well-being of Future Generations (Wales) Act 2015</w:t>
      </w:r>
      <w:r>
        <w:rPr>
          <w:rFonts w:hint="default"/>
          <w:lang w:val="en-GB"/>
        </w:rPr>
        <w:t xml:space="preserve"> (Welsh Government, 2022)</w:t>
      </w:r>
      <w:r>
        <w:rPr>
          <w:rFonts w:hint="eastAsia"/>
        </w:rPr>
        <w:t>. This act is unique in that it mandates public bodies to consider the long-term impact of their decisions on future generations, promoting a holistic model of well-being encompassing social, environmental, cultural, and economic dimensions</w:t>
      </w:r>
      <w:r>
        <w:t xml:space="preserve"> (Jenkins, 2018)</w:t>
      </w:r>
      <w:r>
        <w:rPr>
          <w:rFonts w:hint="eastAsia"/>
        </w:rPr>
        <w:t>. These values align closely with the principles of Education for Sustainable Development (ESD), and in the Welsh context, Education for Sustainable Development and Global Citizenship (ESDGC), which aims to develop informed, active, and responsible citizens.</w:t>
      </w:r>
    </w:p>
    <w:p>
      <w:pPr/>
      <w:r>
        <w:rPr>
          <w:rFonts w:hint="eastAsia"/>
        </w:rPr>
        <w:t>While sustainability is often considered a topic for older learners, its relevance in the early years is both critical and increasingly recognised. The early years are a foundational period in human development, when attitudes, values, and behaviours are formed</w:t>
      </w:r>
      <w:r>
        <w:t xml:space="preserve"> (Guler Yildiz </w:t>
      </w:r>
      <w:r>
        <w:rPr>
          <w:i/>
        </w:rPr>
        <w:t>et al.,</w:t>
      </w:r>
      <w:r>
        <w:t xml:space="preserve"> 2021)</w:t>
      </w:r>
      <w:r>
        <w:rPr>
          <w:rFonts w:hint="eastAsia"/>
        </w:rPr>
        <w:t>. Embedding sustainability in early childhood education provides children with the grounding to become reflective, empathetic, and environmentally conscious individuals.</w:t>
      </w:r>
      <w:r>
        <w:t xml:space="preserve"> </w:t>
      </w:r>
      <w:r>
        <w:rPr>
          <w:rFonts w:hint="eastAsia"/>
        </w:rPr>
        <w:t>Education for Sustainable Development in the early years involves far more than teaching environmental facts,</w:t>
      </w:r>
      <w:r>
        <w:t xml:space="preserve"> </w:t>
      </w:r>
      <w:r>
        <w:rPr>
          <w:rFonts w:hint="eastAsia"/>
        </w:rPr>
        <w:t>it is about nurturing a sense of connectedness to the world, fostering respect for others and the environment, and encouraging agency and responsibility</w:t>
      </w:r>
      <w:r>
        <w:t xml:space="preserve"> (Siraj-Blatchford </w:t>
      </w:r>
      <w:r>
        <w:rPr>
          <w:i/>
        </w:rPr>
        <w:t>et al.,</w:t>
      </w:r>
      <w:r>
        <w:t xml:space="preserve"> 2010)</w:t>
      </w:r>
      <w:r>
        <w:rPr>
          <w:rFonts w:hint="eastAsia"/>
        </w:rPr>
        <w:t>. It links to the U</w:t>
      </w:r>
      <w:r>
        <w:t xml:space="preserve">nited Nations </w:t>
      </w:r>
      <w:r>
        <w:rPr>
          <w:rFonts w:hint="eastAsia"/>
        </w:rPr>
        <w:t>Convention on the Rights of the Child (UNCRC), particularly Article 29, which advocates for education that develops the child</w:t>
      </w:r>
      <w:r>
        <w:t>’</w:t>
      </w:r>
      <w:r>
        <w:rPr>
          <w:rFonts w:hint="eastAsia"/>
        </w:rPr>
        <w:t>s personality, talents, and mental and physical abilities to their fullest potential, while preparing them for a responsible life in a free society</w:t>
      </w:r>
      <w:r>
        <w:t xml:space="preserve"> (UNICEF, 1989)</w:t>
      </w:r>
      <w:r>
        <w:rPr>
          <w:rFonts w:hint="eastAsia"/>
        </w:rPr>
        <w:t>.</w:t>
      </w:r>
    </w:p>
    <w:p>
      <w:pPr/>
      <w:r>
        <w:rPr>
          <w:rFonts w:hint="eastAsia"/>
        </w:rPr>
        <w:t xml:space="preserve">In Wales, the Curriculum for Wales and its extension into the Curriculum for Non-Maintained Nursery Settings (2022) provides a framework that inherently supports ESD principles. One of its four purposes is to develop </w:t>
      </w:r>
      <w:r>
        <w:t>“</w:t>
      </w:r>
      <w:r>
        <w:rPr>
          <w:rFonts w:hint="eastAsia"/>
        </w:rPr>
        <w:t>ethical, informed citizens who are ready to be citizens of Wales and the world</w:t>
      </w:r>
      <w:r>
        <w:t xml:space="preserve">” (Welsh Government, 2012). </w:t>
      </w:r>
      <w:r>
        <w:rPr>
          <w:rFonts w:hint="eastAsia"/>
        </w:rPr>
        <w:t>This directly aligns with the principles of sustainability, particularly those relating to global citizenship, human rights, and environmental stewardship.</w:t>
      </w:r>
      <w:r>
        <w:t xml:space="preserve"> </w:t>
      </w:r>
      <w:r>
        <w:rPr>
          <w:rFonts w:hint="eastAsia"/>
        </w:rPr>
        <w:t>The ESDGC framework in Wales</w:t>
      </w:r>
      <w:r>
        <w:t xml:space="preserve">, </w:t>
      </w:r>
      <w:r>
        <w:rPr>
          <w:rFonts w:hint="eastAsia"/>
        </w:rPr>
        <w:t>though now embedded within the Curriculum for Wales</w:t>
      </w:r>
      <w:r>
        <w:t xml:space="preserve">, </w:t>
      </w:r>
      <w:r>
        <w:rPr>
          <w:rFonts w:hint="eastAsia"/>
        </w:rPr>
        <w:t>encourages practitioners to develop learners who are aware of their rights and responsibilities, understand the interdependence of people and the environment, and can critically engage with global issues</w:t>
      </w:r>
      <w:r>
        <w:t xml:space="preserve"> (Tinney and Hirst, 2017)</w:t>
      </w:r>
      <w:r>
        <w:rPr>
          <w:rFonts w:hint="eastAsia"/>
        </w:rPr>
        <w:t xml:space="preserve">. In early years, this means creating learning environments that allow children to explore sustainability through hands-on, experiential learning that is child-led and situated in the </w:t>
      </w:r>
      <w:r>
        <w:t>“</w:t>
      </w:r>
      <w:r>
        <w:rPr>
          <w:rFonts w:hint="eastAsia"/>
        </w:rPr>
        <w:t>rea</w:t>
      </w:r>
      <w:r>
        <w:t>l”</w:t>
      </w:r>
      <w:r>
        <w:rPr>
          <w:rFonts w:hint="eastAsia"/>
        </w:rPr>
        <w:t xml:space="preserve"> world.</w:t>
      </w:r>
    </w:p>
    <w:p>
      <w:pPr/>
      <w:r>
        <w:rPr>
          <w:rFonts w:hint="eastAsia"/>
        </w:rPr>
        <w:t>A key feature of early years education is its reliance on active, experiential learning,</w:t>
      </w:r>
      <w:r>
        <w:t xml:space="preserve"> </w:t>
      </w:r>
      <w:r>
        <w:rPr>
          <w:rFonts w:hint="eastAsia"/>
        </w:rPr>
        <w:t xml:space="preserve">often through play and exploration. This pedagogy </w:t>
      </w:r>
      <w:r>
        <w:rPr>
          <w:rFonts w:hint="default"/>
          <w:lang w:val="en-GB"/>
        </w:rPr>
        <w:t>links</w:t>
      </w:r>
      <w:r>
        <w:rPr>
          <w:rFonts w:hint="eastAsia"/>
        </w:rPr>
        <w:t xml:space="preserve"> naturally with ESD principles. Children learn through doing, through curiosity-driven inquiry, and through authentic engagement with their surroundings</w:t>
      </w:r>
      <w:r>
        <w:t xml:space="preserve"> (Macintyre, 2016)</w:t>
      </w:r>
      <w:r>
        <w:rPr>
          <w:rFonts w:hint="eastAsia"/>
        </w:rPr>
        <w:t>. Activities such as growing food, composting, recycling, exploring local wildlife, and engaging in community projects help children make meaningful connections between their actions and the wider world</w:t>
      </w:r>
      <w:r>
        <w:t xml:space="preserve"> (Edwards </w:t>
      </w:r>
      <w:r>
        <w:rPr>
          <w:i/>
        </w:rPr>
        <w:t>et al.,</w:t>
      </w:r>
      <w:r>
        <w:t xml:space="preserve"> 2015)</w:t>
      </w:r>
      <w:r>
        <w:rPr>
          <w:rFonts w:hint="eastAsia"/>
        </w:rPr>
        <w:t>.</w:t>
      </w:r>
      <w:r>
        <w:t xml:space="preserve"> </w:t>
      </w:r>
      <w:r>
        <w:rPr>
          <w:rFonts w:hint="eastAsia"/>
        </w:rPr>
        <w:t>Such approaches are developmentally appropriate and align with Froebelian principles, as well as Reggio Emilia-inspired practice, both of which emphasise the child as a capable, curious, and connected learner. ESD in early years settings, therefore, is not an add-on but an embedded, integrated part of quality early childhood provision</w:t>
      </w:r>
      <w:r>
        <w:t xml:space="preserve"> (McNair and Powell, 2020)</w:t>
      </w:r>
      <w:r>
        <w:rPr>
          <w:rFonts w:hint="eastAsia"/>
        </w:rPr>
        <w:t>.</w:t>
      </w:r>
      <w:r>
        <w:t xml:space="preserve"> </w:t>
      </w:r>
      <w:r>
        <w:rPr>
          <w:rFonts w:hint="eastAsia"/>
        </w:rPr>
        <w:t>Furthermore, sustainable development in early years settings also extends to the environment itself</w:t>
      </w:r>
      <w:r>
        <w:t xml:space="preserve">, </w:t>
      </w:r>
      <w:r>
        <w:rPr>
          <w:rFonts w:hint="eastAsia"/>
        </w:rPr>
        <w:t>using natural materials, encouraging energy conservation, promoting outdoor learning, and fostering inclusive, diverse communities. Practitioners play a critical role in modelling sustainable behaviours and attitudes, shaping the hidden curriculum through their language, routines, and values</w:t>
      </w:r>
      <w:r>
        <w:t xml:space="preserve"> (Daelmans </w:t>
      </w:r>
      <w:r>
        <w:rPr>
          <w:i/>
        </w:rPr>
        <w:t>et al.,</w:t>
      </w:r>
      <w:r>
        <w:t xml:space="preserve"> 2017).</w:t>
      </w:r>
    </w:p>
    <w:p>
      <w:pPr/>
      <w:r>
        <w:rPr>
          <w:rFonts w:hint="eastAsia"/>
        </w:rPr>
        <w:t>Despite its promise, embedding sustainability in early years education is not without challenge. There can be ambiguity around what sustainability means in practice for very young children, and a lack of practitioner confidence or training in ESD</w:t>
      </w:r>
      <w:r>
        <w:t xml:space="preserve"> (Evans </w:t>
      </w:r>
      <w:r>
        <w:rPr>
          <w:i/>
        </w:rPr>
        <w:t>et al.,</w:t>
      </w:r>
      <w:r>
        <w:t xml:space="preserve"> 2017)</w:t>
      </w:r>
      <w:r>
        <w:rPr>
          <w:rFonts w:hint="eastAsia"/>
        </w:rPr>
        <w:t>. Moreover, policy intentions do not always translate into practice, particularly in under-resourced settings. There is a risk that sustainability becomes tokenistic,</w:t>
      </w:r>
      <w:r>
        <w:t xml:space="preserve"> </w:t>
      </w:r>
      <w:r>
        <w:rPr>
          <w:rFonts w:hint="eastAsia"/>
        </w:rPr>
        <w:t>a thematic week or isolated activity,</w:t>
      </w:r>
      <w:r>
        <w:t xml:space="preserve"> </w:t>
      </w:r>
      <w:r>
        <w:rPr>
          <w:rFonts w:hint="eastAsia"/>
        </w:rPr>
        <w:t>rather than a lived, ongoing ethos</w:t>
      </w:r>
      <w:r>
        <w:t xml:space="preserve"> (Davis, 2021)</w:t>
      </w:r>
      <w:r>
        <w:rPr>
          <w:rFonts w:hint="eastAsia"/>
        </w:rPr>
        <w:t>.</w:t>
      </w:r>
      <w:r>
        <w:t xml:space="preserve"> </w:t>
      </w:r>
      <w:r>
        <w:rPr>
          <w:rFonts w:hint="eastAsia"/>
        </w:rPr>
        <w:t>To overcome this, professional learning is vital. Practitioners must be supported to see ESD not as a burden, but as integral to high-quality, holistic early years education. Sustainability must be woven through daily interactions, continuous provision, and reflective practice.</w:t>
      </w:r>
    </w:p>
    <w:p>
      <w:pPr/>
      <w:r>
        <w:rPr>
          <w:rFonts w:hint="eastAsia"/>
        </w:rPr>
        <w:t>Education for Sustainable Development (ESD) has become a central element of global education policy and practice, underpinned by influential frameworks such as the United Nations Sustainable Development Goals, the Brundtland Commission</w:t>
      </w:r>
      <w:r>
        <w:t>’</w:t>
      </w:r>
      <w:r>
        <w:rPr>
          <w:rFonts w:hint="eastAsia"/>
        </w:rPr>
        <w:t>s Our Common Future (1987), and national legislation such as the Well-being of Future Generations (Wales) Act 2015. ESD seeks to empower learners of all ages with the knowledge, skills, values, and dispositions needed to contribute to a more sustainable world. In early years education, ESD intersects with long-established developmental theories and pedagogies that value experiential, play-based learning, and child agency</w:t>
      </w:r>
      <w:r>
        <w:t xml:space="preserve"> (Boeve-de Pauw </w:t>
      </w:r>
      <w:r>
        <w:rPr>
          <w:i/>
        </w:rPr>
        <w:t>et al.,</w:t>
      </w:r>
      <w:r>
        <w:t xml:space="preserve"> 2015)</w:t>
      </w:r>
      <w:r>
        <w:rPr>
          <w:rFonts w:hint="eastAsia"/>
        </w:rPr>
        <w:t>.</w:t>
      </w:r>
    </w:p>
    <w:p>
      <w:pPr/>
      <w:r>
        <w:rPr>
          <w:rFonts w:hint="eastAsia"/>
        </w:rPr>
        <w:t>The John Muir Award, a nationally recognised environmental award, promotes engagement with wild places through its four key challenges</w:t>
      </w:r>
      <w:r>
        <w:t xml:space="preserve">, </w:t>
      </w:r>
      <w:r>
        <w:rPr>
          <w:rFonts w:hint="eastAsia"/>
        </w:rPr>
        <w:t>discover, explore, conserve, and share</w:t>
      </w:r>
      <w:r>
        <w:t xml:space="preserve"> (New Forest National Park Authority, 2025).</w:t>
      </w:r>
      <w:r>
        <w:rPr>
          <w:rFonts w:hint="eastAsia"/>
        </w:rPr>
        <w:t xml:space="preserve"> While originally not designed for early years learners, the principles underpinning the award resonate strongly with early childhood pedagogies. One of the fundamental goals of ESD is to foster a meaningful and lasting connection with the natural environment. Early childhood is recognised as a critical period for developing this connection</w:t>
      </w:r>
      <w:r>
        <w:t xml:space="preserve"> (Pramling Samuelsson, 2011)</w:t>
      </w:r>
      <w:r>
        <w:rPr>
          <w:rFonts w:hint="eastAsia"/>
        </w:rPr>
        <w:t>. Nature-based experiences, such as those encouraged by the John Muir Award, allow children to engage directly with their surroundings through exploration, observation, and sensory immersion</w:t>
      </w:r>
      <w:r>
        <w:rPr>
          <w:rFonts w:hint="default"/>
          <w:lang w:val="en-GB"/>
        </w:rPr>
        <w:t xml:space="preserve"> (Scottish Learning Resource, 2017).</w:t>
      </w:r>
      <w:r>
        <w:rPr>
          <w:rFonts w:hint="eastAsia"/>
        </w:rPr>
        <w:t xml:space="preserve"> The emphasis on practical, real-world learning through outdoor activity aligns closely with the thinking of Friedrich Froebel, who viewed nature as essential to the moral, physical, and spiritual development of the child</w:t>
      </w:r>
      <w:r>
        <w:t xml:space="preserve"> (Hedefalk </w:t>
      </w:r>
      <w:r>
        <w:rPr>
          <w:i/>
        </w:rPr>
        <w:t>et al.,</w:t>
      </w:r>
      <w:r>
        <w:t xml:space="preserve"> 2014)</w:t>
      </w:r>
      <w:r>
        <w:rPr>
          <w:rFonts w:hint="eastAsia"/>
        </w:rPr>
        <w:t>. Froebel argued that children are part of nature and that understanding and caring for the natural world is fundamental to their growth</w:t>
      </w:r>
      <w:r>
        <w:t xml:space="preserve"> (Tovey, 2016). </w:t>
      </w:r>
      <w:r>
        <w:rPr>
          <w:rFonts w:hint="eastAsia"/>
        </w:rPr>
        <w:t xml:space="preserve">Similarly, the Reggio Emilia philosophy, articulated by Loris Malaguzzi, views the environment as the </w:t>
      </w:r>
      <w:r>
        <w:t>“</w:t>
      </w:r>
      <w:r>
        <w:rPr>
          <w:rFonts w:hint="eastAsia"/>
        </w:rPr>
        <w:t>third teacher,</w:t>
      </w:r>
      <w:r>
        <w:t>”</w:t>
      </w:r>
      <w:r>
        <w:rPr>
          <w:rFonts w:hint="eastAsia"/>
        </w:rPr>
        <w:t xml:space="preserve"> recognising the outdoors as a space that invites inquiry, co-construction of knowledge, and meaningful encounters</w:t>
      </w:r>
      <w:r>
        <w:t xml:space="preserve"> (Robson, 2017)</w:t>
      </w:r>
      <w:r>
        <w:rPr>
          <w:rFonts w:hint="eastAsia"/>
        </w:rPr>
        <w:t>. Experiences such as observing wildlife, creating art from natural materials, or constructing dens exemplify the type of learning that the John Muir Award promotes and are also reflective of these pedagogical perspectives.</w:t>
      </w:r>
    </w:p>
    <w:p>
      <w:pPr/>
      <w:r>
        <w:rPr>
          <w:rFonts w:hint="eastAsia"/>
        </w:rPr>
        <w:t>Practical engagement with nature supports not only environmental awareness but also physical well-being, socio-emotional development, and cognitive growth</w:t>
      </w:r>
      <w:r>
        <w:rPr>
          <w:rFonts w:hint="default"/>
          <w:lang w:val="en-GB"/>
        </w:rPr>
        <w:t xml:space="preserve"> (Mitchell and Bushby, 2011)</w:t>
      </w:r>
      <w:r>
        <w:rPr>
          <w:rFonts w:hint="eastAsia"/>
        </w:rPr>
        <w:t>. Research has demonstrated that outdoor experiences enhance children</w:t>
      </w:r>
      <w:r>
        <w:t>’</w:t>
      </w:r>
      <w:r>
        <w:rPr>
          <w:rFonts w:hint="eastAsia"/>
        </w:rPr>
        <w:t>s executive function, concentration, and resilience</w:t>
      </w:r>
      <w:r>
        <w:t xml:space="preserve"> (Scott </w:t>
      </w:r>
      <w:r>
        <w:rPr>
          <w:i/>
        </w:rPr>
        <w:t>et al.,</w:t>
      </w:r>
      <w:r>
        <w:t xml:space="preserve"> 2018)</w:t>
      </w:r>
      <w:r>
        <w:rPr>
          <w:rFonts w:hint="eastAsia"/>
        </w:rPr>
        <w:t>. The Curriculum for Wales and the Curriculum for Non-Maintained Nursery Settings both emphasise well-being and experiential learning, positioning such engagement as central to the aims of early years education in Wales</w:t>
      </w:r>
      <w:r>
        <w:t xml:space="preserve"> (Stewart </w:t>
      </w:r>
      <w:r>
        <w:rPr>
          <w:i/>
        </w:rPr>
        <w:t>et al.,</w:t>
      </w:r>
      <w:r>
        <w:t xml:space="preserve"> 2024)</w:t>
      </w:r>
      <w:r>
        <w:rPr>
          <w:rFonts w:hint="eastAsia"/>
        </w:rPr>
        <w:t>.</w:t>
      </w:r>
      <w:r>
        <w:t xml:space="preserve"> </w:t>
      </w:r>
      <w:r>
        <w:rPr>
          <w:rFonts w:hint="eastAsia"/>
        </w:rPr>
        <w:t>However, significant challenges to this model of learning remain. Not all children have equal access to natural spaces, and early years settings in urban or under-resourced areas may struggle to implement consistent and meaningful outdoor provision</w:t>
      </w:r>
      <w:r>
        <w:t xml:space="preserve"> (Tinney, 2023)</w:t>
      </w:r>
      <w:r>
        <w:rPr>
          <w:rFonts w:hint="eastAsia"/>
        </w:rPr>
        <w:t>. Additionally, practitioners may lack confidence, training, or time to fully integrate nature-based learning into their practice</w:t>
      </w:r>
      <w:r>
        <w:t xml:space="preserve"> (John, 2023)</w:t>
      </w:r>
      <w:r>
        <w:rPr>
          <w:rFonts w:hint="eastAsia"/>
        </w:rPr>
        <w:t>. As such, while the John Muir Award has the potential to deepen young children</w:t>
      </w:r>
      <w:r>
        <w:t>’</w:t>
      </w:r>
      <w:r>
        <w:rPr>
          <w:rFonts w:hint="eastAsia"/>
        </w:rPr>
        <w:t>s engagement with the natural world, its impact is contingent upon systemic support and practitioner capacity.</w:t>
      </w:r>
    </w:p>
    <w:p>
      <w:pPr/>
      <w:r>
        <w:rPr>
          <w:rFonts w:hint="eastAsia"/>
        </w:rPr>
        <w:t xml:space="preserve">Beyond exploration, the John Muir Award requires participants to </w:t>
      </w:r>
      <w:r>
        <w:t>act</w:t>
      </w:r>
      <w:r>
        <w:rPr>
          <w:rFonts w:hint="eastAsia"/>
        </w:rPr>
        <w:t xml:space="preserve"> through conservation activities. This emphasis on doing, rather than simply observing, aligns with ESD</w:t>
      </w:r>
      <w:r>
        <w:t>’</w:t>
      </w:r>
      <w:r>
        <w:rPr>
          <w:rFonts w:hint="eastAsia"/>
        </w:rPr>
        <w:t>s commitment to active citizenship</w:t>
      </w:r>
      <w:r>
        <w:rPr>
          <w:rFonts w:hint="default"/>
          <w:lang w:val="en-GB"/>
        </w:rPr>
        <w:t xml:space="preserve"> (John Muir Trust, 2019)</w:t>
      </w:r>
      <w:r>
        <w:rPr>
          <w:rFonts w:hint="eastAsia"/>
        </w:rPr>
        <w:t>. In early years education, such actions,</w:t>
      </w:r>
      <w:r>
        <w:t xml:space="preserve"> </w:t>
      </w:r>
      <w:r>
        <w:rPr>
          <w:rFonts w:hint="eastAsia"/>
        </w:rPr>
        <w:t>planting wildflowers, participating in clean-up efforts, or caring for school gardens can offer children tangible opportunities to engage with sustainability on a personal and local level</w:t>
      </w:r>
      <w:r>
        <w:t xml:space="preserve"> (Christopher, 2019)</w:t>
      </w:r>
      <w:r>
        <w:rPr>
          <w:rFonts w:hint="eastAsia"/>
        </w:rPr>
        <w:t>.</w:t>
      </w:r>
      <w:r>
        <w:t xml:space="preserve"> </w:t>
      </w:r>
      <w:r>
        <w:rPr>
          <w:rFonts w:hint="eastAsia"/>
        </w:rPr>
        <w:t>The act of taking responsibility for the environment supports the development of agency, a core principle of both ESD and early years pedagogy. Maria Montessori</w:t>
      </w:r>
      <w:r>
        <w:t>’</w:t>
      </w:r>
      <w:r>
        <w:rPr>
          <w:rFonts w:hint="eastAsia"/>
        </w:rPr>
        <w:t>s concept of the child as an active participant in their learning aligns well with this approach</w:t>
      </w:r>
      <w:r>
        <w:t xml:space="preserve"> (Frierson, 2021)</w:t>
      </w:r>
      <w:r>
        <w:rPr>
          <w:rFonts w:hint="eastAsia"/>
        </w:rPr>
        <w:t>, as does Froebel</w:t>
      </w:r>
      <w:r>
        <w:t>’</w:t>
      </w:r>
      <w:r>
        <w:rPr>
          <w:rFonts w:hint="eastAsia"/>
        </w:rPr>
        <w:t>s belief in purposeful, community-oriented activity. More recently, researchers such as Julie Davis</w:t>
      </w:r>
      <w:r>
        <w:t xml:space="preserve"> (2011)</w:t>
      </w:r>
      <w:r>
        <w:rPr>
          <w:rFonts w:hint="eastAsia"/>
        </w:rPr>
        <w:t xml:space="preserve"> have argued that young children are not merely passive recipients of adult knowledge but are citizens of today, capable of contributing meaningfully to sustainability efforts. This is further reinforced by the United Nations Convention on the Rights of the Child (UNCRC), particularly Article 12, which affirms children</w:t>
      </w:r>
      <w:r>
        <w:t>’</w:t>
      </w:r>
      <w:r>
        <w:rPr>
          <w:rFonts w:hint="eastAsia"/>
        </w:rPr>
        <w:t>s rights to express their views on matters that affect them.</w:t>
      </w:r>
      <w:r>
        <w:t xml:space="preserve"> </w:t>
      </w:r>
      <w:r>
        <w:rPr>
          <w:rFonts w:hint="eastAsia"/>
        </w:rPr>
        <w:t>Engaging children in conservation activities fosters self-efficacy, reinforcing the belief that their actions can make a difference. Such experiences also contribute to the development of empathy, responsibility, and social awareness</w:t>
      </w:r>
      <w:r>
        <w:t xml:space="preserve"> (Bradwell, 2019)</w:t>
      </w:r>
      <w:r>
        <w:rPr>
          <w:rFonts w:hint="eastAsia"/>
        </w:rPr>
        <w:t>. The participatory ethos of the John Muir Award aligns with the principles of ESD as it supports ethical citizenship and the development of values-based learning</w:t>
      </w:r>
      <w:r>
        <w:rPr>
          <w:rFonts w:hint="default"/>
          <w:lang w:val="en-GB"/>
        </w:rPr>
        <w:t xml:space="preserve"> (Anderson and Tonner, 2023)</w:t>
      </w:r>
      <w:r>
        <w:rPr>
          <w:rFonts w:hint="eastAsia"/>
        </w:rPr>
        <w:t>.</w:t>
      </w:r>
      <w:r>
        <w:t xml:space="preserve"> </w:t>
      </w:r>
      <w:r>
        <w:rPr>
          <w:rFonts w:hint="eastAsia"/>
        </w:rPr>
        <w:t>Nevertheless, these opportunities are not without limitations. If activities are overly adult-directed, they may reduce opportunities for genuine child agency. Additionally, while the John Muir Award focuses on environmental conservation, it may underrepresent the social and economic dimensions of sustainability, such as equity, cultural identity, and global justice. There is a risk that a narrow environmental focus may eclipse the broader aims of ESD, unless practitioners intentionally expand the framework to incorporate global citizenship, community partnerships, and intercultural learning.</w:t>
      </w:r>
    </w:p>
    <w:p>
      <w:pPr/>
      <w:r>
        <w:rPr>
          <w:rFonts w:hint="eastAsia"/>
        </w:rPr>
        <w:t>A further key element of ESD is the development of futures thinking,</w:t>
      </w:r>
      <w:r>
        <w:t xml:space="preserve"> </w:t>
      </w:r>
      <w:r>
        <w:rPr>
          <w:rFonts w:hint="eastAsia"/>
        </w:rPr>
        <w:t>the ability to envision alternative futures and act with long-term responsibility. For young children, futures thinking may initially seem abstract, but can be meaningfully introduced through storytelling, imaginative play, and creative expression</w:t>
      </w:r>
      <w:r>
        <w:t xml:space="preserve"> (Holfelder, 2019)</w:t>
      </w:r>
      <w:r>
        <w:rPr>
          <w:rFonts w:hint="eastAsia"/>
        </w:rPr>
        <w:t xml:space="preserve">. Within the John Muir Award, the </w:t>
      </w:r>
      <w:r>
        <w:t>“</w:t>
      </w:r>
      <w:r>
        <w:rPr>
          <w:rFonts w:hint="eastAsia"/>
        </w:rPr>
        <w:t>share</w:t>
      </w:r>
      <w:r>
        <w:t>”</w:t>
      </w:r>
      <w:r>
        <w:rPr>
          <w:rFonts w:hint="eastAsia"/>
        </w:rPr>
        <w:t xml:space="preserve"> element can offer children opportunities to communicate their experiences, imagine how landscapes might change, or envision a better future for their local environment.</w:t>
      </w:r>
      <w:r>
        <w:t xml:space="preserve"> </w:t>
      </w:r>
      <w:r>
        <w:rPr>
          <w:rFonts w:hint="eastAsia"/>
        </w:rPr>
        <w:t xml:space="preserve">Futures thinking is essential not only for developing critical awareness but also for nurturing hope and resilience in the face of environmental challenges. Sterling (2001) and Hicks (2012) argue that education must help learners become </w:t>
      </w:r>
      <w:r>
        <w:t>“</w:t>
      </w:r>
      <w:r>
        <w:rPr>
          <w:rFonts w:hint="eastAsia"/>
        </w:rPr>
        <w:t>active hope-builders,</w:t>
      </w:r>
      <w:r>
        <w:t>”</w:t>
      </w:r>
      <w:r>
        <w:rPr>
          <w:rFonts w:hint="eastAsia"/>
        </w:rPr>
        <w:t xml:space="preserve"> capable of imagining and creating more sustainable pathways. In early years settings, this means creating learning environments where children are encouraged to think critically, express ideas, and engage with complexity through age-appropriate means.</w:t>
      </w:r>
      <w:r>
        <w:t xml:space="preserve"> </w:t>
      </w:r>
      <w:r>
        <w:rPr>
          <w:rFonts w:hint="eastAsia"/>
        </w:rPr>
        <w:t>Yet futures thinking remains underexplored in early childhood education. Practitioners may feel uncertain about introducing topics such as climate change or biodiversity loss, fearing that these may be too difficult or distressing for young children. While care must be taken to ensure that learning is developmentally appropriate, excluding such issues altogether may deny children the opportunity to develop the tools they need to understand and respond to the world around them</w:t>
      </w:r>
      <w:r>
        <w:rPr>
          <w:rFonts w:hint="default"/>
          <w:lang w:val="en-GB"/>
        </w:rPr>
        <w:t xml:space="preserve"> (Kalkusch </w:t>
      </w:r>
      <w:r>
        <w:rPr>
          <w:rFonts w:hint="default"/>
          <w:i/>
          <w:iCs/>
          <w:lang w:val="en-GB"/>
        </w:rPr>
        <w:t>et al.,</w:t>
      </w:r>
      <w:r>
        <w:rPr>
          <w:rFonts w:hint="default"/>
          <w:lang w:val="en-GB"/>
        </w:rPr>
        <w:t xml:space="preserve"> 2021). </w:t>
      </w:r>
      <w:r>
        <w:rPr>
          <w:rFonts w:hint="eastAsia"/>
        </w:rPr>
        <w:t>The John Muir Award does not explicitly incorporate futures thinking within its core framework, meaning that its inclusion depends heavily on how practitioners design and interpret the experience.</w:t>
      </w:r>
    </w:p>
    <w:p>
      <w:pPr/>
      <w:r>
        <w:rPr>
          <w:rFonts w:hint="default"/>
          <w:lang w:val="en-GB"/>
        </w:rPr>
        <w:t>To conclude, the Jo</w:t>
      </w:r>
      <w:r>
        <w:rPr>
          <w:rFonts w:hint="eastAsia"/>
        </w:rPr>
        <w:t>hn Muir Award holds significant potential to support the goals of Education for Sustainable Development in the early years. It promotes practical engagement with nature, encourages children to take purposeful action, and can support imaginative and reflective thinking about the future. These themes align with the philosophies of Froebel, Montessori, and Malaguzzi, as well as with contemporary policy frameworks such as the Well-being of Future Generations (Wales) Act and the Curriculum for Wales, which emphasise ethical citizenship, well-being, and learning through real experiences.</w:t>
      </w:r>
      <w:r>
        <w:t xml:space="preserve"> </w:t>
      </w:r>
      <w:r>
        <w:rPr>
          <w:rFonts w:hint="eastAsia"/>
        </w:rPr>
        <w:t>However, the extent to which the John Muir Award can contribute to holistic ESD depends on its implementation. If used narrowly, it risks reinforcing a limited, ecological interpretation of sustainability and may fail to address the broader social, economic, and political dimensions that ESD encompasses. Equally, without adequate training, resources, and institutional support, early years practitioners may struggle to realise its full potential.</w:t>
      </w:r>
      <w:r>
        <w:t xml:space="preserve"> </w:t>
      </w:r>
      <w:r>
        <w:rPr>
          <w:rFonts w:hint="eastAsia"/>
        </w:rPr>
        <w:t>For the John Muir Award to be an effective tool for sustainable development in early childhood, it must be integrated thoughtfully into a rights-respecting, values-based curriculum. It must be adaptable, inclusive, and co-constructed with children in ways that honour their voices and capacities. Most importantly, it must serve as a starting point for wider engagement with the interconnected, complex, and urgent issues that define sustainability education in the 21st century.</w:t>
      </w:r>
    </w:p>
    <w:p>
      <w:pPr>
        <w:rPr>
          <w:b/>
          <w:u w:val="single"/>
        </w:rPr>
      </w:pPr>
      <w:r>
        <w:rPr>
          <w:b/>
          <w:u w:val="single"/>
        </w:rPr>
        <w:t>Reference List</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Boeve-de Pauw, J., Gericke, N., Olsson, D. and Berglund, T. (2015). The Effectiveness of Education for Sustainable Development. </w:t>
      </w:r>
      <w:r>
        <w:rPr>
          <w:rFonts w:eastAsia="Times New Roman" w:cstheme="minorHAnsi"/>
          <w:i/>
          <w:iCs/>
          <w:kern w:val="0"/>
          <w:sz w:val="22"/>
          <w:szCs w:val="22"/>
          <w:lang w:val="en-GB" w:eastAsia="en-GB"/>
        </w:rPr>
        <w:t>Sustainability</w:t>
      </w:r>
      <w:r>
        <w:rPr>
          <w:rFonts w:eastAsia="Times New Roman" w:cstheme="minorHAnsi"/>
          <w:kern w:val="0"/>
          <w:sz w:val="22"/>
          <w:szCs w:val="22"/>
          <w:lang w:val="en-GB" w:eastAsia="en-GB"/>
        </w:rPr>
        <w:t>, [online] 7(11), pp.15693–15717. doi:https://doi.org/10.3390/su71115693. (Accessed: 2nd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Bradwell, M. (2019). Voice, views and the UNCRC Articles 12 and 13. </w:t>
      </w:r>
      <w:r>
        <w:rPr>
          <w:rFonts w:eastAsia="Times New Roman" w:cstheme="minorHAnsi"/>
          <w:i/>
          <w:iCs/>
          <w:kern w:val="0"/>
          <w:sz w:val="22"/>
          <w:szCs w:val="22"/>
          <w:lang w:val="en-GB" w:eastAsia="en-GB"/>
        </w:rPr>
        <w:t>Journal of Early Childhood Research</w:t>
      </w:r>
      <w:r>
        <w:rPr>
          <w:rFonts w:eastAsia="Times New Roman" w:cstheme="minorHAnsi"/>
          <w:kern w:val="0"/>
          <w:sz w:val="22"/>
          <w:szCs w:val="22"/>
          <w:lang w:val="en-GB" w:eastAsia="en-GB"/>
        </w:rPr>
        <w:t>, 17(4), pp.423–433. doi:https://doi.org/10.1177/1476718x19875780. (Accessed: 2nd July 2025).</w:t>
      </w:r>
    </w:p>
    <w:p>
      <w:pPr>
        <w:rPr>
          <w:rFonts w:cstheme="minorHAnsi"/>
          <w:sz w:val="22"/>
          <w:szCs w:val="22"/>
        </w:rPr>
      </w:pPr>
      <w:r>
        <w:rPr>
          <w:rFonts w:cstheme="minorHAnsi"/>
          <w:sz w:val="22"/>
          <w:szCs w:val="22"/>
        </w:rPr>
        <w:t>Brundtland Commission, 1987. Our common future. Oxford: Oxford University Press.</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Christopher (2019). </w:t>
      </w:r>
      <w:r>
        <w:rPr>
          <w:rFonts w:eastAsia="Times New Roman" w:cstheme="minorHAnsi"/>
          <w:i/>
          <w:iCs/>
          <w:kern w:val="0"/>
          <w:sz w:val="22"/>
          <w:szCs w:val="22"/>
          <w:lang w:val="en-GB" w:eastAsia="en-GB"/>
        </w:rPr>
        <w:t>The School Garden Curriculum</w:t>
      </w:r>
      <w:r>
        <w:rPr>
          <w:rFonts w:eastAsia="Times New Roman" w:cstheme="minorHAnsi"/>
          <w:kern w:val="0"/>
          <w:sz w:val="22"/>
          <w:szCs w:val="22"/>
          <w:lang w:val="en-GB" w:eastAsia="en-GB"/>
        </w:rPr>
        <w:t>. [online] Google Books. Available at: https://books.google.co.uk/books?hl=en&amp;lr=&amp;id=BVBwDwAAQBAJ&amp;oi=fnd&amp;pg=PP1&amp;dq=In+early+years+education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Daelmans, B., Darmstadt, G.L., Lombardi, J., Black, M.M., Britto, P.R., Lye, S., Dua, T., Bhutta, Z.A. and Richter, L.M. (2017). Early childhood development: the foundation of sustainable development. </w:t>
      </w:r>
      <w:r>
        <w:rPr>
          <w:rFonts w:eastAsia="Times New Roman" w:cstheme="minorHAnsi"/>
          <w:i/>
          <w:iCs/>
          <w:kern w:val="0"/>
          <w:sz w:val="22"/>
          <w:szCs w:val="22"/>
          <w:lang w:val="en-GB" w:eastAsia="en-GB"/>
        </w:rPr>
        <w:t>The Lancet</w:t>
      </w:r>
      <w:r>
        <w:rPr>
          <w:rFonts w:eastAsia="Times New Roman" w:cstheme="minorHAnsi"/>
          <w:kern w:val="0"/>
          <w:sz w:val="22"/>
          <w:szCs w:val="22"/>
          <w:lang w:val="en-GB" w:eastAsia="en-GB"/>
        </w:rPr>
        <w:t>, [online] 389(10064), pp.9–11. doi:https://doi.org/10.1016/s0140-6736(16)31659-2.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Davis, J. (2021). Probing the gap between policy and practice in initial early childhood teacher education in australia in relation to education for sustainability. </w:t>
      </w:r>
      <w:r>
        <w:rPr>
          <w:rFonts w:eastAsia="Times New Roman" w:cstheme="minorHAnsi"/>
          <w:i/>
          <w:iCs/>
          <w:kern w:val="0"/>
          <w:sz w:val="22"/>
          <w:szCs w:val="22"/>
          <w:lang w:val="en-GB" w:eastAsia="en-GB"/>
        </w:rPr>
        <w:t>Asia-Pacific Journal of Teacher Education</w:t>
      </w:r>
      <w:r>
        <w:rPr>
          <w:rFonts w:eastAsia="Times New Roman" w:cstheme="minorHAnsi"/>
          <w:kern w:val="0"/>
          <w:sz w:val="22"/>
          <w:szCs w:val="22"/>
          <w:lang w:val="en-GB" w:eastAsia="en-GB"/>
        </w:rPr>
        <w:t>, 49(5), pp.1–16. doi:https://doi.org/10.1080/1359866x.2021.1880545. (Accessed: 4th July 2025).</w:t>
      </w:r>
    </w:p>
    <w:p>
      <w:pPr>
        <w:rPr>
          <w:rFonts w:cstheme="minorHAnsi"/>
          <w:sz w:val="22"/>
          <w:szCs w:val="22"/>
        </w:rPr>
      </w:pPr>
      <w:r>
        <w:rPr>
          <w:rFonts w:cstheme="minorHAnsi"/>
          <w:sz w:val="22"/>
          <w:szCs w:val="22"/>
        </w:rPr>
        <w:t>Davis, J., 2010. Young children and the environment: Early education for sustainability. Cambridge: Cambridge University Press.</w:t>
      </w:r>
      <w:r>
        <w:rPr>
          <w:rFonts w:cstheme="minorHAnsi"/>
          <w:sz w:val="22"/>
          <w:szCs w:val="22"/>
          <w:lang w:val="en-GB"/>
        </w:rPr>
        <w:t xml:space="preserve"> </w:t>
      </w:r>
      <w:r>
        <w:rPr>
          <w:rFonts w:eastAsia="Times New Roman" w:cstheme="minorHAnsi"/>
          <w:kern w:val="0"/>
          <w:sz w:val="22"/>
          <w:szCs w:val="22"/>
          <w:lang w:val="en-GB" w:eastAsia="en-GB"/>
        </w:rPr>
        <w:t>(Accessed: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Edwards, S., Skouteris, H., Cutter-Mackenzie, A., Rutherford, L., O’Conner, M., Mantilla, A., Morris, H. and Elliot, S. (2015). Young children learning about well-being and environmental education in the early years: a funds of knowledge approach. </w:t>
      </w:r>
      <w:r>
        <w:rPr>
          <w:rFonts w:eastAsia="Times New Roman" w:cstheme="minorHAnsi"/>
          <w:i/>
          <w:iCs/>
          <w:kern w:val="0"/>
          <w:sz w:val="22"/>
          <w:szCs w:val="22"/>
          <w:lang w:val="en-GB" w:eastAsia="en-GB"/>
        </w:rPr>
        <w:t>Early Years</w:t>
      </w:r>
      <w:r>
        <w:rPr>
          <w:rFonts w:eastAsia="Times New Roman" w:cstheme="minorHAnsi"/>
          <w:kern w:val="0"/>
          <w:sz w:val="22"/>
          <w:szCs w:val="22"/>
          <w:lang w:val="en-GB" w:eastAsia="en-GB"/>
        </w:rPr>
        <w:t>, 36(1), pp.33–50. doi:https://doi.org/10.1080/09575146.2015.1064099. (Accessed: 4th July 2025).</w:t>
      </w:r>
    </w:p>
    <w:p>
      <w:pPr>
        <w:rPr>
          <w:rFonts w:cstheme="minorHAnsi"/>
          <w:sz w:val="22"/>
          <w:szCs w:val="22"/>
        </w:rPr>
      </w:pPr>
      <w:r>
        <w:rPr>
          <w:rFonts w:cstheme="minorHAnsi"/>
          <w:sz w:val="22"/>
          <w:szCs w:val="22"/>
        </w:rPr>
        <w:t>Elliott, S. and Davis, J., 2009. Exploring the resistance: An Australian perspective on educating for sustainability in early childhood. International Journal of Early Childhood, 41(2), pp.65–77.</w:t>
      </w:r>
      <w:r>
        <w:rPr>
          <w:rFonts w:cstheme="minorHAnsi"/>
          <w:sz w:val="22"/>
          <w:szCs w:val="22"/>
          <w:lang w:val="en-GB"/>
        </w:rPr>
        <w:t xml:space="preserve"> </w:t>
      </w:r>
      <w:r>
        <w:rPr>
          <w:rFonts w:eastAsia="Times New Roman" w:cstheme="minorHAnsi"/>
          <w:kern w:val="0"/>
          <w:sz w:val="22"/>
          <w:szCs w:val="22"/>
          <w:lang w:val="en-GB" w:eastAsia="en-GB"/>
        </w:rPr>
        <w:t>(Accessed: 4th July 2025).</w:t>
      </w:r>
    </w:p>
    <w:p>
      <w:pPr>
        <w:rPr>
          <w:rFonts w:cstheme="minorHAnsi"/>
          <w:sz w:val="22"/>
          <w:szCs w:val="22"/>
        </w:rPr>
      </w:pPr>
      <w:r>
        <w:rPr>
          <w:rFonts w:cstheme="minorHAnsi"/>
          <w:sz w:val="22"/>
          <w:szCs w:val="22"/>
        </w:rPr>
        <w:t>Estyn, 2014. ESDGC: Progress in education for sustainable development and global citizenship in schools. Cardiff: Estyn.</w:t>
      </w:r>
      <w:r>
        <w:rPr>
          <w:rFonts w:cstheme="minorHAnsi"/>
          <w:sz w:val="22"/>
          <w:szCs w:val="22"/>
          <w:lang w:val="en-GB"/>
        </w:rPr>
        <w:t xml:space="preserve"> </w:t>
      </w:r>
      <w:r>
        <w:rPr>
          <w:rFonts w:eastAsia="Times New Roman" w:cstheme="minorHAnsi"/>
          <w:kern w:val="0"/>
          <w:sz w:val="22"/>
          <w:szCs w:val="22"/>
          <w:lang w:val="en-GB" w:eastAsia="en-GB"/>
        </w:rPr>
        <w:t>(Accessed: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Evans, N., Stevenson, R.B., Lasen, M., Ferreira, J.-A. and Davis, J. (2017). Approaches to embedding sustainability in teacher education: A synthesis of the literature. </w:t>
      </w:r>
      <w:r>
        <w:rPr>
          <w:rFonts w:eastAsia="Times New Roman" w:cstheme="minorHAnsi"/>
          <w:i/>
          <w:iCs/>
          <w:kern w:val="0"/>
          <w:sz w:val="22"/>
          <w:szCs w:val="22"/>
          <w:lang w:val="en-GB" w:eastAsia="en-GB"/>
        </w:rPr>
        <w:t>Teaching and Teacher Education</w:t>
      </w:r>
      <w:r>
        <w:rPr>
          <w:rFonts w:eastAsia="Times New Roman" w:cstheme="minorHAnsi"/>
          <w:kern w:val="0"/>
          <w:sz w:val="22"/>
          <w:szCs w:val="22"/>
          <w:lang w:val="en-GB" w:eastAsia="en-GB"/>
        </w:rPr>
        <w:t>, [online] 63, pp.405–417. doi:https://doi.org/10.1016/j.tate.2017.01.013.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FRIERSON, P. (2021). The Moral Philosophy of Maria Montessori. </w:t>
      </w:r>
      <w:r>
        <w:rPr>
          <w:rFonts w:eastAsia="Times New Roman" w:cstheme="minorHAnsi"/>
          <w:i/>
          <w:iCs/>
          <w:kern w:val="0"/>
          <w:sz w:val="22"/>
          <w:szCs w:val="22"/>
          <w:lang w:val="en-GB" w:eastAsia="en-GB"/>
        </w:rPr>
        <w:t>Journal of the American Philosophical Association</w:t>
      </w:r>
      <w:r>
        <w:rPr>
          <w:rFonts w:eastAsia="Times New Roman" w:cstheme="minorHAnsi"/>
          <w:kern w:val="0"/>
          <w:sz w:val="22"/>
          <w:szCs w:val="22"/>
          <w:lang w:val="en-GB" w:eastAsia="en-GB"/>
        </w:rPr>
        <w:t>, 7(2), pp.1–22. doi:https://doi.org/10.1017/apa.2019.41. (Accessed: 4th July 2025).</w:t>
      </w:r>
    </w:p>
    <w:p>
      <w:pPr>
        <w:rPr>
          <w:rFonts w:cstheme="minorHAnsi"/>
          <w:sz w:val="22"/>
          <w:szCs w:val="22"/>
        </w:rPr>
      </w:pPr>
      <w:r>
        <w:rPr>
          <w:rFonts w:cstheme="minorHAnsi"/>
          <w:sz w:val="22"/>
          <w:szCs w:val="22"/>
        </w:rPr>
        <w:t>Froebel, F., 1887. The education of man. New York: D. Appleton and Company.</w:t>
      </w:r>
      <w:r>
        <w:rPr>
          <w:rFonts w:cstheme="minorHAnsi"/>
          <w:sz w:val="22"/>
          <w:szCs w:val="22"/>
          <w:lang w:val="en-GB"/>
        </w:rPr>
        <w:t xml:space="preserve"> </w:t>
      </w:r>
      <w:r>
        <w:rPr>
          <w:rFonts w:eastAsia="Times New Roman" w:cstheme="minorHAnsi"/>
          <w:kern w:val="0"/>
          <w:sz w:val="22"/>
          <w:szCs w:val="22"/>
          <w:lang w:val="en-GB" w:eastAsia="en-GB"/>
        </w:rPr>
        <w:t>(Accessed: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Güler Yıldız, T., Öztürk, N., İlhan İyi, T., Aşkar, N., Banko Bal, Ç., Karabekmez, S. and Höl, Ş. (2021). Education for sustainability in early childhood education: a systematic review. </w:t>
      </w:r>
      <w:r>
        <w:rPr>
          <w:rFonts w:eastAsia="Times New Roman" w:cstheme="minorHAnsi"/>
          <w:i/>
          <w:iCs/>
          <w:kern w:val="0"/>
          <w:sz w:val="22"/>
          <w:szCs w:val="22"/>
          <w:lang w:val="en-GB" w:eastAsia="en-GB"/>
        </w:rPr>
        <w:t>Environmental Education Research</w:t>
      </w:r>
      <w:r>
        <w:rPr>
          <w:rFonts w:eastAsia="Times New Roman" w:cstheme="minorHAnsi"/>
          <w:kern w:val="0"/>
          <w:sz w:val="22"/>
          <w:szCs w:val="22"/>
          <w:lang w:val="en-GB" w:eastAsia="en-GB"/>
        </w:rPr>
        <w:t>, 27(6), pp.1–23. doi:https://doi.org/10.1080/13504622.2021.1896680.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Hedefalk, M., Almqvist, J. and Östman, L. (2014). Education for sustainable development in early childhood education: a review of the research literature. </w:t>
      </w:r>
      <w:r>
        <w:rPr>
          <w:rFonts w:eastAsia="Times New Roman" w:cstheme="minorHAnsi"/>
          <w:i/>
          <w:iCs/>
          <w:kern w:val="0"/>
          <w:sz w:val="22"/>
          <w:szCs w:val="22"/>
          <w:lang w:val="en-GB" w:eastAsia="en-GB"/>
        </w:rPr>
        <w:t>Environmental Education Research</w:t>
      </w:r>
      <w:r>
        <w:rPr>
          <w:rFonts w:eastAsia="Times New Roman" w:cstheme="minorHAnsi"/>
          <w:kern w:val="0"/>
          <w:sz w:val="22"/>
          <w:szCs w:val="22"/>
          <w:lang w:val="en-GB" w:eastAsia="en-GB"/>
        </w:rPr>
        <w:t>, 21(7), pp.975–990. doi:https://doi.org/10.1080/13504622.2014.971716. (Accessed: 4th July 2025).</w:t>
      </w:r>
    </w:p>
    <w:p>
      <w:pPr>
        <w:rPr>
          <w:rFonts w:cstheme="minorHAnsi"/>
          <w:b/>
          <w:bCs/>
          <w:sz w:val="22"/>
          <w:szCs w:val="22"/>
        </w:rPr>
      </w:pPr>
      <w:r>
        <w:rPr>
          <w:rFonts w:cstheme="minorHAnsi"/>
          <w:b/>
          <w:bCs/>
          <w:sz w:val="22"/>
          <w:szCs w:val="22"/>
        </w:rPr>
        <w:t>Hedefalk, M., Almqvist, J. and Östman, L., 2015. Education for sustainable development in early childhood education: A review of the research literature. Environmental Education Research, 21(7), pp.975–990.</w:t>
      </w:r>
      <w:r>
        <w:rPr>
          <w:rFonts w:cstheme="minorHAnsi"/>
          <w:b/>
          <w:bCs/>
          <w:sz w:val="22"/>
          <w:szCs w:val="22"/>
          <w:lang w:val="en-GB"/>
        </w:rPr>
        <w:t xml:space="preserve"> </w:t>
      </w:r>
      <w:r>
        <w:rPr>
          <w:rFonts w:eastAsia="Times New Roman" w:cstheme="minorHAnsi"/>
          <w:b/>
          <w:bCs/>
          <w:kern w:val="0"/>
          <w:sz w:val="22"/>
          <w:szCs w:val="22"/>
          <w:lang w:val="en-GB" w:eastAsia="en-GB"/>
        </w:rPr>
        <w:t>(Accessed: 4th July 2025).</w:t>
      </w:r>
    </w:p>
    <w:p>
      <w:pPr>
        <w:rPr>
          <w:rFonts w:cstheme="minorHAnsi"/>
          <w:sz w:val="22"/>
          <w:szCs w:val="22"/>
        </w:rPr>
      </w:pPr>
      <w:r>
        <w:rPr>
          <w:rFonts w:cstheme="minorHAnsi"/>
          <w:b/>
          <w:bCs/>
          <w:sz w:val="22"/>
          <w:szCs w:val="22"/>
        </w:rPr>
        <w:t xml:space="preserve">Hicks, D., 2012. The future only arrives when things look dangerous: Exploring the role of future scenarios in ESD. </w:t>
      </w:r>
      <w:r>
        <w:rPr>
          <w:rFonts w:eastAsia="Times New Roman" w:cstheme="minorHAnsi"/>
          <w:b/>
          <w:bCs/>
          <w:kern w:val="0"/>
          <w:sz w:val="22"/>
          <w:szCs w:val="22"/>
          <w:lang w:val="en-GB" w:eastAsia="en-GB"/>
        </w:rPr>
        <w:t>(Accessed: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Holfelder, A.-K. (2019). Towards a Sustainable Future with education? </w:t>
      </w:r>
      <w:r>
        <w:rPr>
          <w:rFonts w:eastAsia="Times New Roman" w:cstheme="minorHAnsi"/>
          <w:i/>
          <w:iCs/>
          <w:kern w:val="0"/>
          <w:sz w:val="22"/>
          <w:szCs w:val="22"/>
          <w:lang w:val="en-GB" w:eastAsia="en-GB"/>
        </w:rPr>
        <w:t>Sustainability Science</w:t>
      </w:r>
      <w:r>
        <w:rPr>
          <w:rFonts w:eastAsia="Times New Roman" w:cstheme="minorHAnsi"/>
          <w:kern w:val="0"/>
          <w:sz w:val="22"/>
          <w:szCs w:val="22"/>
          <w:lang w:val="en-GB" w:eastAsia="en-GB"/>
        </w:rPr>
        <w:t>, [online] 14(4), pp.943–952. doi:https://doi.org/10.1007/s11625-019-00682-z.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Jenkins, V. (2018). Sustainable Management of Natural Resources: Lessons from Wales. </w:t>
      </w:r>
      <w:r>
        <w:rPr>
          <w:rFonts w:eastAsia="Times New Roman" w:cstheme="minorHAnsi"/>
          <w:i/>
          <w:iCs/>
          <w:kern w:val="0"/>
          <w:sz w:val="22"/>
          <w:szCs w:val="22"/>
          <w:lang w:val="en-GB" w:eastAsia="en-GB"/>
        </w:rPr>
        <w:t>Journal of Environmental Law</w:t>
      </w:r>
      <w:r>
        <w:rPr>
          <w:rFonts w:eastAsia="Times New Roman" w:cstheme="minorHAnsi"/>
          <w:kern w:val="0"/>
          <w:sz w:val="22"/>
          <w:szCs w:val="22"/>
          <w:lang w:val="en-GB" w:eastAsia="en-GB"/>
        </w:rPr>
        <w:t>, [online] 30(3), pp.399–423. doi:https://doi.org/10.1093/jel/eqy012.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Jones, N. (2023). </w:t>
      </w:r>
      <w:r>
        <w:rPr>
          <w:rFonts w:eastAsia="Times New Roman" w:cstheme="minorHAnsi"/>
          <w:i/>
          <w:iCs/>
          <w:kern w:val="0"/>
          <w:sz w:val="22"/>
          <w:szCs w:val="22"/>
          <w:lang w:val="en-GB" w:eastAsia="en-GB"/>
        </w:rPr>
        <w:t>Progressive early-years approaches and the disadvantaged learner – the case of the Welsh Foundation Phase</w:t>
      </w:r>
      <w:r>
        <w:rPr>
          <w:rFonts w:eastAsia="Times New Roman" w:cstheme="minorHAnsi"/>
          <w:kern w:val="0"/>
          <w:sz w:val="22"/>
          <w:szCs w:val="22"/>
          <w:lang w:val="en-GB" w:eastAsia="en-GB"/>
        </w:rPr>
        <w:t xml:space="preserve">. [online] orca.cardiff.ac.uk. Available at: </w:t>
      </w:r>
      <w:r>
        <w:fldChar w:fldCharType="begin"/>
      </w:r>
      <w:r>
        <w:instrText xml:space="preserve"> HYPERLINK "https://orca.cardiff.ac.uk/id/eprint/166427/" </w:instrText>
      </w:r>
      <w:r>
        <w:fldChar w:fldCharType="separate"/>
      </w:r>
      <w:r>
        <w:rPr>
          <w:rStyle w:val="7"/>
          <w:rFonts w:eastAsia="Times New Roman" w:cstheme="minorHAnsi"/>
          <w:kern w:val="0"/>
          <w:sz w:val="22"/>
          <w:szCs w:val="22"/>
          <w:lang w:val="en-GB" w:eastAsia="en-GB"/>
        </w:rPr>
        <w:t>https://orca.cardiff.ac.uk/id/eprint/166427/</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(Accessed: 4th July 2025).</w:t>
      </w:r>
    </w:p>
    <w:p>
      <w:pPr>
        <w:rPr>
          <w:rFonts w:cstheme="minorHAnsi"/>
          <w:b/>
          <w:bCs/>
          <w:sz w:val="22"/>
          <w:szCs w:val="22"/>
        </w:rPr>
      </w:pPr>
      <w:r>
        <w:rPr>
          <w:rFonts w:cstheme="minorHAnsi"/>
          <w:b/>
          <w:bCs/>
          <w:sz w:val="22"/>
          <w:szCs w:val="22"/>
        </w:rPr>
        <w:t>Knight, S., 2013. Forest school and outdoor learning in the early years. 2nd ed. London: Sage.</w:t>
      </w:r>
    </w:p>
    <w:p>
      <w:pPr>
        <w:widowControl/>
        <w:spacing w:after="240" w:line="360" w:lineRule="auto"/>
        <w:jc w:val="left"/>
        <w:rPr>
          <w:rFonts w:eastAsia="Times New Roman" w:cstheme="minorHAnsi"/>
          <w:b/>
          <w:bCs/>
          <w:kern w:val="0"/>
          <w:sz w:val="22"/>
          <w:szCs w:val="22"/>
          <w:lang w:val="en-GB" w:eastAsia="en-GB"/>
        </w:rPr>
      </w:pPr>
      <w:r>
        <w:rPr>
          <w:rFonts w:eastAsia="Times New Roman" w:cstheme="minorHAnsi"/>
          <w:b/>
          <w:bCs/>
          <w:kern w:val="0"/>
          <w:sz w:val="22"/>
          <w:szCs w:val="22"/>
          <w:lang w:val="en-GB" w:eastAsia="en-GB"/>
        </w:rPr>
        <w:t xml:space="preserve">Macintyre, C. (2016). </w:t>
      </w:r>
      <w:r>
        <w:rPr>
          <w:rFonts w:eastAsia="Times New Roman" w:cstheme="minorHAnsi"/>
          <w:b/>
          <w:bCs/>
          <w:i/>
          <w:iCs/>
          <w:kern w:val="0"/>
          <w:sz w:val="22"/>
          <w:szCs w:val="22"/>
          <w:lang w:val="en-GB" w:eastAsia="en-GB"/>
        </w:rPr>
        <w:t>Enhancing Learning through Play</w:t>
      </w:r>
      <w:r>
        <w:rPr>
          <w:rFonts w:eastAsia="Times New Roman" w:cstheme="minorHAnsi"/>
          <w:b/>
          <w:bCs/>
          <w:kern w:val="0"/>
          <w:sz w:val="22"/>
          <w:szCs w:val="22"/>
          <w:lang w:val="en-GB" w:eastAsia="en-GB"/>
        </w:rPr>
        <w:t>. [online] 3rd Edition. | New York : Routledge, 2017.: Routledge. doi:https://doi.org/10.4324/9781315617107.</w:t>
      </w:r>
    </w:p>
    <w:p>
      <w:pPr>
        <w:rPr>
          <w:rFonts w:cstheme="minorHAnsi"/>
          <w:b/>
          <w:bCs/>
          <w:sz w:val="22"/>
          <w:szCs w:val="22"/>
        </w:rPr>
      </w:pPr>
      <w:r>
        <w:rPr>
          <w:rFonts w:cstheme="minorHAnsi"/>
          <w:b/>
          <w:bCs/>
          <w:sz w:val="22"/>
          <w:szCs w:val="22"/>
        </w:rPr>
        <w:t>Malaguzzi, L., 1996. The hundred languages of children. In: C. Edwards, L. Gandini and G. Forman, eds. The hundred languages of children: The Reggio Emilia approach to early childhood education. Norwood, NJ: Ablex, pp.</w:t>
      </w:r>
    </w:p>
    <w:p>
      <w:pPr>
        <w:widowControl/>
        <w:spacing w:after="240" w:line="360" w:lineRule="auto"/>
        <w:jc w:val="left"/>
        <w:rPr>
          <w:rFonts w:eastAsia="Times New Roman" w:cstheme="minorHAnsi"/>
          <w:b/>
          <w:bCs/>
          <w:kern w:val="0"/>
          <w:sz w:val="22"/>
          <w:szCs w:val="22"/>
          <w:lang w:val="en-GB" w:eastAsia="en-GB"/>
        </w:rPr>
      </w:pPr>
      <w:r>
        <w:rPr>
          <w:rFonts w:eastAsia="Times New Roman" w:cstheme="minorHAnsi"/>
          <w:b/>
          <w:bCs/>
          <w:kern w:val="0"/>
          <w:sz w:val="22"/>
          <w:szCs w:val="22"/>
          <w:lang w:val="en-GB" w:eastAsia="en-GB"/>
        </w:rPr>
        <w:t xml:space="preserve">McNair, L.J. and Powell, S. (2020). Friedrich Froebel: a path least trodden. </w:t>
      </w:r>
      <w:r>
        <w:rPr>
          <w:rFonts w:eastAsia="Times New Roman" w:cstheme="minorHAnsi"/>
          <w:b/>
          <w:bCs/>
          <w:i/>
          <w:iCs/>
          <w:kern w:val="0"/>
          <w:sz w:val="22"/>
          <w:szCs w:val="22"/>
          <w:lang w:val="en-GB" w:eastAsia="en-GB"/>
        </w:rPr>
        <w:t>Early Child Development and Care</w:t>
      </w:r>
      <w:r>
        <w:rPr>
          <w:rFonts w:eastAsia="Times New Roman" w:cstheme="minorHAnsi"/>
          <w:b/>
          <w:bCs/>
          <w:kern w:val="0"/>
          <w:sz w:val="22"/>
          <w:szCs w:val="22"/>
          <w:lang w:val="en-GB" w:eastAsia="en-GB"/>
        </w:rPr>
        <w:t>, 191(7-8), pp.1–11. doi:https://doi.org/10.1080/03004430.2020.1803299.</w:t>
      </w:r>
    </w:p>
    <w:p>
      <w:pPr>
        <w:rPr>
          <w:rFonts w:cstheme="minorHAnsi"/>
          <w:sz w:val="22"/>
          <w:szCs w:val="22"/>
        </w:rPr>
      </w:pPr>
      <w:r>
        <w:rPr>
          <w:rFonts w:cstheme="minorHAnsi"/>
          <w:b/>
          <w:bCs/>
          <w:sz w:val="22"/>
          <w:szCs w:val="22"/>
        </w:rPr>
        <w:t>Montessori, M., 1967. The absorbent mind. New York: Holt, Rinehart and Winston.</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New Forest National Park Authority (2024). </w:t>
      </w:r>
      <w:r>
        <w:rPr>
          <w:rFonts w:eastAsia="Times New Roman" w:cstheme="minorHAnsi"/>
          <w:i/>
          <w:iCs/>
          <w:kern w:val="0"/>
          <w:sz w:val="22"/>
          <w:szCs w:val="22"/>
          <w:lang w:val="en-GB" w:eastAsia="en-GB"/>
        </w:rPr>
        <w:t>John Muir Award - New Forest National Park Authority</w:t>
      </w:r>
      <w:r>
        <w:rPr>
          <w:rFonts w:eastAsia="Times New Roman" w:cstheme="minorHAnsi"/>
          <w:kern w:val="0"/>
          <w:sz w:val="22"/>
          <w:szCs w:val="22"/>
          <w:lang w:val="en-GB" w:eastAsia="en-GB"/>
        </w:rPr>
        <w:t xml:space="preserve">. [online] New Forest National Park Authority. Available at: </w:t>
      </w:r>
      <w:r>
        <w:fldChar w:fldCharType="begin"/>
      </w:r>
      <w:r>
        <w:instrText xml:space="preserve"> HYPERLINK "https://www.newforestnpa.gov.uk/communities/young-people/youth-schemes/john-muir" </w:instrText>
      </w:r>
      <w:r>
        <w:fldChar w:fldCharType="separate"/>
      </w:r>
      <w:r>
        <w:rPr>
          <w:rStyle w:val="7"/>
          <w:rFonts w:eastAsia="Times New Roman" w:cstheme="minorHAnsi"/>
          <w:kern w:val="0"/>
          <w:sz w:val="22"/>
          <w:szCs w:val="22"/>
          <w:lang w:val="en-GB" w:eastAsia="en-GB"/>
        </w:rPr>
        <w:t>https://www.newforestnpa.gov.uk/communities/young-people/youth-schemes/john-muir</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xml:space="preserve">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Pramling Samuelsson, I. (2011). Why We Should Begin Early with ESD: The Role of Early Childhood Education. </w:t>
      </w:r>
      <w:r>
        <w:rPr>
          <w:rFonts w:eastAsia="Times New Roman" w:cstheme="minorHAnsi"/>
          <w:i/>
          <w:iCs/>
          <w:kern w:val="0"/>
          <w:sz w:val="22"/>
          <w:szCs w:val="22"/>
          <w:lang w:val="en-GB" w:eastAsia="en-GB"/>
        </w:rPr>
        <w:t>International Journal of Early Childhood</w:t>
      </w:r>
      <w:r>
        <w:rPr>
          <w:rFonts w:eastAsia="Times New Roman" w:cstheme="minorHAnsi"/>
          <w:kern w:val="0"/>
          <w:sz w:val="22"/>
          <w:szCs w:val="22"/>
          <w:lang w:val="en-GB" w:eastAsia="en-GB"/>
        </w:rPr>
        <w:t>, 43(2), pp.103–118. doi:https://doi.org/10.1007/s13158-011-0034-x.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Robson, K. (2017). Review of the Literature on the Reggio Emilia Approach to Education with a Focus on the Principle of the Environment as the Third Teacher. </w:t>
      </w:r>
      <w:r>
        <w:rPr>
          <w:rFonts w:eastAsia="Times New Roman" w:cstheme="minorHAnsi"/>
          <w:i/>
          <w:iCs/>
          <w:kern w:val="0"/>
          <w:sz w:val="22"/>
          <w:szCs w:val="22"/>
          <w:lang w:val="en-GB" w:eastAsia="en-GB"/>
        </w:rPr>
        <w:t>The International Journal of Holistic Early Learning and Development</w:t>
      </w:r>
      <w:r>
        <w:rPr>
          <w:rFonts w:eastAsia="Times New Roman" w:cstheme="minorHAnsi"/>
          <w:kern w:val="0"/>
          <w:sz w:val="22"/>
          <w:szCs w:val="22"/>
          <w:lang w:val="en-GB" w:eastAsia="en-GB"/>
        </w:rPr>
        <w:t xml:space="preserve">, [online] 4(0), pp.35–44. Available at: </w:t>
      </w:r>
      <w:r>
        <w:fldChar w:fldCharType="begin"/>
      </w:r>
      <w:r>
        <w:instrText xml:space="preserve"> HYPERLINK "https://ijheld.lakeheadu.ca/article/view/1536" </w:instrText>
      </w:r>
      <w:r>
        <w:fldChar w:fldCharType="separate"/>
      </w:r>
      <w:r>
        <w:rPr>
          <w:rStyle w:val="7"/>
          <w:rFonts w:eastAsia="Times New Roman" w:cstheme="minorHAnsi"/>
          <w:kern w:val="0"/>
          <w:sz w:val="22"/>
          <w:szCs w:val="22"/>
          <w:lang w:val="en-GB" w:eastAsia="en-GB"/>
        </w:rPr>
        <w:t>https://ijheld.lakeheadu.ca/article/view/1536</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Scott, J.T., Kilmer, R.P., Wang, C., Cook, J.R. and Haber, M.G. (2018). Natural Environments Near Schools: Potential Benefits for Socio-Emotional and Behavioral Development in Early Childhood. </w:t>
      </w:r>
      <w:r>
        <w:rPr>
          <w:rFonts w:eastAsia="Times New Roman" w:cstheme="minorHAnsi"/>
          <w:i/>
          <w:iCs/>
          <w:kern w:val="0"/>
          <w:sz w:val="22"/>
          <w:szCs w:val="22"/>
          <w:lang w:val="en-GB" w:eastAsia="en-GB"/>
        </w:rPr>
        <w:t>American Journal of Community Psychology</w:t>
      </w:r>
      <w:r>
        <w:rPr>
          <w:rFonts w:eastAsia="Times New Roman" w:cstheme="minorHAnsi"/>
          <w:kern w:val="0"/>
          <w:sz w:val="22"/>
          <w:szCs w:val="22"/>
          <w:lang w:val="en-GB" w:eastAsia="en-GB"/>
        </w:rPr>
        <w:t>, [online] 62(3-4), pp.419–432. doi:https://doi.org/10.1002/ajcp.12272.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Siraj-Blatchford, J., Smith, K.C. and Samuelsson, I.P. (2010). </w:t>
      </w:r>
      <w:r>
        <w:rPr>
          <w:rFonts w:eastAsia="Times New Roman" w:cstheme="minorHAnsi"/>
          <w:i/>
          <w:iCs/>
          <w:kern w:val="0"/>
          <w:sz w:val="22"/>
          <w:szCs w:val="22"/>
          <w:lang w:val="en-GB" w:eastAsia="en-GB"/>
        </w:rPr>
        <w:t>Education for Sustainable Development in the Early Years</w:t>
      </w:r>
      <w:r>
        <w:rPr>
          <w:rFonts w:eastAsia="Times New Roman" w:cstheme="minorHAnsi"/>
          <w:kern w:val="0"/>
          <w:sz w:val="22"/>
          <w:szCs w:val="22"/>
          <w:lang w:val="en-GB" w:eastAsia="en-GB"/>
        </w:rPr>
        <w:t xml:space="preserve">. [online] Available at: </w:t>
      </w:r>
      <w:r>
        <w:fldChar w:fldCharType="begin"/>
      </w:r>
      <w:r>
        <w:instrText xml:space="preserve"> HYPERLINK "https://www.researchgate.net/publication/283152538_Education_for_Sustainable_Development_in_the_Early_Years" </w:instrText>
      </w:r>
      <w:r>
        <w:fldChar w:fldCharType="separate"/>
      </w:r>
      <w:r>
        <w:rPr>
          <w:rStyle w:val="7"/>
          <w:rFonts w:eastAsia="Times New Roman" w:cstheme="minorHAnsi"/>
          <w:kern w:val="0"/>
          <w:sz w:val="22"/>
          <w:szCs w:val="22"/>
          <w:lang w:val="en-GB" w:eastAsia="en-GB"/>
        </w:rPr>
        <w:t>https://www.researchgate.net/publication/283152538_Education_for_Sustainable_Development_in_the_Early_Years</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(Accessed: 4th July 2025).</w:t>
      </w:r>
    </w:p>
    <w:p>
      <w:pPr>
        <w:rPr>
          <w:rFonts w:cstheme="minorHAnsi"/>
          <w:sz w:val="22"/>
          <w:szCs w:val="22"/>
        </w:rPr>
      </w:pPr>
      <w:r>
        <w:rPr>
          <w:rFonts w:cstheme="minorHAnsi"/>
          <w:b/>
          <w:bCs/>
          <w:sz w:val="22"/>
          <w:szCs w:val="22"/>
        </w:rPr>
        <w:t>Sterling, S., 2001. Sustainable education: Re-visioning learning and change. Totnes: Green Books.</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Stewart, S., MacDonald, N. and Waters-Davies, J. (2024). The Open University. </w:t>
      </w:r>
      <w:r>
        <w:rPr>
          <w:rFonts w:eastAsia="Times New Roman" w:cstheme="minorHAnsi"/>
          <w:i/>
          <w:iCs/>
          <w:kern w:val="0"/>
          <w:sz w:val="22"/>
          <w:szCs w:val="22"/>
          <w:lang w:val="en-GB" w:eastAsia="en-GB"/>
        </w:rPr>
        <w:t>Open.ac.uk</w:t>
      </w:r>
      <w:r>
        <w:rPr>
          <w:rFonts w:eastAsia="Times New Roman" w:cstheme="minorHAnsi"/>
          <w:kern w:val="0"/>
          <w:sz w:val="22"/>
          <w:szCs w:val="22"/>
          <w:lang w:val="en-GB" w:eastAsia="en-GB"/>
        </w:rPr>
        <w:t>. [online] doi:https://oro.open.ac.uk/101664/1/101664.pdf.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Tinney, G. (2023). Big Changes! The Great Outdoors and the Curriculum for Wales. </w:t>
      </w:r>
      <w:r>
        <w:rPr>
          <w:rFonts w:eastAsia="Times New Roman" w:cstheme="minorHAnsi"/>
          <w:i/>
          <w:iCs/>
          <w:kern w:val="0"/>
          <w:sz w:val="22"/>
          <w:szCs w:val="22"/>
          <w:lang w:val="en-GB" w:eastAsia="en-GB"/>
        </w:rPr>
        <w:t>Forum for promoting 3-19 comprehensive education</w:t>
      </w:r>
      <w:r>
        <w:rPr>
          <w:rFonts w:eastAsia="Times New Roman" w:cstheme="minorHAnsi"/>
          <w:kern w:val="0"/>
          <w:sz w:val="22"/>
          <w:szCs w:val="22"/>
          <w:lang w:val="en-GB" w:eastAsia="en-GB"/>
        </w:rPr>
        <w:t>, 65(1), pp.63–75. doi:https://doi.org/10.3898/forum.2023.65.1.09.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Tinney, G. and Hirst, N. (2017). Early childhood education for sustainability within Wales. pp.116–150. doi:https://doi.org/10.4324/9781315642505-9.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Tovey, H. (2016). </w:t>
      </w:r>
      <w:r>
        <w:rPr>
          <w:rFonts w:eastAsia="Times New Roman" w:cstheme="minorHAnsi"/>
          <w:i/>
          <w:iCs/>
          <w:kern w:val="0"/>
          <w:sz w:val="22"/>
          <w:szCs w:val="22"/>
          <w:lang w:val="en-GB" w:eastAsia="en-GB"/>
        </w:rPr>
        <w:t>Bringing the Froebel Approach to your Early Years Practice</w:t>
      </w:r>
      <w:r>
        <w:rPr>
          <w:rFonts w:eastAsia="Times New Roman" w:cstheme="minorHAnsi"/>
          <w:kern w:val="0"/>
          <w:sz w:val="22"/>
          <w:szCs w:val="22"/>
          <w:lang w:val="en-GB" w:eastAsia="en-GB"/>
        </w:rPr>
        <w:t>. Routledge. doi:https://doi.org/10.4324/9781315617190.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UNICEF (1989). </w:t>
      </w:r>
      <w:r>
        <w:rPr>
          <w:rFonts w:eastAsia="Times New Roman" w:cstheme="minorHAnsi"/>
          <w:i/>
          <w:iCs/>
          <w:kern w:val="0"/>
          <w:sz w:val="22"/>
          <w:szCs w:val="22"/>
          <w:lang w:val="en-GB" w:eastAsia="en-GB"/>
        </w:rPr>
        <w:t>UN Convention on the Rights of the Child (UNCRC)</w:t>
      </w:r>
      <w:r>
        <w:rPr>
          <w:rFonts w:eastAsia="Times New Roman" w:cstheme="minorHAnsi"/>
          <w:kern w:val="0"/>
          <w:sz w:val="22"/>
          <w:szCs w:val="22"/>
          <w:lang w:val="en-GB" w:eastAsia="en-GB"/>
        </w:rPr>
        <w:t>. [online] UNICEF. Available at: https://www.unicef.org.uk/what-we-do/un-convention-child-rights/. (Accessed: 4th July 2025).</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United Nations (n.d.). Sustainability. </w:t>
      </w:r>
      <w:r>
        <w:rPr>
          <w:rFonts w:eastAsia="Times New Roman" w:cstheme="minorHAnsi"/>
          <w:i/>
          <w:iCs/>
          <w:kern w:val="0"/>
          <w:sz w:val="22"/>
          <w:szCs w:val="22"/>
          <w:lang w:val="en-GB" w:eastAsia="en-GB"/>
        </w:rPr>
        <w:t>United Nations</w:t>
      </w:r>
      <w:r>
        <w:rPr>
          <w:rFonts w:eastAsia="Times New Roman" w:cstheme="minorHAnsi"/>
          <w:kern w:val="0"/>
          <w:sz w:val="22"/>
          <w:szCs w:val="22"/>
          <w:lang w:val="en-GB" w:eastAsia="en-GB"/>
        </w:rPr>
        <w:t xml:space="preserve">. [online] Available at: </w:t>
      </w:r>
      <w:r>
        <w:fldChar w:fldCharType="begin"/>
      </w:r>
      <w:r>
        <w:instrText xml:space="preserve"> HYPERLINK "https://www.un.org/en/academic-impact/sustainability" </w:instrText>
      </w:r>
      <w:r>
        <w:fldChar w:fldCharType="separate"/>
      </w:r>
      <w:r>
        <w:rPr>
          <w:rStyle w:val="7"/>
          <w:rFonts w:eastAsia="Times New Roman" w:cstheme="minorHAnsi"/>
          <w:kern w:val="0"/>
          <w:sz w:val="22"/>
          <w:szCs w:val="22"/>
          <w:lang w:val="en-GB" w:eastAsia="en-GB"/>
        </w:rPr>
        <w:t>https://www.un.org/en/academic-impact/sustainability</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(Accessed: 4th July 2025).</w:t>
      </w:r>
    </w:p>
    <w:p>
      <w:pPr>
        <w:rPr>
          <w:rFonts w:cstheme="minorHAnsi"/>
          <w:sz w:val="22"/>
          <w:szCs w:val="22"/>
        </w:rPr>
      </w:pPr>
      <w:r>
        <w:rPr>
          <w:rFonts w:cstheme="minorHAnsi"/>
          <w:sz w:val="22"/>
          <w:szCs w:val="22"/>
        </w:rPr>
        <w:t xml:space="preserve">United Nations, 1989. United Nations Convention on the Rights of the Child. Available at: </w:t>
      </w:r>
      <w:r>
        <w:fldChar w:fldCharType="begin"/>
      </w:r>
      <w:r>
        <w:instrText xml:space="preserve"> HYPERLINK "https://www.ohchr.org/en/instruments-mechanisms/instruments/convention-rights-child" </w:instrText>
      </w:r>
      <w:r>
        <w:fldChar w:fldCharType="separate"/>
      </w:r>
      <w:r>
        <w:rPr>
          <w:rStyle w:val="7"/>
          <w:rFonts w:hint="eastAsia" w:cstheme="minorHAnsi"/>
          <w:sz w:val="22"/>
          <w:szCs w:val="22"/>
        </w:rPr>
        <w:t>https://www.ohchr.org/en/instruments-mechanisms/instruments/convention-rights-child</w:t>
      </w:r>
      <w:r>
        <w:rPr>
          <w:rStyle w:val="7"/>
          <w:rFonts w:hint="eastAsia" w:cstheme="minorHAnsi"/>
          <w:sz w:val="22"/>
          <w:szCs w:val="22"/>
        </w:rPr>
        <w:fldChar w:fldCharType="end"/>
      </w:r>
      <w:r>
        <w:rPr>
          <w:rFonts w:cstheme="minorHAnsi"/>
          <w:sz w:val="22"/>
          <w:szCs w:val="22"/>
        </w:rPr>
        <w:t xml:space="preserve"> </w:t>
      </w:r>
      <w:r>
        <w:rPr>
          <w:rFonts w:eastAsia="Times New Roman" w:cstheme="minorHAnsi"/>
          <w:kern w:val="0"/>
          <w:sz w:val="22"/>
          <w:szCs w:val="22"/>
          <w:lang w:val="en-GB" w:eastAsia="en-GB"/>
        </w:rPr>
        <w:t>(Accessed: 4th July 2025).</w:t>
      </w:r>
    </w:p>
    <w:p>
      <w:pPr>
        <w:rPr>
          <w:rFonts w:cstheme="minorHAnsi"/>
          <w:sz w:val="22"/>
          <w:szCs w:val="22"/>
        </w:rPr>
      </w:pPr>
      <w:r>
        <w:rPr>
          <w:rFonts w:cstheme="minorHAnsi"/>
          <w:b/>
          <w:bCs/>
          <w:sz w:val="22"/>
          <w:szCs w:val="22"/>
        </w:rPr>
        <w:t>Welsh Assembly Government, 2008. Education for Sustainable Development and Global Citizenship: A Strategy for Action. Cardiff: Welsh Assembly Government.</w:t>
      </w:r>
    </w:p>
    <w:p>
      <w:pPr>
        <w:widowControl/>
        <w:spacing w:after="240" w:line="360" w:lineRule="auto"/>
        <w:jc w:val="left"/>
        <w:rPr>
          <w:rFonts w:eastAsia="Times New Roman" w:cstheme="minorHAnsi"/>
          <w:kern w:val="0"/>
          <w:sz w:val="22"/>
          <w:szCs w:val="22"/>
          <w:lang w:val="en-GB" w:eastAsia="en-GB"/>
        </w:rPr>
      </w:pPr>
      <w:r>
        <w:rPr>
          <w:rFonts w:eastAsia="Times New Roman" w:cstheme="minorHAnsi"/>
          <w:kern w:val="0"/>
          <w:sz w:val="22"/>
          <w:szCs w:val="22"/>
          <w:lang w:val="en-GB" w:eastAsia="en-GB"/>
        </w:rPr>
        <w:t xml:space="preserve">Welsh Government (2012). </w:t>
      </w:r>
      <w:r>
        <w:rPr>
          <w:rFonts w:eastAsia="Times New Roman" w:cstheme="minorHAnsi"/>
          <w:i/>
          <w:iCs/>
          <w:kern w:val="0"/>
          <w:sz w:val="22"/>
          <w:szCs w:val="22"/>
          <w:lang w:val="en-GB" w:eastAsia="en-GB"/>
        </w:rPr>
        <w:t>Education for Sustainable Development and Global Citizenship A common understanding for the adult and community learning sector Information</w:t>
      </w:r>
      <w:r>
        <w:rPr>
          <w:rFonts w:eastAsia="Times New Roman" w:cstheme="minorHAnsi"/>
          <w:kern w:val="0"/>
          <w:sz w:val="22"/>
          <w:szCs w:val="22"/>
          <w:lang w:val="en-GB" w:eastAsia="en-GB"/>
        </w:rPr>
        <w:t xml:space="preserve">. [online] Available at: </w:t>
      </w:r>
      <w:r>
        <w:fldChar w:fldCharType="begin"/>
      </w:r>
      <w:r>
        <w:instrText xml:space="preserve"> HYPERLINK "https://www.gov.wales/sites/default/files/publications/2018-02/education-for-sustainable-development-and-global-citizenship-a-common-understanding-for-the-adult-and-community-learning-sector.pdf" </w:instrText>
      </w:r>
      <w:r>
        <w:fldChar w:fldCharType="separate"/>
      </w:r>
      <w:r>
        <w:rPr>
          <w:rStyle w:val="7"/>
          <w:rFonts w:eastAsia="Times New Roman" w:cstheme="minorHAnsi"/>
          <w:kern w:val="0"/>
          <w:sz w:val="22"/>
          <w:szCs w:val="22"/>
          <w:lang w:val="en-GB" w:eastAsia="en-GB"/>
        </w:rPr>
        <w:t>https://www.gov.wales/sites/default/files/publications/2018-02/education-for-sustainable-development-and-global-citizenship-a-common-understanding-for-the-adult-and-community-learning-sector.pdf</w:t>
      </w:r>
      <w:r>
        <w:rPr>
          <w:rStyle w:val="7"/>
          <w:rFonts w:eastAsia="Times New Roman" w:cstheme="minorHAnsi"/>
          <w:kern w:val="0"/>
          <w:sz w:val="22"/>
          <w:szCs w:val="22"/>
          <w:lang w:val="en-GB" w:eastAsia="en-GB"/>
        </w:rPr>
        <w:fldChar w:fldCharType="end"/>
      </w:r>
      <w:r>
        <w:rPr>
          <w:rFonts w:eastAsia="Times New Roman" w:cstheme="minorHAnsi"/>
          <w:kern w:val="0"/>
          <w:sz w:val="22"/>
          <w:szCs w:val="22"/>
          <w:lang w:val="en-GB" w:eastAsia="en-GB"/>
        </w:rPr>
        <w:t>. (Accessed: 4th July 2025).</w:t>
      </w:r>
    </w:p>
    <w:p>
      <w:pPr>
        <w:rPr>
          <w:rFonts w:cstheme="minorHAnsi"/>
          <w:b/>
          <w:bCs/>
          <w:sz w:val="22"/>
          <w:szCs w:val="22"/>
        </w:rPr>
      </w:pPr>
      <w:r>
        <w:rPr>
          <w:rFonts w:cstheme="minorHAnsi"/>
          <w:b/>
          <w:bCs/>
          <w:sz w:val="22"/>
          <w:szCs w:val="22"/>
        </w:rPr>
        <w:t>Welsh Government, 2015. Well-being of Future Generations (Wales) Act 2015. Cardiff: Welsh Government.</w:t>
      </w:r>
    </w:p>
    <w:p>
      <w:pPr>
        <w:rPr>
          <w:rFonts w:cstheme="minorHAnsi"/>
          <w:sz w:val="22"/>
          <w:szCs w:val="22"/>
        </w:rPr>
      </w:pPr>
      <w:r>
        <w:rPr>
          <w:rFonts w:cstheme="minorHAnsi"/>
          <w:b/>
          <w:bCs/>
          <w:sz w:val="22"/>
          <w:szCs w:val="22"/>
        </w:rPr>
        <w:t>Welsh Government, 2022. Curriculum for Non-Maintained Nursery Settings. Cardiff: Welsh Government.</w:t>
      </w:r>
    </w:p>
    <w:p>
      <w:pPr>
        <w:rPr>
          <w:rFonts w:cstheme="minorHAnsi"/>
          <w:sz w:val="22"/>
          <w:szCs w:val="22"/>
        </w:rPr>
      </w:pPr>
      <w:r>
        <w:rPr>
          <w:rFonts w:cstheme="minorHAnsi"/>
          <w:sz w:val="22"/>
          <w:szCs w:val="22"/>
        </w:rPr>
        <w:t>World Commission on Environment and Development (WCED), 1987. Our common future (The Brundtland Report). Oxford: Oxford University Press.</w:t>
      </w:r>
      <w:r>
        <w:rPr>
          <w:rFonts w:eastAsia="Times New Roman" w:cstheme="minorHAnsi"/>
          <w:kern w:val="0"/>
          <w:sz w:val="22"/>
          <w:szCs w:val="22"/>
          <w:lang w:val="en-GB" w:eastAsia="en-GB"/>
        </w:rPr>
        <w:t>(Accessed: 4th July 2025).</w:t>
      </w:r>
    </w:p>
    <w:p>
      <w:pPr>
        <w:rPr>
          <w:rFonts w:cstheme="minorHAnsi"/>
          <w:b/>
          <w:sz w:val="22"/>
          <w:szCs w:val="22"/>
          <w:u w:val="single"/>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imSun">
    <w:altName w:val="宋体"/>
    <w:panose1 w:val="02010600030101010101"/>
    <w:charset w:val="86"/>
    <w:family w:val="auto"/>
    <w:pitch w:val="default"/>
    <w:sig w:usb0="00000000" w:usb1="00000000" w:usb2="00000016" w:usb3="00000000" w:csb0="00040001" w:csb1="00000000"/>
  </w:font>
  <w:font w:name="Calibri Light">
    <w:panose1 w:val="020F0302020204030204"/>
    <w:charset w:val="00"/>
    <w:family w:val="swiss"/>
    <w:pitch w:val="default"/>
    <w:sig w:usb0="00000000" w:usb1="00000000"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t xml:space="preserve">Cassie Lane </w:t>
    </w:r>
  </w:p>
  <w:p>
    <w:pPr>
      <w:pStyle w:val="4"/>
    </w:pPr>
    <w:r>
      <w:t>2306976</w:t>
    </w:r>
  </w:p>
  <w:p>
    <w:pPr>
      <w:pStyle w:val="4"/>
    </w:pPr>
    <w:r>
      <w:t>ECEY6005</w:t>
    </w:r>
  </w:p>
  <w:p>
    <w:pPr>
      <w:pStyle w:val="4"/>
    </w:pPr>
    <w:r>
      <w:t>Word count:</w:t>
    </w:r>
    <w:r>
      <w:rPr>
        <w:lang w:val="en-GB"/>
      </w:rPr>
      <w:t>2843</w:t>
    </w:r>
  </w:p>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line="240" w:lineRule="auto"/>
      <w:jc w:val="left"/>
      <w:outlineLvl w:val="0"/>
    </w:pPr>
    <w:rPr>
      <w:rFonts w:ascii="Times New Roman" w:hAnsi="Times New Roman" w:eastAsia="Times New Roman" w:cs="Times New Roman"/>
      <w:b/>
      <w:bCs/>
      <w:kern w:val="36"/>
      <w:sz w:val="48"/>
      <w:szCs w:val="48"/>
      <w:lang w:val="en-GB" w:eastAsia="en-GB"/>
    </w:rPr>
  </w:style>
  <w:style w:type="character" w:default="1" w:styleId="6">
    <w:name w:val="Default Paragraph Font"/>
    <w:unhideWhenUsed/>
    <w:uiPriority w:val="1"/>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3">
    <w:name w:val="footer"/>
    <w:basedOn w:val="1"/>
    <w:link w:val="10"/>
    <w:uiPriority w:val="0"/>
    <w:pPr>
      <w:tabs>
        <w:tab w:val="center" w:pos="4513"/>
        <w:tab w:val="right" w:pos="9026"/>
      </w:tabs>
      <w:spacing w:after="0" w:line="240" w:lineRule="auto"/>
    </w:pPr>
  </w:style>
  <w:style w:type="paragraph" w:styleId="4">
    <w:name w:val="header"/>
    <w:basedOn w:val="1"/>
    <w:link w:val="9"/>
    <w:uiPriority w:val="99"/>
    <w:pPr>
      <w:tabs>
        <w:tab w:val="center" w:pos="4513"/>
        <w:tab w:val="right" w:pos="9026"/>
      </w:tabs>
      <w:spacing w:after="0" w:line="240" w:lineRule="auto"/>
    </w:pPr>
  </w:style>
  <w:style w:type="paragraph" w:styleId="5">
    <w:name w:val="Normal (Web)"/>
    <w:basedOn w:val="1"/>
    <w:unhideWhenUsed/>
    <w:uiPriority w:val="99"/>
    <w:pPr>
      <w:widowControl/>
      <w:spacing w:before="100" w:beforeAutospacing="1" w:after="100" w:afterAutospacing="1" w:line="240" w:lineRule="auto"/>
      <w:jc w:val="left"/>
    </w:pPr>
    <w:rPr>
      <w:rFonts w:ascii="Times New Roman" w:hAnsi="Times New Roman" w:eastAsia="Times New Roman" w:cs="Times New Roman"/>
      <w:kern w:val="0"/>
      <w:sz w:val="24"/>
      <w:lang w:val="en-GB" w:eastAsia="en-GB"/>
    </w:rPr>
  </w:style>
  <w:style w:type="character" w:styleId="7">
    <w:name w:val="Hyperlink"/>
    <w:basedOn w:val="6"/>
    <w:uiPriority w:val="0"/>
    <w:rPr>
      <w:color w:val="0563C1" w:themeColor="hyperlink"/>
      <w:u w:val="single"/>
      <w14:textFill>
        <w14:solidFill>
          <w14:schemeClr w14:val="hlink"/>
        </w14:solidFill>
      </w14:textFill>
    </w:rPr>
  </w:style>
  <w:style w:type="character" w:customStyle="1" w:styleId="9">
    <w:name w:val="Header Char"/>
    <w:basedOn w:val="6"/>
    <w:link w:val="4"/>
    <w:uiPriority w:val="99"/>
    <w:rPr>
      <w:rFonts w:asciiTheme="minorHAnsi" w:hAnsiTheme="minorHAnsi" w:eastAsiaTheme="minorEastAsia" w:cstheme="minorBidi"/>
      <w:kern w:val="2"/>
      <w:sz w:val="21"/>
      <w:szCs w:val="24"/>
      <w:lang w:val="en-US" w:eastAsia="zh-CN"/>
    </w:rPr>
  </w:style>
  <w:style w:type="character" w:customStyle="1" w:styleId="10">
    <w:name w:val="Footer Char"/>
    <w:basedOn w:val="6"/>
    <w:link w:val="3"/>
    <w:uiPriority w:val="0"/>
    <w:rPr>
      <w:rFonts w:asciiTheme="minorHAnsi" w:hAnsiTheme="minorHAnsi" w:eastAsiaTheme="minorEastAsia" w:cstheme="minorBidi"/>
      <w:kern w:val="2"/>
      <w:sz w:val="21"/>
      <w:szCs w:val="24"/>
      <w:lang w:val="en-US" w:eastAsia="zh-CN"/>
    </w:rPr>
  </w:style>
  <w:style w:type="character" w:customStyle="1" w:styleId="11">
    <w:name w:val="Heading 1 Char"/>
    <w:basedOn w:val="6"/>
    <w:link w:val="2"/>
    <w:uiPriority w:val="9"/>
    <w:rPr>
      <w:rFonts w:eastAsia="Times New Roman"/>
      <w:b/>
      <w:bCs/>
      <w:kern w:val="36"/>
      <w:sz w:val="48"/>
      <w:szCs w:val="48"/>
    </w:rPr>
  </w:style>
  <w:style w:type="character" w:customStyle="1" w:styleId="12">
    <w:name w:val="Unresolved Mention"/>
    <w:basedOn w:val="6"/>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3498</Words>
  <Characters>19943</Characters>
  <Lines>166</Lines>
  <Paragraphs>46</Paragraphs>
  <ScaleCrop>false</ScaleCrop>
  <LinksUpToDate>false</LinksUpToDate>
  <CharactersWithSpaces>23395</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2025-07-08T12:50:00Z</dcterms:created>
  <dc:creator>iPhone</dc:creator>
  <cp:lastModifiedBy>iPhone</cp:lastModifiedBy>
  <dcterms:modified xsi:type="dcterms:W3CDTF">2025-07-12T18:13:28Z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3081-11.34.13</vt:lpwstr>
  </property>
  <property fmtid="{D5CDD505-2E9C-101B-9397-08002B2CF9AE}" pid="3" name="ICV">
    <vt:lpwstr>6912A3FBC575C3B9E4756B686D5BCD1F_31</vt:lpwstr>
  </property>
</Properties>
</file>