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6AFBD" w14:textId="77777777" w:rsidR="0043270D" w:rsidRPr="006F7C27" w:rsidRDefault="00EC2BCD" w:rsidP="0043270D">
      <w:pPr>
        <w:spacing w:before="240" w:after="240"/>
        <w:jc w:val="both"/>
        <w:rPr>
          <w:rFonts w:ascii="Arial" w:eastAsia="Arial" w:hAnsi="Arial" w:cs="Arial"/>
          <w:color w:val="000000" w:themeColor="text1"/>
          <w:u w:val="single"/>
        </w:rPr>
      </w:pPr>
      <w:r w:rsidRPr="006F7C27">
        <w:rPr>
          <w:rFonts w:ascii="Arial" w:eastAsia="Arial" w:hAnsi="Arial" w:cs="Arial"/>
          <w:color w:val="000000" w:themeColor="text1"/>
          <w:u w:val="single"/>
        </w:rPr>
        <w:t>What is ‘contingency awareness’, how does it develop and what factors inhibit its development in learners with profound and multiple learning difficulties?</w:t>
      </w:r>
      <w:r w:rsidR="0043270D">
        <w:rPr>
          <w:rFonts w:ascii="Arial" w:eastAsia="Arial" w:hAnsi="Arial" w:cs="Arial"/>
          <w:color w:val="000000" w:themeColor="text1"/>
          <w:u w:val="single"/>
        </w:rPr>
        <w:t xml:space="preserve"> And </w:t>
      </w:r>
      <w:r w:rsidR="0043270D" w:rsidRPr="006F7C27">
        <w:rPr>
          <w:rFonts w:ascii="Arial" w:eastAsia="Arial" w:hAnsi="Arial" w:cs="Arial"/>
          <w:color w:val="000000" w:themeColor="text1"/>
          <w:u w:val="single"/>
        </w:rPr>
        <w:t xml:space="preserve">What can schools do to maximise the potential for learners with PMLD to develop contingency awareness? </w:t>
      </w:r>
    </w:p>
    <w:p w14:paraId="00AE5C95" w14:textId="08E2FCBE" w:rsidR="00EC2BCD" w:rsidRPr="006F7C27" w:rsidRDefault="00EC2BCD" w:rsidP="006D51EA">
      <w:pPr>
        <w:jc w:val="both"/>
        <w:rPr>
          <w:rFonts w:ascii="Arial" w:eastAsia="Arial" w:hAnsi="Arial" w:cs="Arial"/>
          <w:color w:val="000000" w:themeColor="text1"/>
          <w:u w:val="single"/>
        </w:rPr>
      </w:pPr>
    </w:p>
    <w:p w14:paraId="31089CFE" w14:textId="3B691F0F" w:rsidR="00EC2BCD" w:rsidRPr="006F7C27" w:rsidRDefault="00EC2BCD" w:rsidP="0055315E">
      <w:pPr>
        <w:spacing w:before="240" w:after="240" w:line="360" w:lineRule="auto"/>
        <w:jc w:val="both"/>
        <w:rPr>
          <w:rFonts w:ascii="Arial" w:eastAsia="Arial" w:hAnsi="Arial" w:cs="Arial"/>
          <w:color w:val="000000" w:themeColor="text1"/>
          <w:u w:val="single"/>
        </w:rPr>
      </w:pPr>
      <w:r w:rsidRPr="006F7C27">
        <w:rPr>
          <w:rFonts w:ascii="Arial" w:eastAsia="Arial" w:hAnsi="Arial" w:cs="Arial"/>
          <w:color w:val="000000" w:themeColor="text1"/>
          <w:u w:val="single"/>
        </w:rPr>
        <w:t>Introduction</w:t>
      </w:r>
    </w:p>
    <w:p w14:paraId="527D989C" w14:textId="73BFCE45" w:rsidR="009E27FA" w:rsidRPr="006F7C27" w:rsidRDefault="00EC2BCD"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This assignment will look to evaluate and compare the development of young children with profound and multiple learning difficulties (PMLD) against </w:t>
      </w:r>
      <w:r w:rsidR="00CD3E31" w:rsidRPr="006F7C27">
        <w:rPr>
          <w:rFonts w:ascii="Arial" w:eastAsia="Arial" w:hAnsi="Arial" w:cs="Arial"/>
          <w:color w:val="000000" w:themeColor="text1"/>
        </w:rPr>
        <w:t>Neuro-Typical (NT) children</w:t>
      </w:r>
      <w:r w:rsidRPr="006F7C27">
        <w:rPr>
          <w:rFonts w:ascii="Arial" w:eastAsia="Arial" w:hAnsi="Arial" w:cs="Arial"/>
          <w:color w:val="000000" w:themeColor="text1"/>
        </w:rPr>
        <w:t>. There will be a significant focus on the development of both ‘contingency responding’ and ‘contingency awareness’ throughout as this is identified as a key developmental step for children with regards to communication and satisfaction of need. This assignment will also look to draw upon both professional and personal experience to add to the comparison using relevant in-depth examples of the development of children with PMLD seen during my practice; and the development of my own child who is two years old and is developing ‘typically’. There will also be a large focus on the role of teachers and schools in enhancing and supporting the development of contingency awareness within the classroom and the ways in which this can be aided through technology and research; again, drawing upon personal experience and literature to underpin the discussion</w:t>
      </w:r>
    </w:p>
    <w:p w14:paraId="7242C7E6" w14:textId="0400D781" w:rsidR="0043270D" w:rsidRDefault="0043270D" w:rsidP="0055315E">
      <w:pPr>
        <w:spacing w:before="240" w:after="240" w:line="360" w:lineRule="auto"/>
        <w:jc w:val="both"/>
        <w:rPr>
          <w:rFonts w:ascii="Arial" w:eastAsia="Arial" w:hAnsi="Arial" w:cs="Arial"/>
          <w:color w:val="000000" w:themeColor="text1"/>
          <w:u w:val="single"/>
        </w:rPr>
      </w:pPr>
      <w:r w:rsidRPr="006F7C27">
        <w:rPr>
          <w:rFonts w:ascii="Arial" w:eastAsia="Arial" w:hAnsi="Arial" w:cs="Arial"/>
          <w:color w:val="000000" w:themeColor="text1"/>
          <w:u w:val="single"/>
        </w:rPr>
        <w:t>What is ‘contingency awareness’, how does it develop and what factors inhibit its development in learners with profound and multiple learning difficulties?</w:t>
      </w:r>
    </w:p>
    <w:p w14:paraId="6E041F9B" w14:textId="6B673AAC" w:rsidR="009E27FA" w:rsidRPr="006F7C27" w:rsidRDefault="009E27FA"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Using Routes for Learning </w:t>
      </w:r>
      <w:r w:rsidR="00C90A3D" w:rsidRPr="006F7C27">
        <w:rPr>
          <w:rFonts w:ascii="Arial" w:eastAsia="Arial" w:hAnsi="Arial" w:cs="Arial"/>
          <w:color w:val="000000" w:themeColor="text1"/>
        </w:rPr>
        <w:t>(</w:t>
      </w:r>
      <w:r w:rsidR="00FE50D5" w:rsidRPr="006F7C27">
        <w:rPr>
          <w:rFonts w:ascii="Arial" w:eastAsia="Arial" w:hAnsi="Arial" w:cs="Arial"/>
          <w:color w:val="000000" w:themeColor="text1"/>
        </w:rPr>
        <w:t>Welsh Assembly Government, 2006</w:t>
      </w:r>
      <w:r w:rsidR="00C90A3D" w:rsidRPr="006F7C27">
        <w:rPr>
          <w:rFonts w:ascii="Arial" w:eastAsia="Arial" w:hAnsi="Arial" w:cs="Arial"/>
          <w:color w:val="000000" w:themeColor="text1"/>
        </w:rPr>
        <w:t>)</w:t>
      </w:r>
      <w:r w:rsidR="00FE50D5" w:rsidRPr="006F7C27">
        <w:rPr>
          <w:rFonts w:ascii="Arial" w:eastAsia="Arial" w:hAnsi="Arial" w:cs="Arial"/>
          <w:color w:val="000000" w:themeColor="text1"/>
        </w:rPr>
        <w:t>,</w:t>
      </w:r>
      <w:r w:rsidR="00C90A3D" w:rsidRPr="006F7C27">
        <w:rPr>
          <w:rFonts w:ascii="Arial" w:eastAsia="Arial" w:hAnsi="Arial" w:cs="Arial"/>
          <w:color w:val="000000" w:themeColor="text1"/>
        </w:rPr>
        <w:t xml:space="preserve"> Contingency Awareness and Contingency Responding are both highlighted as milestones of learning and development, but it is highlighted in Imray and Hinchcliffe (2004) that it is essential that when looking at both milestones the teacher has an understanding of exactly what each milestones entails and how it may be presented by a learner, but also that to develop this area the input must be linked to prior learning and experience. </w:t>
      </w:r>
    </w:p>
    <w:p w14:paraId="041113BB" w14:textId="70BAEC35" w:rsidR="00AF7198" w:rsidRPr="006F7C27" w:rsidRDefault="00AF7198"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Contingency Responding </w:t>
      </w:r>
      <w:r w:rsidR="00FE50D5" w:rsidRPr="006F7C27">
        <w:rPr>
          <w:rFonts w:ascii="Arial" w:eastAsia="Arial" w:hAnsi="Arial" w:cs="Arial"/>
          <w:color w:val="000000" w:themeColor="text1"/>
        </w:rPr>
        <w:t xml:space="preserve">is defined as understanding an action makes and effect but not realising the one-to-one association </w:t>
      </w:r>
      <w:r w:rsidR="00C97E27" w:rsidRPr="006F7C27">
        <w:rPr>
          <w:rFonts w:ascii="Arial" w:eastAsia="Arial" w:hAnsi="Arial" w:cs="Arial"/>
          <w:color w:val="000000" w:themeColor="text1"/>
        </w:rPr>
        <w:t>i.e.</w:t>
      </w:r>
      <w:r w:rsidR="00FE50D5" w:rsidRPr="006F7C27">
        <w:rPr>
          <w:rFonts w:ascii="Arial" w:eastAsia="Arial" w:hAnsi="Arial" w:cs="Arial"/>
          <w:color w:val="000000" w:themeColor="text1"/>
        </w:rPr>
        <w:t xml:space="preserve"> that one action has one effect. It is most notable that the learner has understood the principle of contingency responding rather than awareness when they repeat an action continuously to get a response, even </w:t>
      </w:r>
      <w:r w:rsidR="00FE50D5" w:rsidRPr="006F7C27">
        <w:rPr>
          <w:rFonts w:ascii="Arial" w:eastAsia="Arial" w:hAnsi="Arial" w:cs="Arial"/>
          <w:color w:val="000000" w:themeColor="text1"/>
        </w:rPr>
        <w:lastRenderedPageBreak/>
        <w:t xml:space="preserve">though the desired response is initiated through one action, e.g. one press of a switch. This is different when looking at Contingency awareness, where one action by the individual causes one particular response. When looking at contingency awareness it is usually clear that the students understands what they have to do to get the desired response as they usually wait for the reward/response to end before repeating the action again. An example of this from my experience is a student using a switch to initiate a countdown for a rocket to blast off. When the switch is pressed the countdown begins and the rockets blasts off (to the great joy of the individual), whilst this action is occurring the individual is simply having fun. The individual then presses the switch again to repeat the action. This shows that they are aware of the exact action that is need to get the desired outcome. </w:t>
      </w:r>
      <w:r w:rsidR="004475A5" w:rsidRPr="006F7C27">
        <w:rPr>
          <w:rFonts w:ascii="Arial" w:eastAsia="Arial" w:hAnsi="Arial" w:cs="Arial"/>
          <w:color w:val="000000" w:themeColor="text1"/>
        </w:rPr>
        <w:t>Farrell (2008) also discusses contingency awareness as the indication that a child has made a link between an action and its consequence, and introduces that this causes the child pleasure or happiness which is the motive for repetition. An example that Farrell (2008) gives includes routinely activities such as morning greeting or break; in previous experience such activities have proven to be very successful as these are times which students are motivated to get a desired outcome e.g. a piece of fruit etc. so they are more likely to engage in the task. The drawbacks of such methods when looking at students with PMLD, especially those w</w:t>
      </w:r>
      <w:r w:rsidR="009F0EB1" w:rsidRPr="006F7C27">
        <w:rPr>
          <w:rFonts w:ascii="Arial" w:eastAsia="Arial" w:hAnsi="Arial" w:cs="Arial"/>
          <w:color w:val="000000" w:themeColor="text1"/>
        </w:rPr>
        <w:t>ho are fed using a gastrost</w:t>
      </w:r>
      <w:r w:rsidR="008D1A93" w:rsidRPr="006F7C27">
        <w:rPr>
          <w:rFonts w:ascii="Arial" w:eastAsia="Arial" w:hAnsi="Arial" w:cs="Arial"/>
          <w:color w:val="000000" w:themeColor="text1"/>
        </w:rPr>
        <w:t>omy meaning</w:t>
      </w:r>
      <w:r w:rsidR="004475A5" w:rsidRPr="006F7C27">
        <w:rPr>
          <w:rFonts w:ascii="Arial" w:eastAsia="Arial" w:hAnsi="Arial" w:cs="Arial"/>
          <w:color w:val="000000" w:themeColor="text1"/>
        </w:rPr>
        <w:t xml:space="preserve"> that this is no longer a time when the student is motivated. It is therefore vital for a positive relationship to be developed between student and teacher/support staff to ensure that motivators are identified and utilised successfully to enhance the learning and enjoyment of the individual. </w:t>
      </w:r>
    </w:p>
    <w:p w14:paraId="2C770D2B" w14:textId="699F25E3" w:rsidR="00CD3E31" w:rsidRPr="006F7C27" w:rsidRDefault="00C97E27"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Using the RfL Routemap (WAG, 2019) it shows that both contingency responding and contingency awareness are main milestones on both the main cognitive and communication routes. This shows just how important and pivotal it is in the development of young children and children with PMLD. However, as it states in the RfL guidance (2019), Imray and Hinchcliffe (2004)</w:t>
      </w:r>
      <w:r w:rsidR="00CA5E68" w:rsidRPr="006F7C27">
        <w:rPr>
          <w:rFonts w:ascii="Arial" w:eastAsia="Arial" w:hAnsi="Arial" w:cs="Arial"/>
          <w:color w:val="000000" w:themeColor="text1"/>
        </w:rPr>
        <w:t xml:space="preserve"> the development of communication and cognition is not linear and can be developed in a number of different ways. </w:t>
      </w:r>
    </w:p>
    <w:p w14:paraId="663AB5BB" w14:textId="197D71EC" w:rsidR="00CD3E31" w:rsidRPr="006F7C27" w:rsidRDefault="00CD3E31"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As both contingency responding and contingency awareness are recognised as milestones for both the main cognitive and communication routes of development; it is important to look at the conventional development for a NT baby as well as the development of a baby with PMLD to fully understand the developmental age of the </w:t>
      </w:r>
      <w:r w:rsidRPr="006F7C27">
        <w:rPr>
          <w:rFonts w:ascii="Arial" w:eastAsia="Arial" w:hAnsi="Arial" w:cs="Arial"/>
          <w:color w:val="000000" w:themeColor="text1"/>
        </w:rPr>
        <w:lastRenderedPageBreak/>
        <w:t>individual. This not only gives a better outline of the level that an individual is working at, but also the possible route both before and after that milestone to ensure effective target setting and planning to enhance learning and progression.</w:t>
      </w:r>
      <w:r w:rsidR="00933B28" w:rsidRPr="006F7C27">
        <w:rPr>
          <w:rFonts w:ascii="Arial" w:eastAsia="Arial" w:hAnsi="Arial" w:cs="Arial"/>
          <w:color w:val="000000" w:themeColor="text1"/>
        </w:rPr>
        <w:t xml:space="preserve"> This principle links in with William (2013) who outlines three processes in learning; Where the learner is right now, where the learner needs to be, and how to get there. With regards to these processes, the RfL Routemap (WAG, 2019) is a fantastic tool to ensure that they are met effectively and efficiently and thus aiding the teaching in planning and preparation resulting in improved learning. </w:t>
      </w:r>
    </w:p>
    <w:p w14:paraId="60CDE9A5" w14:textId="636C49E3" w:rsidR="00045197" w:rsidRPr="006F7C27" w:rsidRDefault="00045197"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Looking at the development of both NT babies and children with PMLD it is important to look at the development of the senses and the impact that this has on communication and cognition. The Sensory Integration Theory (2005) it is quite clear that until the inputs of all senses are successfully integrated then no academic learning can take place. When looking at children with PMLD it can already be seen that they will be severely impacted by their sensory impairments. </w:t>
      </w:r>
      <w:r w:rsidR="00325AD7" w:rsidRPr="006F7C27">
        <w:rPr>
          <w:rFonts w:ascii="Arial" w:eastAsia="Arial" w:hAnsi="Arial" w:cs="Arial"/>
          <w:color w:val="000000" w:themeColor="text1"/>
        </w:rPr>
        <w:t xml:space="preserve">Two examples of this can be seen in impairments in the vestibular (gravity and movement) and proprioceptive (muscles and joints); in my experience I have worked with students who suffer with cerebral palsy and as a result are wheelchair users. This has an impact on their exposure the vestibular developments at a young age, and an ongoing effect on their movement and their muscles and joints. Looking at the Sensory Integration model, it can be seen that this has an impact on a large amount on physical development, such as motor planning, hand-eye coordination and eventually, if able, language. This shows </w:t>
      </w:r>
      <w:r w:rsidR="004905B9" w:rsidRPr="006F7C27">
        <w:rPr>
          <w:rFonts w:ascii="Arial" w:eastAsia="Arial" w:hAnsi="Arial" w:cs="Arial"/>
          <w:color w:val="000000" w:themeColor="text1"/>
        </w:rPr>
        <w:t>a</w:t>
      </w:r>
      <w:r w:rsidR="00325AD7" w:rsidRPr="006F7C27">
        <w:rPr>
          <w:rFonts w:ascii="Arial" w:eastAsia="Arial" w:hAnsi="Arial" w:cs="Arial"/>
          <w:color w:val="000000" w:themeColor="text1"/>
        </w:rPr>
        <w:t xml:space="preserve"> small proportion of the impact that one disability can have, and through experience it has be seen that very often students with PMLD have a range of additional disabilities so the effect is greater. </w:t>
      </w:r>
    </w:p>
    <w:p w14:paraId="6A7F14E0" w14:textId="6A8C1EA9" w:rsidR="00045197" w:rsidRPr="006F7C27" w:rsidRDefault="004905B9"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Using the RfL Routemap draft (2019) and also the information provided as additional guidance (2006) it </w:t>
      </w:r>
      <w:r w:rsidR="00381787" w:rsidRPr="006F7C27">
        <w:rPr>
          <w:rFonts w:ascii="Arial" w:eastAsia="Arial" w:hAnsi="Arial" w:cs="Arial"/>
          <w:color w:val="000000" w:themeColor="text1"/>
        </w:rPr>
        <w:t>is clear that all the milestones of development included are all surpassed by a NT developing child at a very young age; around 18-24 months. Again, drawing upon personal experience, my son is two years old, so it has been interesting to look at his development against the developmental age of the students in school.  Early development stages, between the ages of birth and 18-24 months can also be seen in The Sensorimotor Period (</w:t>
      </w:r>
      <w:proofErr w:type="spellStart"/>
      <w:r w:rsidR="00381787" w:rsidRPr="006F7C27">
        <w:rPr>
          <w:rFonts w:ascii="Arial" w:eastAsia="Arial" w:hAnsi="Arial" w:cs="Arial"/>
          <w:color w:val="000000" w:themeColor="text1"/>
        </w:rPr>
        <w:t>Uzgiris</w:t>
      </w:r>
      <w:proofErr w:type="spellEnd"/>
      <w:r w:rsidR="00381787" w:rsidRPr="006F7C27">
        <w:rPr>
          <w:rFonts w:ascii="Arial" w:eastAsia="Arial" w:hAnsi="Arial" w:cs="Arial"/>
          <w:color w:val="000000" w:themeColor="text1"/>
        </w:rPr>
        <w:t xml:space="preserve"> and Hunt, 1975; Dunst 1980). The drawbacks of this model compared to RfL is that a very linear approach is used to </w:t>
      </w:r>
      <w:r w:rsidR="00381787" w:rsidRPr="006F7C27">
        <w:rPr>
          <w:rFonts w:ascii="Arial" w:eastAsia="Arial" w:hAnsi="Arial" w:cs="Arial"/>
          <w:color w:val="000000" w:themeColor="text1"/>
        </w:rPr>
        <w:lastRenderedPageBreak/>
        <w:t>display the progression, which as mentioned, is not the way that many individuals develop. There is also a large focus on physical movements/actions that impact on cognitive and communication development</w:t>
      </w:r>
      <w:r w:rsidR="00A615A3" w:rsidRPr="006F7C27">
        <w:rPr>
          <w:rFonts w:ascii="Arial" w:eastAsia="Arial" w:hAnsi="Arial" w:cs="Arial"/>
          <w:color w:val="000000" w:themeColor="text1"/>
        </w:rPr>
        <w:t xml:space="preserve"> (Coupe, 1998)</w:t>
      </w:r>
      <w:r w:rsidR="00BC63DF" w:rsidRPr="006F7C27">
        <w:rPr>
          <w:rFonts w:ascii="Arial" w:eastAsia="Arial" w:hAnsi="Arial" w:cs="Arial"/>
          <w:color w:val="000000" w:themeColor="text1"/>
        </w:rPr>
        <w:t>, where some actions are almost impossible for individuals with PMLD (as mentioned in a previous example).</w:t>
      </w:r>
      <w:r w:rsidR="008D1A93" w:rsidRPr="006F7C27">
        <w:rPr>
          <w:rFonts w:ascii="Arial" w:eastAsia="Arial" w:hAnsi="Arial" w:cs="Arial"/>
          <w:color w:val="000000" w:themeColor="text1"/>
        </w:rPr>
        <w:t xml:space="preserve"> The next section will provide an overview of the development of contingency awareness by following the Routes for Learning Draft Routemap (2019) as a guide. This will include the main landmarks that a learner passes through in developing contingency awareness and discuss how these impact on its development. The draft (2019) Routemap is being used and referenced as there are some slight changes from the 2006 version with regards to the labelling and description of milestones.</w:t>
      </w:r>
    </w:p>
    <w:p w14:paraId="5D47A022" w14:textId="0EB12357" w:rsidR="00933B28" w:rsidRPr="006F7C27" w:rsidRDefault="00325AD7"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Firstly,</w:t>
      </w:r>
      <w:r w:rsidR="00933B28" w:rsidRPr="006F7C27">
        <w:rPr>
          <w:rFonts w:ascii="Arial" w:eastAsia="Arial" w:hAnsi="Arial" w:cs="Arial"/>
          <w:color w:val="000000" w:themeColor="text1"/>
        </w:rPr>
        <w:t xml:space="preserve"> </w:t>
      </w:r>
      <w:r w:rsidR="002A6216" w:rsidRPr="006F7C27">
        <w:rPr>
          <w:rFonts w:ascii="Arial" w:eastAsia="Arial" w:hAnsi="Arial" w:cs="Arial"/>
          <w:color w:val="000000" w:themeColor="text1"/>
        </w:rPr>
        <w:t>looking at the first milestone that is presented on the RfL Routemap; Notices Stimuli, is the starting point for both of the main routes. This milestone is labelled as simple reflexes in other models (</w:t>
      </w:r>
      <w:proofErr w:type="spellStart"/>
      <w:r w:rsidR="002A6216" w:rsidRPr="006F7C27">
        <w:rPr>
          <w:rFonts w:ascii="Arial" w:eastAsia="Arial" w:hAnsi="Arial" w:cs="Arial"/>
          <w:color w:val="000000" w:themeColor="text1"/>
        </w:rPr>
        <w:t>Uzgiris</w:t>
      </w:r>
      <w:proofErr w:type="spellEnd"/>
      <w:r w:rsidR="002A6216" w:rsidRPr="006F7C27">
        <w:rPr>
          <w:rFonts w:ascii="Arial" w:eastAsia="Arial" w:hAnsi="Arial" w:cs="Arial"/>
          <w:color w:val="000000" w:themeColor="text1"/>
        </w:rPr>
        <w:t xml:space="preserve"> and Hunt, 1975; Dunst, </w:t>
      </w:r>
      <w:r w:rsidR="00056A69" w:rsidRPr="006F7C27">
        <w:rPr>
          <w:rFonts w:ascii="Arial" w:eastAsia="Arial" w:hAnsi="Arial" w:cs="Arial"/>
          <w:color w:val="000000" w:themeColor="text1"/>
        </w:rPr>
        <w:t xml:space="preserve">1980; </w:t>
      </w:r>
      <w:proofErr w:type="spellStart"/>
      <w:r w:rsidR="00056A69" w:rsidRPr="006F7C27">
        <w:rPr>
          <w:rFonts w:ascii="Arial" w:eastAsia="Arial" w:hAnsi="Arial" w:cs="Arial"/>
          <w:color w:val="000000" w:themeColor="text1"/>
        </w:rPr>
        <w:t>Goldbart</w:t>
      </w:r>
      <w:proofErr w:type="spellEnd"/>
      <w:r w:rsidR="002A6216" w:rsidRPr="006F7C27">
        <w:rPr>
          <w:rFonts w:ascii="Arial" w:eastAsia="Arial" w:hAnsi="Arial" w:cs="Arial"/>
          <w:color w:val="000000" w:themeColor="text1"/>
        </w:rPr>
        <w:t>, 1994; Piaget 1940)</w:t>
      </w:r>
      <w:r w:rsidR="00585268" w:rsidRPr="006F7C27">
        <w:rPr>
          <w:rFonts w:ascii="Arial" w:eastAsia="Arial" w:hAnsi="Arial" w:cs="Arial"/>
          <w:color w:val="000000" w:themeColor="text1"/>
        </w:rPr>
        <w:t xml:space="preserve"> and is described by Ware (2003) as involuntary responses to internal or external stimuli such as jumping to the sound of a loud noise or reacting to pain. </w:t>
      </w:r>
      <w:r w:rsidR="00EA6737" w:rsidRPr="006F7C27">
        <w:rPr>
          <w:rFonts w:ascii="Arial" w:eastAsia="Arial" w:hAnsi="Arial" w:cs="Arial"/>
          <w:color w:val="000000" w:themeColor="text1"/>
        </w:rPr>
        <w:t xml:space="preserve">This is also seen by Rowland (1996) as Pre-Intentional behaviours where the response to stimuli is usually associated with well-being, such as the reaction to pain mentioned earlier. </w:t>
      </w:r>
      <w:r w:rsidR="00585268" w:rsidRPr="006F7C27">
        <w:rPr>
          <w:rFonts w:ascii="Arial" w:eastAsia="Arial" w:hAnsi="Arial" w:cs="Arial"/>
          <w:color w:val="000000" w:themeColor="text1"/>
        </w:rPr>
        <w:t>Immediately this can present as a challenge to some individuals with PMLD who may have an impairment in vision or hearing and may not be able to respond to such stimuli in the same way a NT developing baby would.</w:t>
      </w:r>
      <w:r w:rsidR="00056A69" w:rsidRPr="006F7C27">
        <w:rPr>
          <w:rFonts w:ascii="Arial" w:eastAsia="Arial" w:hAnsi="Arial" w:cs="Arial"/>
          <w:color w:val="000000" w:themeColor="text1"/>
        </w:rPr>
        <w:t xml:space="preserve"> Interestingly it is mentioned that at a very young age babies’ increased arm and leg movements are associated with a response to, or noticing stimuli which is something that can be seen in individuals with PMLD throughout their lives. This again displays that the lack of exposure to sensory stimuli at young age due to disability or impairment leaves individuals with PLMD remaining a very young developmental age.</w:t>
      </w:r>
      <w:r w:rsidR="00804A7B" w:rsidRPr="006F7C27">
        <w:rPr>
          <w:rFonts w:ascii="Arial" w:eastAsia="Arial" w:hAnsi="Arial" w:cs="Arial"/>
          <w:color w:val="000000" w:themeColor="text1"/>
        </w:rPr>
        <w:t xml:space="preserve"> </w:t>
      </w:r>
      <w:proofErr w:type="spellStart"/>
      <w:r w:rsidR="00804A7B" w:rsidRPr="006F7C27">
        <w:rPr>
          <w:rFonts w:ascii="Arial" w:eastAsia="Arial" w:hAnsi="Arial" w:cs="Arial"/>
          <w:color w:val="000000" w:themeColor="text1"/>
        </w:rPr>
        <w:t>Goldbart</w:t>
      </w:r>
      <w:proofErr w:type="spellEnd"/>
      <w:r w:rsidR="00804A7B" w:rsidRPr="006F7C27">
        <w:rPr>
          <w:rFonts w:ascii="Arial" w:eastAsia="Arial" w:hAnsi="Arial" w:cs="Arial"/>
          <w:color w:val="000000" w:themeColor="text1"/>
        </w:rPr>
        <w:t xml:space="preserve"> (1994) discusses that this developmental stage usually last between birth and six weeks.</w:t>
      </w:r>
    </w:p>
    <w:p w14:paraId="6834D843" w14:textId="07251D76" w:rsidR="00804A7B" w:rsidRPr="006F7C27" w:rsidRDefault="00804A7B"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The second main </w:t>
      </w:r>
      <w:r w:rsidR="0037454E" w:rsidRPr="006F7C27">
        <w:rPr>
          <w:rFonts w:ascii="Arial" w:eastAsia="Arial" w:hAnsi="Arial" w:cs="Arial"/>
          <w:color w:val="000000" w:themeColor="text1"/>
        </w:rPr>
        <w:t>landmark</w:t>
      </w:r>
      <w:r w:rsidRPr="006F7C27">
        <w:rPr>
          <w:rFonts w:ascii="Arial" w:eastAsia="Arial" w:hAnsi="Arial" w:cs="Arial"/>
          <w:color w:val="000000" w:themeColor="text1"/>
        </w:rPr>
        <w:t xml:space="preserve"> according to the draft RfL (WAG, 2019) is ‘Responding consistently to one stimulus’. This is seen by Ware (2003) as </w:t>
      </w:r>
      <w:r w:rsidR="00EA6737" w:rsidRPr="006F7C27">
        <w:rPr>
          <w:rFonts w:ascii="Arial" w:eastAsia="Arial" w:hAnsi="Arial" w:cs="Arial"/>
          <w:color w:val="000000" w:themeColor="text1"/>
        </w:rPr>
        <w:t xml:space="preserve">attempting to reach out to a consistent caregiver or placing a thumb in the mouth to sooth and internal need. This when looking Rowland (1996) shows the start of the development of voluntary movements, where there is a consistent response to stimuli but it is not necessarily associated with getting a desired outcome e.g. crying when hungry or smiling when </w:t>
      </w:r>
      <w:r w:rsidR="00EA6737" w:rsidRPr="006F7C27">
        <w:rPr>
          <w:rFonts w:ascii="Arial" w:eastAsia="Arial" w:hAnsi="Arial" w:cs="Arial"/>
          <w:color w:val="000000" w:themeColor="text1"/>
        </w:rPr>
        <w:lastRenderedPageBreak/>
        <w:t xml:space="preserve">listening to soothing music. This </w:t>
      </w:r>
      <w:r w:rsidR="0064244A" w:rsidRPr="006F7C27">
        <w:rPr>
          <w:rFonts w:ascii="Arial" w:eastAsia="Arial" w:hAnsi="Arial" w:cs="Arial"/>
          <w:color w:val="000000" w:themeColor="text1"/>
        </w:rPr>
        <w:t>landmark</w:t>
      </w:r>
      <w:r w:rsidR="00EA6737" w:rsidRPr="006F7C27">
        <w:rPr>
          <w:rFonts w:ascii="Arial" w:eastAsia="Arial" w:hAnsi="Arial" w:cs="Arial"/>
          <w:color w:val="000000" w:themeColor="text1"/>
        </w:rPr>
        <w:t xml:space="preserve"> is usually met around 4 months, but again it is very clear to see how individuals with PMLD remain in this area for longer due to impairment. Looking at the main communication route from 1 to 8 in the RfL Routemap </w:t>
      </w:r>
      <w:r w:rsidR="00D670A8" w:rsidRPr="006F7C27">
        <w:rPr>
          <w:rFonts w:ascii="Arial" w:eastAsia="Arial" w:hAnsi="Arial" w:cs="Arial"/>
          <w:color w:val="000000" w:themeColor="text1"/>
        </w:rPr>
        <w:t>it is clear to see how important it is that there is a consistent caregiver who knows the individual very well. This is to ensure that the meaning behind responses are noted, for e.g. an individual may smile which can be interpreted as a happy response or a sign of fulfilment, but an individual with PMLD may present in this way when in pain or discomfort</w:t>
      </w:r>
      <w:r w:rsidR="007150E1" w:rsidRPr="006F7C27">
        <w:rPr>
          <w:rFonts w:ascii="Arial" w:eastAsia="Arial" w:hAnsi="Arial" w:cs="Arial"/>
          <w:color w:val="000000" w:themeColor="text1"/>
        </w:rPr>
        <w:t xml:space="preserve"> and may display happiness through vocalisation or body movements. The cognitive route from 1 to 8 again using the RfL Routemap as a guide is less reliantly on an additional caregiver, however for individuals with PMLD it would obviously require an observer to monitor responses. It is interesting to see that in this route not all individuals develop to be able to consistently respond to one stimulus, and progress onto responding differently to different stimuli (</w:t>
      </w:r>
      <w:r w:rsidR="00CA4326" w:rsidRPr="006F7C27">
        <w:rPr>
          <w:rFonts w:ascii="Arial" w:eastAsia="Arial" w:hAnsi="Arial" w:cs="Arial"/>
          <w:color w:val="000000" w:themeColor="text1"/>
        </w:rPr>
        <w:t xml:space="preserve">11) </w:t>
      </w:r>
      <w:r w:rsidR="007150E1" w:rsidRPr="006F7C27">
        <w:rPr>
          <w:rFonts w:ascii="Arial" w:eastAsia="Arial" w:hAnsi="Arial" w:cs="Arial"/>
          <w:color w:val="000000" w:themeColor="text1"/>
        </w:rPr>
        <w:t>without consistency. This route</w:t>
      </w:r>
      <w:r w:rsidR="0064244A" w:rsidRPr="006F7C27">
        <w:rPr>
          <w:rFonts w:ascii="Arial" w:eastAsia="Arial" w:hAnsi="Arial" w:cs="Arial"/>
          <w:color w:val="000000" w:themeColor="text1"/>
        </w:rPr>
        <w:t xml:space="preserve">, </w:t>
      </w:r>
      <w:r w:rsidR="007150E1" w:rsidRPr="006F7C27">
        <w:rPr>
          <w:rFonts w:ascii="Arial" w:eastAsia="Arial" w:hAnsi="Arial" w:cs="Arial"/>
          <w:color w:val="000000" w:themeColor="text1"/>
        </w:rPr>
        <w:t>through experience is one that is taken by individuals with PMLD who have an impairment with memory or other cognitive impairments and can therefore not recognise consistent stimuli.</w:t>
      </w:r>
    </w:p>
    <w:p w14:paraId="708B7EF4" w14:textId="389DD793" w:rsidR="0064244A" w:rsidRPr="006F7C27" w:rsidRDefault="0064244A"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The next landmark set out in the RfL Routemap (2006) and draft (2019) is contingency responding. Contingency responding falls into both the secondary circular reactions and coordination of secondary circular reactions as seen in the Sensorimotor Period</w:t>
      </w:r>
      <w:r w:rsidR="00BB3292" w:rsidRPr="006F7C27">
        <w:rPr>
          <w:rFonts w:ascii="Arial" w:eastAsia="Arial" w:hAnsi="Arial" w:cs="Arial"/>
          <w:color w:val="000000" w:themeColor="text1"/>
        </w:rPr>
        <w:t xml:space="preserve"> of Piaget’s (1945) theory of cognitive development. This stage is normally met at between 4-12 months when looking at a NT developing child with no physical impairments. As previously mentioned contingency responding is </w:t>
      </w:r>
      <w:r w:rsidR="00BD64F7" w:rsidRPr="006F7C27">
        <w:rPr>
          <w:rFonts w:ascii="Arial" w:eastAsia="Arial" w:hAnsi="Arial" w:cs="Arial"/>
          <w:color w:val="000000" w:themeColor="text1"/>
        </w:rPr>
        <w:t xml:space="preserve">an individual performing an action that produces a desired response, but the understanding of the direct one cause/action and one response/effect is not yet present. This in my experience has presented in an individual with PMLD repeatedly </w:t>
      </w:r>
      <w:r w:rsidR="0037454E" w:rsidRPr="006F7C27">
        <w:rPr>
          <w:rFonts w:ascii="Arial" w:eastAsia="Arial" w:hAnsi="Arial" w:cs="Arial"/>
          <w:color w:val="000000" w:themeColor="text1"/>
        </w:rPr>
        <w:t>hitting a</w:t>
      </w:r>
      <w:r w:rsidR="00BD64F7" w:rsidRPr="006F7C27">
        <w:rPr>
          <w:rFonts w:ascii="Arial" w:eastAsia="Arial" w:hAnsi="Arial" w:cs="Arial"/>
          <w:color w:val="000000" w:themeColor="text1"/>
        </w:rPr>
        <w:t xml:space="preserve"> switch after the desired effect has been initiated, it has also been seen in personal experience where my son has tapped the top of a</w:t>
      </w:r>
      <w:r w:rsidR="0037454E" w:rsidRPr="006F7C27">
        <w:rPr>
          <w:rFonts w:ascii="Arial" w:eastAsia="Arial" w:hAnsi="Arial" w:cs="Arial"/>
          <w:color w:val="000000" w:themeColor="text1"/>
        </w:rPr>
        <w:t xml:space="preserve">n upside-down </w:t>
      </w:r>
      <w:r w:rsidR="00BD64F7" w:rsidRPr="006F7C27">
        <w:rPr>
          <w:rFonts w:ascii="Arial" w:eastAsia="Arial" w:hAnsi="Arial" w:cs="Arial"/>
          <w:color w:val="000000" w:themeColor="text1"/>
        </w:rPr>
        <w:t>bucket when making a sandcastle even when there is no sand in the bucket. This shows that he understands that this action is part of the process</w:t>
      </w:r>
      <w:r w:rsidR="0037454E" w:rsidRPr="006F7C27">
        <w:rPr>
          <w:rFonts w:ascii="Arial" w:eastAsia="Arial" w:hAnsi="Arial" w:cs="Arial"/>
          <w:color w:val="000000" w:themeColor="text1"/>
        </w:rPr>
        <w:t>,</w:t>
      </w:r>
      <w:r w:rsidR="00BD64F7" w:rsidRPr="006F7C27">
        <w:rPr>
          <w:rFonts w:ascii="Arial" w:eastAsia="Arial" w:hAnsi="Arial" w:cs="Arial"/>
          <w:color w:val="000000" w:themeColor="text1"/>
        </w:rPr>
        <w:t xml:space="preserve"> and the effect</w:t>
      </w:r>
      <w:r w:rsidR="0037454E" w:rsidRPr="006F7C27">
        <w:rPr>
          <w:rFonts w:ascii="Arial" w:eastAsia="Arial" w:hAnsi="Arial" w:cs="Arial"/>
          <w:color w:val="000000" w:themeColor="text1"/>
        </w:rPr>
        <w:t xml:space="preserve"> or end result</w:t>
      </w:r>
      <w:r w:rsidR="00BD64F7" w:rsidRPr="006F7C27">
        <w:rPr>
          <w:rFonts w:ascii="Arial" w:eastAsia="Arial" w:hAnsi="Arial" w:cs="Arial"/>
          <w:color w:val="000000" w:themeColor="text1"/>
        </w:rPr>
        <w:t xml:space="preserve"> is </w:t>
      </w:r>
      <w:r w:rsidR="0037454E" w:rsidRPr="006F7C27">
        <w:rPr>
          <w:rFonts w:ascii="Arial" w:eastAsia="Arial" w:hAnsi="Arial" w:cs="Arial"/>
          <w:color w:val="000000" w:themeColor="text1"/>
        </w:rPr>
        <w:t>the revealing of a</w:t>
      </w:r>
      <w:r w:rsidR="00BD64F7" w:rsidRPr="006F7C27">
        <w:rPr>
          <w:rFonts w:ascii="Arial" w:eastAsia="Arial" w:hAnsi="Arial" w:cs="Arial"/>
          <w:color w:val="000000" w:themeColor="text1"/>
        </w:rPr>
        <w:t xml:space="preserve"> sandcastle, that he usually enjoys knocking down, but doesn’t fully understand that filling the bucket first is the desired cause/action for the direct response of a sandcastle. There are more obvious examples when looking at technology (such as the one previously mentioned) however at this stage it is important to understand that </w:t>
      </w:r>
      <w:r w:rsidR="00BD64F7" w:rsidRPr="006F7C27">
        <w:rPr>
          <w:rFonts w:ascii="Arial" w:eastAsia="Arial" w:hAnsi="Arial" w:cs="Arial"/>
          <w:color w:val="000000" w:themeColor="text1"/>
        </w:rPr>
        <w:lastRenderedPageBreak/>
        <w:t>the action is purposeful to gain the effect and not an involuntary action, which can often be seen in individuals with PMLD</w:t>
      </w:r>
      <w:r w:rsidR="0037454E" w:rsidRPr="006F7C27">
        <w:rPr>
          <w:rFonts w:ascii="Arial" w:eastAsia="Arial" w:hAnsi="Arial" w:cs="Arial"/>
          <w:color w:val="000000" w:themeColor="text1"/>
        </w:rPr>
        <w:t xml:space="preserve">, especially when switches are placed in front of students regularly for different purposes. It is therefore important to understand and observe the individual to know that they are pressing the switch to gain the effect or response and not just pressing a switch because that’s a </w:t>
      </w:r>
      <w:r w:rsidR="000C1146" w:rsidRPr="006F7C27">
        <w:rPr>
          <w:rFonts w:ascii="Arial" w:eastAsia="Arial" w:hAnsi="Arial" w:cs="Arial"/>
          <w:color w:val="000000" w:themeColor="text1"/>
        </w:rPr>
        <w:t>learned response</w:t>
      </w:r>
      <w:r w:rsidR="0037454E" w:rsidRPr="006F7C27">
        <w:rPr>
          <w:rFonts w:ascii="Arial" w:eastAsia="Arial" w:hAnsi="Arial" w:cs="Arial"/>
          <w:color w:val="000000" w:themeColor="text1"/>
        </w:rPr>
        <w:t>.</w:t>
      </w:r>
    </w:p>
    <w:p w14:paraId="587DADBC" w14:textId="1A64077C" w:rsidR="009A7546" w:rsidRPr="006F7C27" w:rsidRDefault="0051661E" w:rsidP="0055315E">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Route to contingency responding</w:t>
      </w:r>
      <w:r w:rsidR="009010D0" w:rsidRPr="006F7C27">
        <w:rPr>
          <w:rFonts w:ascii="Arial" w:eastAsia="Arial" w:hAnsi="Arial" w:cs="Arial"/>
          <w:color w:val="000000" w:themeColor="text1"/>
        </w:rPr>
        <w:t xml:space="preserve"> as mentioned is Imray and Hinchcliffe (2014) when referring to RfL in general is not achieved in numerical order, as seen in other models, but can be achieved through many different routes and milestones, however contingency responding and awareness are both identified as key milestones which are then the precursors to further development of both communication and cognition. Contingency responding is typically presented by a baby around 12-18 months, however as is the trend with this assignment, learners with PMLD may take a lot longer to develop this milestone due to the varying needs and impairments they have. </w:t>
      </w:r>
      <w:r w:rsidR="009A7546" w:rsidRPr="006F7C27">
        <w:rPr>
          <w:rFonts w:ascii="Arial" w:eastAsia="Arial" w:hAnsi="Arial" w:cs="Arial"/>
          <w:color w:val="000000" w:themeColor="text1"/>
        </w:rPr>
        <w:t>Looking at the route to both contingency responding and awareness there still remains a large reliance on a caregiver/educator, as well as a number of milestones that include displaying likes or dislikes and some choice. For these milestones to be achieved it is usually important that the caregiver is able to recognise subtle responses and signals, to ensure that assessments can be made on achievement.</w:t>
      </w:r>
    </w:p>
    <w:p w14:paraId="253616CE" w14:textId="123E84F5" w:rsidR="00B65135" w:rsidRPr="006F7C27" w:rsidRDefault="00182171" w:rsidP="006D51EA">
      <w:pPr>
        <w:spacing w:before="240" w:after="240"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The next landmark on the RfL Routemap </w:t>
      </w:r>
      <w:r w:rsidR="006F0F81" w:rsidRPr="006F7C27">
        <w:rPr>
          <w:rFonts w:ascii="Arial" w:eastAsia="Arial" w:hAnsi="Arial" w:cs="Arial"/>
          <w:color w:val="000000" w:themeColor="text1"/>
        </w:rPr>
        <w:t xml:space="preserve">draft (2019) </w:t>
      </w:r>
      <w:r w:rsidRPr="006F7C27">
        <w:rPr>
          <w:rFonts w:ascii="Arial" w:eastAsia="Arial" w:hAnsi="Arial" w:cs="Arial"/>
          <w:color w:val="000000" w:themeColor="text1"/>
        </w:rPr>
        <w:t>is Contingency Awareness (</w:t>
      </w:r>
      <w:r w:rsidR="006F0F81" w:rsidRPr="006F7C27">
        <w:rPr>
          <w:rFonts w:ascii="Arial" w:eastAsia="Arial" w:hAnsi="Arial" w:cs="Arial"/>
          <w:color w:val="000000" w:themeColor="text1"/>
        </w:rPr>
        <w:t>25). As mentioned previously, contingency awareness is the understanding that one specific action gets a direct response</w:t>
      </w:r>
      <w:r w:rsidR="009010D0" w:rsidRPr="006F7C27">
        <w:rPr>
          <w:rFonts w:ascii="Arial" w:eastAsia="Arial" w:hAnsi="Arial" w:cs="Arial"/>
          <w:color w:val="000000" w:themeColor="text1"/>
        </w:rPr>
        <w:t xml:space="preserve"> such as the examples previously mentioned</w:t>
      </w:r>
      <w:r w:rsidR="006F0F81" w:rsidRPr="006F7C27">
        <w:rPr>
          <w:rFonts w:ascii="Arial" w:eastAsia="Arial" w:hAnsi="Arial" w:cs="Arial"/>
          <w:color w:val="000000" w:themeColor="text1"/>
        </w:rPr>
        <w:t xml:space="preserve">. </w:t>
      </w:r>
      <w:r w:rsidR="009010D0" w:rsidRPr="006F7C27">
        <w:rPr>
          <w:rFonts w:ascii="Arial" w:eastAsia="Arial" w:hAnsi="Arial" w:cs="Arial"/>
          <w:color w:val="000000" w:themeColor="text1"/>
        </w:rPr>
        <w:t xml:space="preserve">Ware (2003) looks at the teaching of contingency awareness at a young age, and states that learners with PMLD may find this more difficult due to two factors; they are unable to pick up </w:t>
      </w:r>
      <w:r w:rsidR="00D67D61" w:rsidRPr="006F7C27">
        <w:rPr>
          <w:rFonts w:ascii="Arial" w:eastAsia="Arial" w:hAnsi="Arial" w:cs="Arial"/>
          <w:color w:val="000000" w:themeColor="text1"/>
        </w:rPr>
        <w:t xml:space="preserve">on </w:t>
      </w:r>
      <w:r w:rsidR="009010D0" w:rsidRPr="006F7C27">
        <w:rPr>
          <w:rFonts w:ascii="Arial" w:eastAsia="Arial" w:hAnsi="Arial" w:cs="Arial"/>
          <w:color w:val="000000" w:themeColor="text1"/>
        </w:rPr>
        <w:t>cues from a caregiver or adult as clearly d</w:t>
      </w:r>
      <w:r w:rsidR="000C1146" w:rsidRPr="006F7C27">
        <w:rPr>
          <w:rFonts w:ascii="Arial" w:eastAsia="Arial" w:hAnsi="Arial" w:cs="Arial"/>
          <w:color w:val="000000" w:themeColor="text1"/>
        </w:rPr>
        <w:t xml:space="preserve">ue </w:t>
      </w:r>
      <w:r w:rsidR="009010D0" w:rsidRPr="006F7C27">
        <w:rPr>
          <w:rFonts w:ascii="Arial" w:eastAsia="Arial" w:hAnsi="Arial" w:cs="Arial"/>
          <w:color w:val="000000" w:themeColor="text1"/>
        </w:rPr>
        <w:t>to impairments</w:t>
      </w:r>
      <w:r w:rsidR="00D67D61" w:rsidRPr="006F7C27">
        <w:rPr>
          <w:rFonts w:ascii="Arial" w:eastAsia="Arial" w:hAnsi="Arial" w:cs="Arial"/>
          <w:color w:val="000000" w:themeColor="text1"/>
        </w:rPr>
        <w:t xml:space="preserve"> (such as visual or auditory cues)</w:t>
      </w:r>
      <w:r w:rsidR="009010D0" w:rsidRPr="006F7C27">
        <w:rPr>
          <w:rFonts w:ascii="Arial" w:eastAsia="Arial" w:hAnsi="Arial" w:cs="Arial"/>
          <w:color w:val="000000" w:themeColor="text1"/>
        </w:rPr>
        <w:t xml:space="preserve">, but do not give off </w:t>
      </w:r>
      <w:r w:rsidR="001B2CEF" w:rsidRPr="006F7C27">
        <w:rPr>
          <w:rFonts w:ascii="Arial" w:eastAsia="Arial" w:hAnsi="Arial" w:cs="Arial"/>
          <w:color w:val="000000" w:themeColor="text1"/>
        </w:rPr>
        <w:t xml:space="preserve">responses or signals as easily either, due to </w:t>
      </w:r>
      <w:r w:rsidR="009B5CFD" w:rsidRPr="006F7C27">
        <w:rPr>
          <w:rFonts w:ascii="Arial" w:eastAsia="Arial" w:hAnsi="Arial" w:cs="Arial"/>
          <w:color w:val="000000" w:themeColor="text1"/>
        </w:rPr>
        <w:t xml:space="preserve">similar cognitive or physical </w:t>
      </w:r>
      <w:r w:rsidR="001B2CEF" w:rsidRPr="006F7C27">
        <w:rPr>
          <w:rFonts w:ascii="Arial" w:eastAsia="Arial" w:hAnsi="Arial" w:cs="Arial"/>
          <w:color w:val="000000" w:themeColor="text1"/>
        </w:rPr>
        <w:t xml:space="preserve">impairments. This results in far more limited engagements with their immediate environment and others. Contingency awareness is typically embedded within NT physically able children at around 18 months and is developed through interaction with their environment (toys, materials, music, light etc.) and their caregivers (pass a cup to receive a drink, bring a toy to initiate play etc.). As mentioned, learners with PMLD who may have either a sensory or a physical impairment may not have had such engaging exposure to the stimuli as a NT </w:t>
      </w:r>
      <w:r w:rsidR="001B2CEF" w:rsidRPr="006F7C27">
        <w:rPr>
          <w:rFonts w:ascii="Arial" w:eastAsia="Arial" w:hAnsi="Arial" w:cs="Arial"/>
          <w:color w:val="000000" w:themeColor="text1"/>
        </w:rPr>
        <w:lastRenderedPageBreak/>
        <w:t>developing baby has had. It therefore takes longer for link to be made between cause and effect and is often something that is still being developed at a later age. From my experience contingency awareness is something that learners love to engage with, as it provides them with control on their environment. This is something that for some they have very little of in their day to day lives. Learner’s with PMLD are often, but not always wheelchair users or struggle with mobility and therefore have a lot of daily routine activities done for them (toileting, feeding, moving, therapies, communicating etc.). This unfortunately leaves very little for the individual to control, which is why contingency awareness is so important. It enhances the learner’s ability to act upon their own environment and they are in control.</w:t>
      </w:r>
    </w:p>
    <w:p w14:paraId="25B18E86" w14:textId="32CC5C12" w:rsidR="00EC2BCD" w:rsidRPr="006F7C27" w:rsidRDefault="00EC2BCD" w:rsidP="0055315E">
      <w:pPr>
        <w:spacing w:before="240" w:after="240"/>
        <w:jc w:val="both"/>
        <w:rPr>
          <w:rFonts w:ascii="Arial" w:eastAsia="Arial" w:hAnsi="Arial" w:cs="Arial"/>
          <w:color w:val="000000" w:themeColor="text1"/>
          <w:u w:val="single"/>
        </w:rPr>
      </w:pPr>
      <w:r w:rsidRPr="006F7C27">
        <w:rPr>
          <w:rFonts w:ascii="Arial" w:eastAsia="Arial" w:hAnsi="Arial" w:cs="Arial"/>
          <w:color w:val="000000" w:themeColor="text1"/>
          <w:u w:val="single"/>
        </w:rPr>
        <w:t xml:space="preserve">What can schools do to maximise the potential for learners with PMLD to develop contingency awareness? </w:t>
      </w:r>
    </w:p>
    <w:p w14:paraId="0B82A83B" w14:textId="72A407D9" w:rsidR="00635C01" w:rsidRPr="006F7C27" w:rsidRDefault="00635C01" w:rsidP="006D51EA">
      <w:pPr>
        <w:pBdr>
          <w:top w:val="nil"/>
          <w:left w:val="nil"/>
          <w:bottom w:val="nil"/>
          <w:right w:val="nil"/>
          <w:between w:val="nil"/>
        </w:pBdr>
        <w:spacing w:line="360" w:lineRule="auto"/>
        <w:jc w:val="both"/>
        <w:rPr>
          <w:rFonts w:ascii="Arial" w:eastAsia="Arial" w:hAnsi="Arial" w:cs="Arial"/>
          <w:color w:val="000000" w:themeColor="text1"/>
        </w:rPr>
      </w:pPr>
    </w:p>
    <w:p w14:paraId="115346DD" w14:textId="2D37E23C" w:rsidR="00635C01" w:rsidRPr="006F7C27" w:rsidRDefault="00635C01" w:rsidP="0055315E">
      <w:pPr>
        <w:pBdr>
          <w:top w:val="nil"/>
          <w:left w:val="nil"/>
          <w:bottom w:val="nil"/>
          <w:right w:val="nil"/>
          <w:between w:val="nil"/>
        </w:pBdr>
        <w:spacing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This section of the assignment will look to outline what schools can do to maximise learning of individuals with PMLD whilst considering the learning environment, utilising technology, target setting and assessment, involving parents\carers and families, roles of teaching and support staff, as well as other professionals within a special school who have direct input to the curriculum and development of the individual, such as physiotherapists, speech and language, occupational therapists etc. Throughout this section there will be relevant examples given from my experience at the school I teach in. This will give a good account of the work that goes into ensuring that the needs of our students are met and effective learning takes place. </w:t>
      </w:r>
    </w:p>
    <w:p w14:paraId="53EEE400" w14:textId="77777777" w:rsidR="00177F12" w:rsidRPr="006F7C27" w:rsidRDefault="00177F12" w:rsidP="0055315E">
      <w:pPr>
        <w:pBdr>
          <w:top w:val="nil"/>
          <w:left w:val="nil"/>
          <w:bottom w:val="nil"/>
          <w:right w:val="nil"/>
          <w:between w:val="nil"/>
        </w:pBdr>
        <w:spacing w:line="360" w:lineRule="auto"/>
        <w:jc w:val="both"/>
        <w:rPr>
          <w:rFonts w:ascii="Arial" w:eastAsia="Arial" w:hAnsi="Arial" w:cs="Arial"/>
          <w:color w:val="000000" w:themeColor="text1"/>
        </w:rPr>
      </w:pPr>
    </w:p>
    <w:p w14:paraId="7A033E7F" w14:textId="0BCE207C" w:rsidR="00635C01"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r w:rsidRPr="006F7C27">
        <w:rPr>
          <w:rFonts w:ascii="Arial" w:eastAsia="Arial" w:hAnsi="Arial" w:cs="Arial"/>
          <w:b/>
          <w:color w:val="000000" w:themeColor="text1"/>
          <w:u w:val="single"/>
        </w:rPr>
        <w:t>Learning Environment</w:t>
      </w:r>
    </w:p>
    <w:p w14:paraId="7DC0DEC7" w14:textId="77777777" w:rsidR="0055315E" w:rsidRPr="006F7C27" w:rsidRDefault="0055315E"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p>
    <w:p w14:paraId="2E710699" w14:textId="1540703E" w:rsidR="00177F12" w:rsidRPr="006F7C27" w:rsidRDefault="0055315E" w:rsidP="00976F20">
      <w:pPr>
        <w:pBdr>
          <w:top w:val="nil"/>
          <w:left w:val="nil"/>
          <w:bottom w:val="nil"/>
          <w:right w:val="nil"/>
          <w:between w:val="nil"/>
        </w:pBdr>
        <w:spacing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The learning environment to develop and improve a learner’s contingency responding and awareness starts initially in their personal space and then expands to the classroom and then eventually the school as a whole, where it is important that all available spaces and facilities are utilised to meet the needs of the learner. </w:t>
      </w:r>
      <w:r w:rsidR="00976F20" w:rsidRPr="006F7C27">
        <w:rPr>
          <w:rFonts w:ascii="Arial" w:eastAsia="Arial" w:hAnsi="Arial" w:cs="Arial"/>
          <w:color w:val="000000" w:themeColor="text1"/>
        </w:rPr>
        <w:t xml:space="preserve">When looking at students with PMLD, especially those with mobility impairments it is more important to ensure that the learning environment is responsive and accessible to the individual so that they can access the learning and display their knowledge and ability. </w:t>
      </w:r>
      <w:r w:rsidRPr="006F7C27">
        <w:rPr>
          <w:rFonts w:ascii="Arial" w:eastAsia="Arial" w:hAnsi="Arial" w:cs="Arial"/>
          <w:color w:val="000000" w:themeColor="text1"/>
        </w:rPr>
        <w:t xml:space="preserve">Ware (2003) </w:t>
      </w:r>
      <w:r w:rsidR="00976F20" w:rsidRPr="006F7C27">
        <w:rPr>
          <w:rFonts w:ascii="Arial" w:eastAsia="Arial" w:hAnsi="Arial" w:cs="Arial"/>
          <w:color w:val="000000" w:themeColor="text1"/>
        </w:rPr>
        <w:t>looks at Cr</w:t>
      </w:r>
      <w:r w:rsidRPr="006F7C27">
        <w:rPr>
          <w:rFonts w:ascii="Arial" w:eastAsia="Arial" w:hAnsi="Arial" w:cs="Arial"/>
          <w:color w:val="000000" w:themeColor="text1"/>
        </w:rPr>
        <w:t xml:space="preserve">eating a Responsive environment </w:t>
      </w:r>
      <w:r w:rsidR="001B6B6C" w:rsidRPr="006F7C27">
        <w:rPr>
          <w:rFonts w:ascii="Arial" w:eastAsia="Arial" w:hAnsi="Arial" w:cs="Arial"/>
          <w:color w:val="000000" w:themeColor="text1"/>
        </w:rPr>
        <w:t xml:space="preserve">within the classroom for </w:t>
      </w:r>
      <w:r w:rsidR="001B6B6C" w:rsidRPr="006F7C27">
        <w:rPr>
          <w:rFonts w:ascii="Arial" w:eastAsia="Arial" w:hAnsi="Arial" w:cs="Arial"/>
          <w:color w:val="000000" w:themeColor="text1"/>
        </w:rPr>
        <w:lastRenderedPageBreak/>
        <w:t>learners with PMLD and found that there were few opportunities for interaction, and any purposeful interactions were dominated by the adult. This area will be</w:t>
      </w:r>
      <w:r w:rsidR="000C1146" w:rsidRPr="006F7C27">
        <w:rPr>
          <w:rFonts w:ascii="Arial" w:eastAsia="Arial" w:hAnsi="Arial" w:cs="Arial"/>
          <w:color w:val="000000" w:themeColor="text1"/>
        </w:rPr>
        <w:t xml:space="preserve"> explored further</w:t>
      </w:r>
      <w:r w:rsidR="001B6B6C" w:rsidRPr="006F7C27">
        <w:rPr>
          <w:rFonts w:ascii="Arial" w:eastAsia="Arial" w:hAnsi="Arial" w:cs="Arial"/>
          <w:color w:val="000000" w:themeColor="text1"/>
        </w:rPr>
        <w:t xml:space="preserve"> when talking about the role of the teacher/support staff, however it links in with the organisation of the learning environment as student positioning, posture, and placement are all key factors in ensuring the best chances for students to engage and respond, and for support staff to work directly with one pupil and note all purposeful responses. Learners with PMLD can get stimuli from a number of different sources, usually it will either be from their immediate environment or the adult/caregiver. It is vital that the surroundings are suited to the needs of the individual so that they are able to access the learning, for example, in my previous experience a student with PMLD and very high tone is only slightly able to move his head which was constantly at an angle, it was therefore extremely important to ensure that any work (via iPad, whiteboard, physical etc.) was presented to him at the right angle and position for him to access it. This was also the same scenario for the switch he used, which needed to be positioned correctly so he could access with ease when moving his head slightly. This allowed him to show that he was more capable than he had displayed previously (due to </w:t>
      </w:r>
      <w:r w:rsidR="00CC5588" w:rsidRPr="006F7C27">
        <w:rPr>
          <w:rFonts w:ascii="Arial" w:eastAsia="Arial" w:hAnsi="Arial" w:cs="Arial"/>
          <w:color w:val="000000" w:themeColor="text1"/>
        </w:rPr>
        <w:t>an unsuitable environment), and he made very good progress – especially showing us how much he loved contingency awareness activities. To adapt and be flexible to the needs of the students (both medical and physical) it is important to stay aware and upskilled on using the latest technology to ensure that all of the needs of the students can be met to the best of the teacher’s ability.</w:t>
      </w:r>
    </w:p>
    <w:p w14:paraId="5C03B151" w14:textId="77777777" w:rsidR="0055315E" w:rsidRPr="006F7C27" w:rsidRDefault="0055315E" w:rsidP="00CC5588">
      <w:pPr>
        <w:pBdr>
          <w:top w:val="nil"/>
          <w:left w:val="nil"/>
          <w:bottom w:val="nil"/>
          <w:right w:val="nil"/>
          <w:between w:val="nil"/>
        </w:pBdr>
        <w:spacing w:line="360" w:lineRule="auto"/>
        <w:jc w:val="both"/>
        <w:rPr>
          <w:rFonts w:ascii="Arial" w:eastAsia="Arial" w:hAnsi="Arial" w:cs="Arial"/>
          <w:b/>
          <w:color w:val="000000" w:themeColor="text1"/>
          <w:u w:val="single"/>
        </w:rPr>
      </w:pPr>
    </w:p>
    <w:p w14:paraId="28D201E8" w14:textId="0B77C03F"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r w:rsidRPr="006F7C27">
        <w:rPr>
          <w:rFonts w:ascii="Arial" w:eastAsia="Arial" w:hAnsi="Arial" w:cs="Arial"/>
          <w:b/>
          <w:color w:val="000000" w:themeColor="text1"/>
          <w:u w:val="single"/>
        </w:rPr>
        <w:t>Utilising Technology</w:t>
      </w:r>
    </w:p>
    <w:p w14:paraId="0C16D78E" w14:textId="77777777" w:rsidR="006D51EA" w:rsidRPr="006F7C27" w:rsidRDefault="006D51EA"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p>
    <w:p w14:paraId="3B020045" w14:textId="56398352" w:rsidR="00215756" w:rsidRPr="006F7C27" w:rsidRDefault="00DC3231" w:rsidP="00DC3231">
      <w:pPr>
        <w:pBdr>
          <w:top w:val="nil"/>
          <w:left w:val="nil"/>
          <w:bottom w:val="nil"/>
          <w:right w:val="nil"/>
          <w:between w:val="nil"/>
        </w:pBdr>
        <w:spacing w:line="360" w:lineRule="auto"/>
        <w:jc w:val="both"/>
        <w:rPr>
          <w:rFonts w:ascii="Arial" w:eastAsia="Arial" w:hAnsi="Arial" w:cs="Arial"/>
          <w:color w:val="000000" w:themeColor="text1"/>
        </w:rPr>
      </w:pPr>
      <w:r w:rsidRPr="006F7C27">
        <w:rPr>
          <w:rFonts w:ascii="Arial" w:eastAsia="Arial" w:hAnsi="Arial" w:cs="Arial"/>
          <w:color w:val="000000" w:themeColor="text1"/>
        </w:rPr>
        <w:t>As mentioned previously when outlining the impact that the learning environment has on developing contingency awareness, technology has an increasing role to play in unlocking the abilities of learners with PMLD</w:t>
      </w:r>
      <w:r w:rsidR="006D51EA" w:rsidRPr="006F7C27">
        <w:rPr>
          <w:rFonts w:ascii="Arial" w:eastAsia="Arial" w:hAnsi="Arial" w:cs="Arial"/>
          <w:color w:val="000000" w:themeColor="text1"/>
        </w:rPr>
        <w:t xml:space="preserve"> through creating a responsive environment</w:t>
      </w:r>
      <w:r w:rsidR="006F7C27" w:rsidRPr="006F7C27">
        <w:rPr>
          <w:rFonts w:ascii="Arial" w:eastAsia="Arial" w:hAnsi="Arial" w:cs="Arial"/>
          <w:color w:val="000000" w:themeColor="text1"/>
        </w:rPr>
        <w:t xml:space="preserve"> (</w:t>
      </w:r>
      <w:proofErr w:type="spellStart"/>
      <w:r w:rsidR="006F7C27" w:rsidRPr="006F7C27">
        <w:rPr>
          <w:rFonts w:ascii="Arial" w:eastAsia="Arial" w:hAnsi="Arial" w:cs="Arial"/>
          <w:color w:val="000000" w:themeColor="text1"/>
        </w:rPr>
        <w:t>Pagliano</w:t>
      </w:r>
      <w:proofErr w:type="spellEnd"/>
      <w:r w:rsidR="006F7C27" w:rsidRPr="006F7C27">
        <w:rPr>
          <w:rFonts w:ascii="Arial" w:eastAsia="Arial" w:hAnsi="Arial" w:cs="Arial"/>
          <w:color w:val="000000" w:themeColor="text1"/>
        </w:rPr>
        <w:t>, 1990)</w:t>
      </w:r>
      <w:r w:rsidRPr="006F7C27">
        <w:rPr>
          <w:rFonts w:ascii="Arial" w:eastAsia="Arial" w:hAnsi="Arial" w:cs="Arial"/>
          <w:color w:val="000000" w:themeColor="text1"/>
        </w:rPr>
        <w:t>.</w:t>
      </w:r>
      <w:r w:rsidR="006D51EA" w:rsidRPr="006F7C27">
        <w:rPr>
          <w:rFonts w:ascii="Arial" w:eastAsia="Arial" w:hAnsi="Arial" w:cs="Arial"/>
          <w:color w:val="000000" w:themeColor="text1"/>
        </w:rPr>
        <w:t xml:space="preserve"> This is because of the adaptability of technology and how it can be used to enhance the responses and signals of learners through cameras, switches, mounts, pressure pads etc. Ware (2003) looked at how ICT and technology can be used to teach contingency awareness. Although this is a dated publication with regards to technology there are still a number of key points that are relevant in education today about the impact that it can have on developing engagement and contingency awareness. </w:t>
      </w:r>
      <w:r w:rsidR="00D67D61" w:rsidRPr="006F7C27">
        <w:rPr>
          <w:rFonts w:ascii="Arial" w:eastAsia="Arial" w:hAnsi="Arial" w:cs="Arial"/>
          <w:color w:val="000000" w:themeColor="text1"/>
        </w:rPr>
        <w:t xml:space="preserve">Abbot and Middleton (2015) also look as Assistive </w:t>
      </w:r>
      <w:r w:rsidR="00D67D61" w:rsidRPr="006F7C27">
        <w:rPr>
          <w:rFonts w:ascii="Arial" w:eastAsia="Arial" w:hAnsi="Arial" w:cs="Arial"/>
          <w:color w:val="000000" w:themeColor="text1"/>
        </w:rPr>
        <w:lastRenderedPageBreak/>
        <w:t xml:space="preserve">Technology which enhances communication, teaching and learning and most importantly everyday life and independence for learners. The purpose behind developing contingency awareness is to improve our learner’s independence and control of their own lives, therefore if technology can help to achieve this, it is imperative that it is used. Technologies that schools can use to develop contingency awareness are things like switches, eye gaze, iPads/tablets, communication switches, voice command, Bluetooth switches linked to either tablets or interactive whiteboards, cTouch, </w:t>
      </w:r>
      <w:r w:rsidR="006E24C8" w:rsidRPr="006F7C27">
        <w:rPr>
          <w:rFonts w:ascii="Arial" w:eastAsia="Arial" w:hAnsi="Arial" w:cs="Arial"/>
          <w:color w:val="000000" w:themeColor="text1"/>
        </w:rPr>
        <w:t xml:space="preserve">Infra-red device control etc. It would be impossible to expand further on each piece of technology, especially as uses vary depending on the environment, activity and more importantly the user. The most important thing to remember when using technology, as well as sensory rooms (considering the study by </w:t>
      </w:r>
      <w:proofErr w:type="spellStart"/>
      <w:r w:rsidR="006E24C8" w:rsidRPr="006F7C27">
        <w:rPr>
          <w:rFonts w:ascii="Arial" w:eastAsia="Arial" w:hAnsi="Arial" w:cs="Arial"/>
          <w:color w:val="000000" w:themeColor="text1"/>
        </w:rPr>
        <w:t>Hirstwood</w:t>
      </w:r>
      <w:proofErr w:type="spellEnd"/>
      <w:r w:rsidR="006E24C8" w:rsidRPr="006F7C27">
        <w:rPr>
          <w:rFonts w:ascii="Arial" w:eastAsia="Arial" w:hAnsi="Arial" w:cs="Arial"/>
          <w:color w:val="000000" w:themeColor="text1"/>
        </w:rPr>
        <w:t xml:space="preserve"> &amp; Smith, 1996) is to ensure that the learner remains at the centre of all implementation and practice. This will ensure that it remains purposeful and ensures the learner will engage, especially when looking at developing contingency awareness.</w:t>
      </w:r>
    </w:p>
    <w:p w14:paraId="32F79E53" w14:textId="77777777" w:rsidR="00215756" w:rsidRPr="006F7C27" w:rsidRDefault="00215756" w:rsidP="0055315E">
      <w:pPr>
        <w:pBdr>
          <w:top w:val="nil"/>
          <w:left w:val="nil"/>
          <w:bottom w:val="nil"/>
          <w:right w:val="nil"/>
          <w:between w:val="nil"/>
        </w:pBdr>
        <w:spacing w:line="360" w:lineRule="auto"/>
        <w:ind w:left="720" w:hanging="720"/>
        <w:jc w:val="both"/>
        <w:rPr>
          <w:rFonts w:ascii="Arial" w:eastAsia="Arial" w:hAnsi="Arial" w:cs="Arial"/>
          <w:color w:val="000000" w:themeColor="text1"/>
        </w:rPr>
      </w:pPr>
    </w:p>
    <w:p w14:paraId="5A025DF2" w14:textId="56D13553"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r w:rsidRPr="006F7C27">
        <w:rPr>
          <w:rFonts w:ascii="Arial" w:eastAsia="Arial" w:hAnsi="Arial" w:cs="Arial"/>
          <w:b/>
          <w:color w:val="000000" w:themeColor="text1"/>
          <w:u w:val="single"/>
        </w:rPr>
        <w:t>Target Setting and Assessment</w:t>
      </w:r>
    </w:p>
    <w:p w14:paraId="6C25AD55" w14:textId="77777777"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color w:val="000000" w:themeColor="text1"/>
        </w:rPr>
      </w:pPr>
    </w:p>
    <w:p w14:paraId="6AE003B9" w14:textId="36E735A9" w:rsidR="00FE43B5" w:rsidRPr="006F7C27" w:rsidRDefault="00177F12" w:rsidP="0055315E">
      <w:pPr>
        <w:pBdr>
          <w:top w:val="nil"/>
          <w:left w:val="nil"/>
          <w:bottom w:val="nil"/>
          <w:right w:val="nil"/>
          <w:between w:val="nil"/>
        </w:pBdr>
        <w:spacing w:line="360" w:lineRule="auto"/>
        <w:jc w:val="both"/>
        <w:rPr>
          <w:rFonts w:ascii="Arial" w:eastAsia="Arial" w:hAnsi="Arial" w:cs="Arial"/>
          <w:color w:val="000000" w:themeColor="text1"/>
        </w:rPr>
      </w:pPr>
      <w:r w:rsidRPr="006F7C27">
        <w:rPr>
          <w:rFonts w:ascii="Arial" w:eastAsia="Arial" w:hAnsi="Arial" w:cs="Arial"/>
          <w:color w:val="000000" w:themeColor="text1"/>
        </w:rPr>
        <w:t>There are many different forms of assessment that are available to schools to track the progress of students; Routes for Learning (RfL</w:t>
      </w:r>
      <w:r w:rsidR="0055315E" w:rsidRPr="006F7C27">
        <w:rPr>
          <w:rFonts w:ascii="Arial" w:eastAsia="Arial" w:hAnsi="Arial" w:cs="Arial"/>
          <w:color w:val="000000" w:themeColor="text1"/>
        </w:rPr>
        <w:t>) (</w:t>
      </w:r>
      <w:r w:rsidRPr="006F7C27">
        <w:rPr>
          <w:rFonts w:ascii="Arial" w:eastAsia="Arial" w:hAnsi="Arial" w:cs="Arial"/>
          <w:color w:val="000000" w:themeColor="text1"/>
        </w:rPr>
        <w:t>WAG, 2019), INSTEP</w:t>
      </w:r>
      <w:r w:rsidR="006F7C27">
        <w:rPr>
          <w:rFonts w:ascii="Arial" w:eastAsia="Arial" w:hAnsi="Arial" w:cs="Arial"/>
          <w:color w:val="000000" w:themeColor="text1"/>
        </w:rPr>
        <w:t xml:space="preserve"> (School based assessment programme)</w:t>
      </w:r>
      <w:r w:rsidRPr="006F7C27">
        <w:rPr>
          <w:rFonts w:ascii="Arial" w:eastAsia="Arial" w:hAnsi="Arial" w:cs="Arial"/>
          <w:color w:val="000000" w:themeColor="text1"/>
        </w:rPr>
        <w:t>, Literacy and Numeracy Framework (WAG, 2019)</w:t>
      </w:r>
      <w:r w:rsidR="006F7C27">
        <w:rPr>
          <w:rFonts w:ascii="Arial" w:eastAsia="Arial" w:hAnsi="Arial" w:cs="Arial"/>
          <w:color w:val="000000" w:themeColor="text1"/>
        </w:rPr>
        <w:t xml:space="preserve">. </w:t>
      </w:r>
      <w:r w:rsidRPr="006F7C27">
        <w:rPr>
          <w:rFonts w:ascii="Arial" w:eastAsia="Arial" w:hAnsi="Arial" w:cs="Arial"/>
          <w:color w:val="000000" w:themeColor="text1"/>
        </w:rPr>
        <w:t>In my professional experience I currently use RfL, LNF and INSTEP to assess students and set targets in line with our whole school approach. This enables the school to track students of all levels and abilities and give a good range in strategies of assessment so that we can ensure that the ability of all students can be reflected accurately. However, at times this has proven to be very demanding on work load and can sometimes result in duplication. Other assessments that are available for relevant areas for the purpose of this assignment are communication assessment tools such as</w:t>
      </w:r>
      <w:r w:rsidR="00A615A3" w:rsidRPr="006F7C27">
        <w:rPr>
          <w:rFonts w:ascii="Arial" w:eastAsia="Arial" w:hAnsi="Arial" w:cs="Arial"/>
          <w:color w:val="000000" w:themeColor="text1"/>
        </w:rPr>
        <w:t xml:space="preserve"> the communication </w:t>
      </w:r>
      <w:r w:rsidR="006F7C27" w:rsidRPr="006F7C27">
        <w:rPr>
          <w:rFonts w:ascii="Arial" w:eastAsia="Arial" w:hAnsi="Arial" w:cs="Arial"/>
          <w:color w:val="000000" w:themeColor="text1"/>
        </w:rPr>
        <w:t>matrix,</w:t>
      </w:r>
      <w:r w:rsidRPr="006F7C27">
        <w:rPr>
          <w:rFonts w:ascii="Arial" w:eastAsia="Arial" w:hAnsi="Arial" w:cs="Arial"/>
          <w:color w:val="000000" w:themeColor="text1"/>
        </w:rPr>
        <w:t xml:space="preserve"> the switch progression map</w:t>
      </w:r>
      <w:r w:rsidR="00653AEC" w:rsidRPr="006F7C27">
        <w:rPr>
          <w:rFonts w:ascii="Arial" w:eastAsia="Arial" w:hAnsi="Arial" w:cs="Arial"/>
          <w:color w:val="000000" w:themeColor="text1"/>
        </w:rPr>
        <w:t xml:space="preserve">; cognitive assessments such as </w:t>
      </w:r>
      <w:r w:rsidRPr="006F7C27">
        <w:rPr>
          <w:rFonts w:ascii="Arial" w:eastAsia="Arial" w:hAnsi="Arial" w:cs="Arial"/>
          <w:color w:val="000000" w:themeColor="text1"/>
        </w:rPr>
        <w:t>Rebound Therapy Winstrada assessments</w:t>
      </w:r>
      <w:r w:rsidR="00653AEC" w:rsidRPr="006F7C27">
        <w:rPr>
          <w:rFonts w:ascii="Arial" w:eastAsia="Arial" w:hAnsi="Arial" w:cs="Arial"/>
          <w:color w:val="000000" w:themeColor="text1"/>
        </w:rPr>
        <w:t xml:space="preserve"> (Winstrada, 2016), etc. </w:t>
      </w:r>
      <w:r w:rsidR="00FE43B5" w:rsidRPr="006F7C27">
        <w:rPr>
          <w:rFonts w:ascii="Arial" w:eastAsia="Arial" w:hAnsi="Arial" w:cs="Arial"/>
          <w:color w:val="000000" w:themeColor="text1"/>
        </w:rPr>
        <w:t xml:space="preserve">Utilising assessment strategies such as Routes for Learning allows teachers to track progress of students through observations and accurate response assessments, which allow for effective target setting. This in relation to contingency awareness ensures progress can be nurtured towards </w:t>
      </w:r>
      <w:r w:rsidR="00825FC0" w:rsidRPr="006F7C27">
        <w:rPr>
          <w:rFonts w:ascii="Arial" w:eastAsia="Arial" w:hAnsi="Arial" w:cs="Arial"/>
          <w:color w:val="000000" w:themeColor="text1"/>
        </w:rPr>
        <w:t>progressing through the landmarks</w:t>
      </w:r>
      <w:r w:rsidR="00976F20" w:rsidRPr="006F7C27">
        <w:rPr>
          <w:rFonts w:ascii="Arial" w:eastAsia="Arial" w:hAnsi="Arial" w:cs="Arial"/>
          <w:color w:val="000000" w:themeColor="text1"/>
        </w:rPr>
        <w:t xml:space="preserve"> and helps teachers and </w:t>
      </w:r>
      <w:r w:rsidR="00976F20" w:rsidRPr="006F7C27">
        <w:rPr>
          <w:rFonts w:ascii="Arial" w:eastAsia="Arial" w:hAnsi="Arial" w:cs="Arial"/>
          <w:color w:val="000000" w:themeColor="text1"/>
        </w:rPr>
        <w:lastRenderedPageBreak/>
        <w:t>support staff understand the steps before and after the development of contingency awareness so that it can be developed effectively.</w:t>
      </w:r>
      <w:r w:rsidR="00825FC0" w:rsidRPr="006F7C27">
        <w:rPr>
          <w:rFonts w:ascii="Arial" w:eastAsia="Arial" w:hAnsi="Arial" w:cs="Arial"/>
          <w:color w:val="000000" w:themeColor="text1"/>
        </w:rPr>
        <w:t xml:space="preserve"> </w:t>
      </w:r>
    </w:p>
    <w:p w14:paraId="27EA40C2" w14:textId="60C32499"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p>
    <w:p w14:paraId="395FDE6B" w14:textId="7AA8E712"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r w:rsidRPr="006F7C27">
        <w:rPr>
          <w:rFonts w:ascii="Arial" w:eastAsia="Arial" w:hAnsi="Arial" w:cs="Arial"/>
          <w:b/>
          <w:color w:val="000000" w:themeColor="text1"/>
          <w:u w:val="single"/>
        </w:rPr>
        <w:t>Involving Parents/Carers and Families</w:t>
      </w:r>
    </w:p>
    <w:p w14:paraId="3CB590B4" w14:textId="514D4D7C" w:rsidR="00653AEC" w:rsidRPr="006F7C27" w:rsidRDefault="00653AEC"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p>
    <w:p w14:paraId="1DA26198" w14:textId="5FAB088D" w:rsidR="00653AEC" w:rsidRPr="006F7C27" w:rsidRDefault="00653AEC" w:rsidP="0055315E">
      <w:pPr>
        <w:pBdr>
          <w:top w:val="nil"/>
          <w:left w:val="nil"/>
          <w:bottom w:val="nil"/>
          <w:right w:val="nil"/>
          <w:between w:val="nil"/>
        </w:pBdr>
        <w:spacing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For effective learning within a school to take place when looking at learners with PMLD it is vitally important that there is a good home/school link with good communication, transparency and collaboration. This will ensure that there is a consistent, person centred approach to develop the child as a whole, maximising learning and more importantly well-being. </w:t>
      </w:r>
      <w:r w:rsidR="00FE43B5" w:rsidRPr="006F7C27">
        <w:rPr>
          <w:rFonts w:ascii="Arial" w:eastAsia="Arial" w:hAnsi="Arial" w:cs="Arial"/>
          <w:color w:val="000000" w:themeColor="text1"/>
        </w:rPr>
        <w:t>Our school has a family liaison officer who is a fantastic asset to our team of staff and allows for a great relationship between teaching staff and parents.</w:t>
      </w:r>
      <w:r w:rsidR="00825FC0" w:rsidRPr="006F7C27">
        <w:rPr>
          <w:rFonts w:ascii="Arial" w:eastAsia="Arial" w:hAnsi="Arial" w:cs="Arial"/>
          <w:color w:val="000000" w:themeColor="text1"/>
        </w:rPr>
        <w:t xml:space="preserve"> As mentioned communication and a good relationship between the learner’s family and school is essential and can lead to more accurate tracking of progress, ensuring positive and effective home learning and consistency throughout the learner’s life. From my experience I have regularly seen that learners’ behaviour and engagement can differ between home and school so it is very valuable to understand engagement in tasks at home with different motivators</w:t>
      </w:r>
      <w:r w:rsidR="00976F20" w:rsidRPr="006F7C27">
        <w:rPr>
          <w:rFonts w:ascii="Arial" w:eastAsia="Arial" w:hAnsi="Arial" w:cs="Arial"/>
          <w:color w:val="000000" w:themeColor="text1"/>
        </w:rPr>
        <w:t>, especially with learners who have PMLD</w:t>
      </w:r>
      <w:r w:rsidR="00825FC0" w:rsidRPr="006F7C27">
        <w:rPr>
          <w:rFonts w:ascii="Arial" w:eastAsia="Arial" w:hAnsi="Arial" w:cs="Arial"/>
          <w:color w:val="000000" w:themeColor="text1"/>
        </w:rPr>
        <w:t xml:space="preserve">. </w:t>
      </w:r>
    </w:p>
    <w:p w14:paraId="65F1A974" w14:textId="02FEA4A8"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p>
    <w:p w14:paraId="7DFF6884" w14:textId="0037267E"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r w:rsidRPr="006F7C27">
        <w:rPr>
          <w:rFonts w:ascii="Arial" w:eastAsia="Arial" w:hAnsi="Arial" w:cs="Arial"/>
          <w:b/>
          <w:color w:val="000000" w:themeColor="text1"/>
          <w:u w:val="single"/>
        </w:rPr>
        <w:t>Roles of Teaching and Support Staff</w:t>
      </w:r>
    </w:p>
    <w:p w14:paraId="5ECC65DF" w14:textId="07A679A9"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p>
    <w:p w14:paraId="053E7B94" w14:textId="4A74AD3B" w:rsidR="002A674E" w:rsidRPr="006F7C27" w:rsidRDefault="009B5CFD" w:rsidP="002A674E">
      <w:pPr>
        <w:pBdr>
          <w:top w:val="nil"/>
          <w:left w:val="nil"/>
          <w:bottom w:val="nil"/>
          <w:right w:val="nil"/>
          <w:between w:val="nil"/>
        </w:pBdr>
        <w:spacing w:line="360" w:lineRule="auto"/>
        <w:jc w:val="both"/>
        <w:rPr>
          <w:rFonts w:ascii="Arial" w:eastAsia="Arial" w:hAnsi="Arial" w:cs="Arial"/>
          <w:color w:val="000000" w:themeColor="text1"/>
        </w:rPr>
      </w:pPr>
      <w:r w:rsidRPr="006F7C27">
        <w:rPr>
          <w:rFonts w:ascii="Arial" w:eastAsia="Arial" w:hAnsi="Arial" w:cs="Arial"/>
          <w:color w:val="000000" w:themeColor="text1"/>
        </w:rPr>
        <w:t>When looking at developing the contingency awareness of a learner with PMLD within a school setting, a large amount of responsibility falls upon the teacher. This responsibility includes planning, target setting, implantation, assessment and communication with other professionals and parents/guardians. Teachers need to continually develop professionally to ensure that have the tools needed to provide a person-centred curriculum for every learner that includes many of the subheadings mentioned. It is the teacher’s role to implement strategies to improve sensory integration and try to reduce barriers to learning that may be present due to the impairments of the individuals. Sensory Integration</w:t>
      </w:r>
      <w:r w:rsidR="00A615A3" w:rsidRPr="006F7C27">
        <w:rPr>
          <w:rFonts w:ascii="Arial" w:eastAsia="Arial" w:hAnsi="Arial" w:cs="Arial"/>
          <w:color w:val="000000" w:themeColor="text1"/>
        </w:rPr>
        <w:t xml:space="preserve"> (Aquila et al, 2015)</w:t>
      </w:r>
      <w:r w:rsidRPr="006F7C27">
        <w:rPr>
          <w:rFonts w:ascii="Arial" w:eastAsia="Arial" w:hAnsi="Arial" w:cs="Arial"/>
          <w:color w:val="000000" w:themeColor="text1"/>
        </w:rPr>
        <w:t xml:space="preserve"> is the identification of sensory impairment and the strategies, activities, adjustments, and changes to the learning environment that can be made to develop the use of all senses </w:t>
      </w:r>
      <w:r w:rsidR="002A674E" w:rsidRPr="006F7C27">
        <w:rPr>
          <w:rFonts w:ascii="Arial" w:eastAsia="Arial" w:hAnsi="Arial" w:cs="Arial"/>
          <w:color w:val="000000" w:themeColor="text1"/>
        </w:rPr>
        <w:t xml:space="preserve">(mentioned earlier) </w:t>
      </w:r>
      <w:r w:rsidRPr="006F7C27">
        <w:rPr>
          <w:rFonts w:ascii="Arial" w:eastAsia="Arial" w:hAnsi="Arial" w:cs="Arial"/>
          <w:color w:val="000000" w:themeColor="text1"/>
        </w:rPr>
        <w:t xml:space="preserve">to improve learning. </w:t>
      </w:r>
      <w:r w:rsidR="002A674E" w:rsidRPr="006F7C27">
        <w:rPr>
          <w:rFonts w:ascii="Arial" w:eastAsia="Arial" w:hAnsi="Arial" w:cs="Arial"/>
          <w:color w:val="000000" w:themeColor="text1"/>
        </w:rPr>
        <w:t xml:space="preserve">This includes senses that are over or under reactive, or craving and helps to place a students in the best state to engage in learning </w:t>
      </w:r>
      <w:r w:rsidR="002A674E" w:rsidRPr="006F7C27">
        <w:rPr>
          <w:rFonts w:ascii="Arial" w:eastAsia="Arial" w:hAnsi="Arial" w:cs="Arial"/>
          <w:color w:val="000000" w:themeColor="text1"/>
        </w:rPr>
        <w:lastRenderedPageBreak/>
        <w:t xml:space="preserve">e.g. a learner who has an over active visual sense that doesn’t tolerate light very well will prefer to wear sun glasses to complete activities, or a learner who is tactile defensive may dislike contact with textures and touch, it is therefore important to work in a way that reduces contact, but also provides opportunities to improve tolerance in a nurturing and educating way that improves the regulation of that sense. This is important when looking at developing contingency awareness as a learner may not engage in any way to an activity due to an over or under active sensory receptor and adjust may always need to be made prior to the activity. This again heavily depends on positive relationships between staff and the student to pick up on cues and signals that the learner may not be able to communicate. This is just one large strategy a teacher needs to be aware of in terms of planning, preparation and delivery. It is important that the pupil is always at the centre of any process, such as Sensory Integration to ensure that all learning is relevant and effective, and that well-being remains at the forefront throughout the learner’s curriculum. </w:t>
      </w:r>
    </w:p>
    <w:p w14:paraId="254AEBA0" w14:textId="77777777" w:rsidR="002A674E" w:rsidRPr="006F7C27" w:rsidRDefault="002A674E"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p>
    <w:p w14:paraId="09F542B0" w14:textId="49177E09"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r w:rsidRPr="006F7C27">
        <w:rPr>
          <w:rFonts w:ascii="Arial" w:eastAsia="Arial" w:hAnsi="Arial" w:cs="Arial"/>
          <w:b/>
          <w:color w:val="000000" w:themeColor="text1"/>
          <w:u w:val="single"/>
        </w:rPr>
        <w:t>Role of Therapies</w:t>
      </w:r>
    </w:p>
    <w:p w14:paraId="7CF9D29D" w14:textId="1711B97D" w:rsidR="00177F12" w:rsidRPr="006F7C27" w:rsidRDefault="00177F12" w:rsidP="0055315E">
      <w:pPr>
        <w:pBdr>
          <w:top w:val="nil"/>
          <w:left w:val="nil"/>
          <w:bottom w:val="nil"/>
          <w:right w:val="nil"/>
          <w:between w:val="nil"/>
        </w:pBdr>
        <w:spacing w:line="360" w:lineRule="auto"/>
        <w:ind w:left="720" w:hanging="720"/>
        <w:jc w:val="both"/>
        <w:rPr>
          <w:rFonts w:ascii="Arial" w:eastAsia="Arial" w:hAnsi="Arial" w:cs="Arial"/>
          <w:b/>
          <w:color w:val="000000" w:themeColor="text1"/>
          <w:u w:val="single"/>
        </w:rPr>
      </w:pPr>
    </w:p>
    <w:p w14:paraId="1E05ABFB" w14:textId="4581358C" w:rsidR="00177F12" w:rsidRPr="006F7C27" w:rsidRDefault="00DE6020" w:rsidP="0055315E">
      <w:pPr>
        <w:pBdr>
          <w:top w:val="nil"/>
          <w:left w:val="nil"/>
          <w:bottom w:val="nil"/>
          <w:right w:val="nil"/>
          <w:between w:val="nil"/>
        </w:pBdr>
        <w:spacing w:line="360" w:lineRule="auto"/>
        <w:jc w:val="both"/>
        <w:rPr>
          <w:rFonts w:ascii="Arial" w:eastAsia="Arial" w:hAnsi="Arial" w:cs="Arial"/>
          <w:color w:val="000000" w:themeColor="text1"/>
        </w:rPr>
      </w:pPr>
      <w:r w:rsidRPr="006F7C27">
        <w:rPr>
          <w:rFonts w:ascii="Arial" w:eastAsia="Arial" w:hAnsi="Arial" w:cs="Arial"/>
          <w:color w:val="000000" w:themeColor="text1"/>
        </w:rPr>
        <w:t>Many special schools have a range of</w:t>
      </w:r>
      <w:r w:rsidR="00D46535" w:rsidRPr="006F7C27">
        <w:rPr>
          <w:rFonts w:ascii="Arial" w:eastAsia="Arial" w:hAnsi="Arial" w:cs="Arial"/>
          <w:color w:val="000000" w:themeColor="text1"/>
        </w:rPr>
        <w:t xml:space="preserve"> </w:t>
      </w:r>
      <w:r w:rsidRPr="006F7C27">
        <w:rPr>
          <w:rFonts w:ascii="Arial" w:eastAsia="Arial" w:hAnsi="Arial" w:cs="Arial"/>
          <w:color w:val="000000" w:themeColor="text1"/>
        </w:rPr>
        <w:t xml:space="preserve">therapists on site who are able to collaborate together to provide a varied curriculum that </w:t>
      </w:r>
      <w:r w:rsidR="00D46535" w:rsidRPr="006F7C27">
        <w:rPr>
          <w:rFonts w:ascii="Arial" w:eastAsia="Arial" w:hAnsi="Arial" w:cs="Arial"/>
          <w:color w:val="000000" w:themeColor="text1"/>
        </w:rPr>
        <w:t xml:space="preserve">meets the needs of the students. In our school there are a team of physiotherapists, occupational therapists, speech and language therapists as well art and music therapists. Alongside this we have a team of staff who deliver a sensory curriculum to our less able students including learners with PMLD, and we also have access to a hydrotherapy pool, rebound therapy suite and a dedicated sensory learning environment. </w:t>
      </w:r>
      <w:r w:rsidR="00825FC0" w:rsidRPr="006F7C27">
        <w:rPr>
          <w:rFonts w:ascii="Arial" w:eastAsia="Arial" w:hAnsi="Arial" w:cs="Arial"/>
          <w:color w:val="000000" w:themeColor="text1"/>
        </w:rPr>
        <w:t xml:space="preserve">Communication and consistency </w:t>
      </w:r>
      <w:r w:rsidR="00FF2B8E" w:rsidRPr="006F7C27">
        <w:rPr>
          <w:rFonts w:ascii="Arial" w:eastAsia="Arial" w:hAnsi="Arial" w:cs="Arial"/>
          <w:color w:val="000000" w:themeColor="text1"/>
        </w:rPr>
        <w:t>are</w:t>
      </w:r>
      <w:r w:rsidR="00825FC0" w:rsidRPr="006F7C27">
        <w:rPr>
          <w:rFonts w:ascii="Arial" w:eastAsia="Arial" w:hAnsi="Arial" w:cs="Arial"/>
          <w:color w:val="000000" w:themeColor="text1"/>
        </w:rPr>
        <w:t xml:space="preserve"> vital when working in such a wide and varied team to provide an effective curriculum for </w:t>
      </w:r>
      <w:r w:rsidR="00FF2B8E" w:rsidRPr="006F7C27">
        <w:rPr>
          <w:rFonts w:ascii="Arial" w:eastAsia="Arial" w:hAnsi="Arial" w:cs="Arial"/>
          <w:color w:val="000000" w:themeColor="text1"/>
        </w:rPr>
        <w:t>all learners, but especially learners with PMLD. E</w:t>
      </w:r>
      <w:r w:rsidR="00825FC0" w:rsidRPr="006F7C27">
        <w:rPr>
          <w:rFonts w:ascii="Arial" w:eastAsia="Arial" w:hAnsi="Arial" w:cs="Arial"/>
          <w:color w:val="000000" w:themeColor="text1"/>
        </w:rPr>
        <w:t xml:space="preserve">ssentially due to the fact that there are fantastic opportunities for learners to show progress and achieve targets such </w:t>
      </w:r>
      <w:r w:rsidR="00FF2B8E" w:rsidRPr="006F7C27">
        <w:rPr>
          <w:rFonts w:ascii="Arial" w:eastAsia="Arial" w:hAnsi="Arial" w:cs="Arial"/>
          <w:color w:val="000000" w:themeColor="text1"/>
        </w:rPr>
        <w:t xml:space="preserve">as contingency responding and contingency awareness. As mentioned previously, motivation and engagement </w:t>
      </w:r>
      <w:proofErr w:type="gramStart"/>
      <w:r w:rsidR="00FF2B8E" w:rsidRPr="006F7C27">
        <w:rPr>
          <w:rFonts w:ascii="Arial" w:eastAsia="Arial" w:hAnsi="Arial" w:cs="Arial"/>
          <w:color w:val="000000" w:themeColor="text1"/>
        </w:rPr>
        <w:t>is</w:t>
      </w:r>
      <w:proofErr w:type="gramEnd"/>
      <w:r w:rsidR="00FF2B8E" w:rsidRPr="006F7C27">
        <w:rPr>
          <w:rFonts w:ascii="Arial" w:eastAsia="Arial" w:hAnsi="Arial" w:cs="Arial"/>
          <w:color w:val="000000" w:themeColor="text1"/>
        </w:rPr>
        <w:t xml:space="preserve"> vitally important when developing contingency awareness as the stimuli and response need to be something that the learner enjoys. The above therapies are perfect examples of such motivators, such as hitting a switch to have big bounces in rebound, or more bubbles in hydro therapy, or a favourite smell or taste in sensory science, or making a favourite instrument sound in music using technology.</w:t>
      </w:r>
      <w:r w:rsidR="00C73BD1" w:rsidRPr="006F7C27">
        <w:rPr>
          <w:rFonts w:ascii="Arial" w:eastAsia="Arial" w:hAnsi="Arial" w:cs="Arial"/>
          <w:color w:val="000000" w:themeColor="text1"/>
        </w:rPr>
        <w:t xml:space="preserve"> The benefits are obviously far greater than </w:t>
      </w:r>
      <w:r w:rsidR="0051661E" w:rsidRPr="006F7C27">
        <w:rPr>
          <w:rFonts w:ascii="Arial" w:eastAsia="Arial" w:hAnsi="Arial" w:cs="Arial"/>
          <w:color w:val="000000" w:themeColor="text1"/>
        </w:rPr>
        <w:t xml:space="preserve">only </w:t>
      </w:r>
      <w:r w:rsidR="00C73BD1" w:rsidRPr="006F7C27">
        <w:rPr>
          <w:rFonts w:ascii="Arial" w:eastAsia="Arial" w:hAnsi="Arial" w:cs="Arial"/>
          <w:color w:val="000000" w:themeColor="text1"/>
        </w:rPr>
        <w:t xml:space="preserve">developing the likes of </w:t>
      </w:r>
      <w:r w:rsidR="00C73BD1" w:rsidRPr="006F7C27">
        <w:rPr>
          <w:rFonts w:ascii="Arial" w:eastAsia="Arial" w:hAnsi="Arial" w:cs="Arial"/>
          <w:color w:val="000000" w:themeColor="text1"/>
        </w:rPr>
        <w:lastRenderedPageBreak/>
        <w:t xml:space="preserve">contingency awareness, as the therapies themselves meet the varying complex needs of the learners </w:t>
      </w:r>
      <w:r w:rsidR="0051661E" w:rsidRPr="006F7C27">
        <w:rPr>
          <w:rFonts w:ascii="Arial" w:eastAsia="Arial" w:hAnsi="Arial" w:cs="Arial"/>
          <w:color w:val="000000" w:themeColor="text1"/>
        </w:rPr>
        <w:t>which, in turn, promotes health and well-being which enables learners to make progress in all sessions.</w:t>
      </w:r>
      <w:r w:rsidR="00FF2B8E" w:rsidRPr="006F7C27">
        <w:rPr>
          <w:rFonts w:ascii="Arial" w:eastAsia="Arial" w:hAnsi="Arial" w:cs="Arial"/>
          <w:color w:val="000000" w:themeColor="text1"/>
        </w:rPr>
        <w:t xml:space="preserve"> This area also relies heavily on the knowledge of support staff and the relationship they have with the student, as they are the people that spend more time with the learner in comparison to the teacher. It is there for imperative that the support staff can accurately assess responses from individuals and differentiate between contingency responding and awareness, as well as others responses and needs (medical etc.) the learner may have.</w:t>
      </w:r>
    </w:p>
    <w:p w14:paraId="2AAE8C63" w14:textId="30144AEB" w:rsidR="00635C01" w:rsidRDefault="00635C01" w:rsidP="0055315E">
      <w:pPr>
        <w:pBdr>
          <w:top w:val="nil"/>
          <w:left w:val="nil"/>
          <w:bottom w:val="nil"/>
          <w:right w:val="nil"/>
          <w:between w:val="nil"/>
        </w:pBdr>
        <w:spacing w:line="360" w:lineRule="auto"/>
        <w:ind w:left="720" w:hanging="720"/>
        <w:jc w:val="both"/>
        <w:rPr>
          <w:rFonts w:ascii="Arial" w:eastAsia="Arial" w:hAnsi="Arial" w:cs="Arial"/>
          <w:color w:val="000000" w:themeColor="text1"/>
        </w:rPr>
      </w:pPr>
    </w:p>
    <w:p w14:paraId="158AEBCC" w14:textId="7692B9F2" w:rsidR="007114B7" w:rsidRDefault="007114B7" w:rsidP="0055315E">
      <w:pPr>
        <w:pBdr>
          <w:top w:val="nil"/>
          <w:left w:val="nil"/>
          <w:bottom w:val="nil"/>
          <w:right w:val="nil"/>
          <w:between w:val="nil"/>
        </w:pBdr>
        <w:spacing w:line="360" w:lineRule="auto"/>
        <w:ind w:left="720" w:hanging="720"/>
        <w:jc w:val="both"/>
        <w:rPr>
          <w:rFonts w:ascii="Arial" w:eastAsia="Arial" w:hAnsi="Arial" w:cs="Arial"/>
          <w:color w:val="000000" w:themeColor="text1"/>
          <w:u w:val="single"/>
        </w:rPr>
      </w:pPr>
      <w:r>
        <w:rPr>
          <w:rFonts w:ascii="Arial" w:eastAsia="Arial" w:hAnsi="Arial" w:cs="Arial"/>
          <w:color w:val="000000" w:themeColor="text1"/>
          <w:u w:val="single"/>
        </w:rPr>
        <w:t>Conclusion</w:t>
      </w:r>
    </w:p>
    <w:p w14:paraId="75F472AB" w14:textId="77777777" w:rsidR="007114B7" w:rsidRPr="007114B7" w:rsidRDefault="007114B7" w:rsidP="0055315E">
      <w:pPr>
        <w:pBdr>
          <w:top w:val="nil"/>
          <w:left w:val="nil"/>
          <w:bottom w:val="nil"/>
          <w:right w:val="nil"/>
          <w:between w:val="nil"/>
        </w:pBdr>
        <w:spacing w:line="360" w:lineRule="auto"/>
        <w:ind w:left="720" w:hanging="720"/>
        <w:jc w:val="both"/>
        <w:rPr>
          <w:rFonts w:ascii="Arial" w:eastAsia="Arial" w:hAnsi="Arial" w:cs="Arial"/>
          <w:color w:val="000000" w:themeColor="text1"/>
          <w:u w:val="single"/>
        </w:rPr>
      </w:pPr>
    </w:p>
    <w:p w14:paraId="6EBDE5F9" w14:textId="0A282F14" w:rsidR="006E24C8" w:rsidRPr="006F7C27" w:rsidRDefault="006E24C8" w:rsidP="006E24C8">
      <w:pPr>
        <w:pBdr>
          <w:top w:val="nil"/>
          <w:left w:val="nil"/>
          <w:bottom w:val="nil"/>
          <w:right w:val="nil"/>
          <w:between w:val="nil"/>
        </w:pBdr>
        <w:spacing w:line="360" w:lineRule="auto"/>
        <w:jc w:val="both"/>
        <w:rPr>
          <w:rFonts w:ascii="Arial" w:eastAsia="Arial" w:hAnsi="Arial" w:cs="Arial"/>
          <w:color w:val="000000" w:themeColor="text1"/>
        </w:rPr>
      </w:pPr>
      <w:r w:rsidRPr="006F7C27">
        <w:rPr>
          <w:rFonts w:ascii="Arial" w:eastAsia="Arial" w:hAnsi="Arial" w:cs="Arial"/>
          <w:color w:val="000000" w:themeColor="text1"/>
        </w:rPr>
        <w:t xml:space="preserve">The role of the school in maximising the potential of learners with PMLD to develop contingency awareness is vitally important, but it needs to be a whole school, learner centred approach that relies on communication, collaboration, technology, consistency and imagination. This will ensure that the team of staff led by the teacher can develop an exciting curriculum that motivates and engages a learner to develop their skills whilst breaking down the barriers to learning that their impairments may present. </w:t>
      </w:r>
    </w:p>
    <w:p w14:paraId="1C0C04D8" w14:textId="63580B92" w:rsidR="00635C01" w:rsidRPr="006F7C27" w:rsidRDefault="00635C01" w:rsidP="006D51EA">
      <w:pPr>
        <w:pBdr>
          <w:top w:val="nil"/>
          <w:left w:val="nil"/>
          <w:bottom w:val="nil"/>
          <w:right w:val="nil"/>
          <w:between w:val="nil"/>
        </w:pBdr>
        <w:spacing w:line="360" w:lineRule="auto"/>
        <w:jc w:val="both"/>
        <w:rPr>
          <w:rFonts w:ascii="Arial" w:eastAsia="Arial" w:hAnsi="Arial" w:cs="Arial"/>
          <w:color w:val="000000" w:themeColor="text1"/>
        </w:rPr>
      </w:pPr>
    </w:p>
    <w:p w14:paraId="66E46783"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0E576FED"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42929049"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61D96737"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44F05670"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162AE0D2"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383CE8E4"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2E010161"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1E5E6668"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4F569A55"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5FAB150D"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3911F9D0"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5C036786"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73E8A309" w14:textId="77777777" w:rsidR="00A615A3" w:rsidRPr="006F7C27" w:rsidRDefault="00A615A3"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1DBFC92B" w14:textId="77777777" w:rsidR="00F203F0" w:rsidRDefault="00F203F0" w:rsidP="006D51EA">
      <w:pPr>
        <w:pBdr>
          <w:top w:val="nil"/>
          <w:left w:val="nil"/>
          <w:bottom w:val="nil"/>
          <w:right w:val="nil"/>
          <w:between w:val="nil"/>
        </w:pBdr>
        <w:spacing w:line="360" w:lineRule="auto"/>
        <w:jc w:val="both"/>
        <w:rPr>
          <w:rFonts w:ascii="Arial" w:eastAsia="Arial" w:hAnsi="Arial" w:cs="Arial"/>
          <w:color w:val="000000" w:themeColor="text1"/>
          <w:u w:val="single"/>
        </w:rPr>
      </w:pPr>
    </w:p>
    <w:p w14:paraId="43C0C797" w14:textId="4198CB65" w:rsidR="006D51EA" w:rsidRPr="006F7C27" w:rsidRDefault="006D51EA" w:rsidP="006D51EA">
      <w:pPr>
        <w:pBdr>
          <w:top w:val="nil"/>
          <w:left w:val="nil"/>
          <w:bottom w:val="nil"/>
          <w:right w:val="nil"/>
          <w:between w:val="nil"/>
        </w:pBdr>
        <w:spacing w:line="360" w:lineRule="auto"/>
        <w:jc w:val="both"/>
        <w:rPr>
          <w:rFonts w:ascii="Arial" w:eastAsia="Arial" w:hAnsi="Arial" w:cs="Arial"/>
          <w:color w:val="000000" w:themeColor="text1"/>
          <w:u w:val="single"/>
        </w:rPr>
      </w:pPr>
      <w:bookmarkStart w:id="0" w:name="_GoBack"/>
      <w:bookmarkEnd w:id="0"/>
      <w:r w:rsidRPr="006F7C27">
        <w:rPr>
          <w:rFonts w:ascii="Arial" w:eastAsia="Arial" w:hAnsi="Arial" w:cs="Arial"/>
          <w:color w:val="000000" w:themeColor="text1"/>
          <w:u w:val="single"/>
        </w:rPr>
        <w:lastRenderedPageBreak/>
        <w:t>References</w:t>
      </w:r>
    </w:p>
    <w:p w14:paraId="75082EAC" w14:textId="77777777" w:rsidR="006D51EA" w:rsidRPr="006F7C27" w:rsidRDefault="006D51EA" w:rsidP="006D51EA">
      <w:pPr>
        <w:pBdr>
          <w:top w:val="nil"/>
          <w:left w:val="nil"/>
          <w:bottom w:val="nil"/>
          <w:right w:val="nil"/>
          <w:between w:val="nil"/>
        </w:pBdr>
        <w:spacing w:line="360" w:lineRule="auto"/>
        <w:jc w:val="both"/>
        <w:rPr>
          <w:rFonts w:ascii="Arial" w:eastAsia="Arial" w:hAnsi="Arial" w:cs="Arial"/>
          <w:color w:val="000000" w:themeColor="text1"/>
        </w:rPr>
      </w:pPr>
    </w:p>
    <w:p w14:paraId="6328D628" w14:textId="77777777" w:rsidR="006F7C27" w:rsidRPr="006F7C27" w:rsidRDefault="006F7C27" w:rsidP="006F7C27">
      <w:pPr>
        <w:shd w:val="clear" w:color="auto" w:fill="FFFFFF"/>
        <w:rPr>
          <w:rFonts w:ascii="Arial" w:eastAsia="Times New Roman" w:hAnsi="Arial" w:cs="Arial"/>
          <w:color w:val="000000" w:themeColor="text1"/>
          <w:sz w:val="23"/>
          <w:szCs w:val="23"/>
        </w:rPr>
      </w:pPr>
      <w:r w:rsidRPr="006F7C27">
        <w:rPr>
          <w:rFonts w:ascii="Arial" w:eastAsia="Arial" w:hAnsi="Arial" w:cs="Arial"/>
          <w:color w:val="000000" w:themeColor="text1"/>
        </w:rPr>
        <w:t>Abbott, C. and Middleton, A. (2015) T</w:t>
      </w:r>
      <w:r w:rsidRPr="006F7C27">
        <w:rPr>
          <w:rFonts w:ascii="Arial" w:eastAsia="Arial" w:hAnsi="Arial" w:cs="Arial"/>
          <w:i/>
          <w:color w:val="000000" w:themeColor="text1"/>
        </w:rPr>
        <w:t>echnology Supporting Learning</w:t>
      </w:r>
      <w:r w:rsidRPr="006F7C27">
        <w:rPr>
          <w:rFonts w:ascii="Arial" w:eastAsia="Arial" w:hAnsi="Arial" w:cs="Arial"/>
          <w:color w:val="000000" w:themeColor="text1"/>
        </w:rPr>
        <w:t xml:space="preserve"> in Lacey, Ashdown, Jones, Lawson, Pipe, Lacey, Penny, . . . Pipe, Michele. (2015). The Routledge companion to severe, profound and multiple learning difficulties.</w:t>
      </w:r>
    </w:p>
    <w:p w14:paraId="69D1F802" w14:textId="77777777" w:rsidR="006F7C27" w:rsidRPr="006F7C27" w:rsidRDefault="006F7C27" w:rsidP="006F7C27">
      <w:pPr>
        <w:pBdr>
          <w:top w:val="nil"/>
          <w:left w:val="nil"/>
          <w:bottom w:val="nil"/>
          <w:right w:val="nil"/>
          <w:between w:val="nil"/>
        </w:pBdr>
        <w:spacing w:line="360" w:lineRule="auto"/>
        <w:rPr>
          <w:rFonts w:ascii="Arial" w:eastAsia="Arial" w:hAnsi="Arial" w:cs="Arial"/>
          <w:color w:val="000000" w:themeColor="text1"/>
        </w:rPr>
      </w:pPr>
    </w:p>
    <w:p w14:paraId="4E8D28ED" w14:textId="30ACA20F" w:rsidR="00A615A3" w:rsidRPr="006F7C27" w:rsidRDefault="00A615A3" w:rsidP="006F7C27">
      <w:pPr>
        <w:pBdr>
          <w:top w:val="nil"/>
          <w:left w:val="nil"/>
          <w:bottom w:val="nil"/>
          <w:right w:val="nil"/>
          <w:between w:val="nil"/>
        </w:pBdr>
        <w:spacing w:line="360" w:lineRule="auto"/>
        <w:rPr>
          <w:rFonts w:ascii="Arial" w:eastAsia="Arial" w:hAnsi="Arial" w:cs="Arial"/>
          <w:color w:val="000000" w:themeColor="text1"/>
        </w:rPr>
      </w:pPr>
      <w:r w:rsidRPr="006F7C27">
        <w:rPr>
          <w:rFonts w:ascii="Arial" w:eastAsia="Arial" w:hAnsi="Arial" w:cs="Arial"/>
          <w:color w:val="000000" w:themeColor="text1"/>
        </w:rPr>
        <w:t xml:space="preserve">Aquila, P., Yack, E., Sutton, S., &amp; </w:t>
      </w:r>
      <w:proofErr w:type="spellStart"/>
      <w:r w:rsidRPr="006F7C27">
        <w:rPr>
          <w:rFonts w:ascii="Arial" w:eastAsia="Arial" w:hAnsi="Arial" w:cs="Arial"/>
          <w:color w:val="000000" w:themeColor="text1"/>
        </w:rPr>
        <w:t>Kranowitz</w:t>
      </w:r>
      <w:proofErr w:type="spellEnd"/>
      <w:r w:rsidRPr="006F7C27">
        <w:rPr>
          <w:rFonts w:ascii="Arial" w:eastAsia="Arial" w:hAnsi="Arial" w:cs="Arial"/>
          <w:color w:val="000000" w:themeColor="text1"/>
        </w:rPr>
        <w:t xml:space="preserve">, C. (2015). </w:t>
      </w:r>
      <w:r w:rsidRPr="006F7C27">
        <w:rPr>
          <w:rFonts w:ascii="Arial" w:eastAsia="Arial" w:hAnsi="Arial" w:cs="Arial"/>
          <w:i/>
          <w:color w:val="000000" w:themeColor="text1"/>
        </w:rPr>
        <w:t>Building Bridges through Sensory Integration.</w:t>
      </w:r>
      <w:r w:rsidRPr="006F7C27">
        <w:rPr>
          <w:rFonts w:ascii="Arial" w:eastAsia="Arial" w:hAnsi="Arial" w:cs="Arial"/>
          <w:color w:val="000000" w:themeColor="text1"/>
        </w:rPr>
        <w:t xml:space="preserve"> Arlington, USA: Sensory World Publishers.</w:t>
      </w:r>
    </w:p>
    <w:p w14:paraId="04A4BC4F" w14:textId="77777777" w:rsidR="006F7C27" w:rsidRPr="006F7C27" w:rsidRDefault="006F7C27" w:rsidP="006F7C27">
      <w:pPr>
        <w:pBdr>
          <w:top w:val="nil"/>
          <w:left w:val="nil"/>
          <w:bottom w:val="nil"/>
          <w:right w:val="nil"/>
          <w:between w:val="nil"/>
        </w:pBdr>
        <w:spacing w:line="360" w:lineRule="auto"/>
        <w:ind w:left="720" w:hanging="720"/>
        <w:rPr>
          <w:rFonts w:ascii="Arial" w:eastAsia="Arial" w:hAnsi="Arial" w:cs="Arial"/>
          <w:color w:val="000000" w:themeColor="text1"/>
        </w:rPr>
      </w:pPr>
    </w:p>
    <w:p w14:paraId="3EB347A3" w14:textId="77777777" w:rsidR="006F7C27" w:rsidRPr="006F7C27" w:rsidRDefault="006F7C27" w:rsidP="006F7C27">
      <w:pPr>
        <w:rPr>
          <w:rFonts w:ascii="Arial" w:eastAsia="Arial" w:hAnsi="Arial" w:cs="Arial"/>
          <w:color w:val="000000" w:themeColor="text1"/>
        </w:rPr>
      </w:pPr>
      <w:r w:rsidRPr="006F7C27">
        <w:rPr>
          <w:rFonts w:ascii="Arial" w:eastAsia="Arial" w:hAnsi="Arial" w:cs="Arial"/>
          <w:color w:val="000000" w:themeColor="text1"/>
        </w:rPr>
        <w:t xml:space="preserve">Ayres, A.J. (2005) </w:t>
      </w:r>
      <w:r w:rsidRPr="006F7C27">
        <w:rPr>
          <w:rFonts w:ascii="Arial" w:eastAsia="Arial" w:hAnsi="Arial" w:cs="Arial"/>
          <w:i/>
          <w:iCs/>
          <w:color w:val="000000" w:themeColor="text1"/>
        </w:rPr>
        <w:t>Sensory Integration &amp; The Child</w:t>
      </w:r>
      <w:r w:rsidRPr="006F7C27">
        <w:rPr>
          <w:rFonts w:ascii="Arial" w:eastAsia="Arial" w:hAnsi="Arial" w:cs="Arial"/>
          <w:color w:val="000000" w:themeColor="text1"/>
        </w:rPr>
        <w:t>. Los Angeles: Western Psychological Services</w:t>
      </w:r>
    </w:p>
    <w:p w14:paraId="0E79DE76" w14:textId="77777777" w:rsidR="006F7C27" w:rsidRPr="006F7C27" w:rsidRDefault="006F7C27" w:rsidP="006F7C27">
      <w:pPr>
        <w:pBdr>
          <w:top w:val="nil"/>
          <w:left w:val="nil"/>
          <w:bottom w:val="nil"/>
          <w:right w:val="nil"/>
          <w:between w:val="nil"/>
        </w:pBdr>
        <w:spacing w:line="360" w:lineRule="auto"/>
        <w:ind w:left="720" w:hanging="720"/>
        <w:rPr>
          <w:rFonts w:ascii="Arial" w:eastAsia="Arial" w:hAnsi="Arial" w:cs="Arial"/>
          <w:color w:val="000000" w:themeColor="text1"/>
        </w:rPr>
      </w:pPr>
    </w:p>
    <w:p w14:paraId="2292D963" w14:textId="7ED00C6E" w:rsidR="006F7C27" w:rsidRPr="006F7C27" w:rsidRDefault="006F7C27" w:rsidP="006F7C27">
      <w:pPr>
        <w:pBdr>
          <w:top w:val="nil"/>
          <w:left w:val="nil"/>
          <w:bottom w:val="nil"/>
          <w:right w:val="nil"/>
          <w:between w:val="nil"/>
        </w:pBdr>
        <w:spacing w:line="360" w:lineRule="auto"/>
        <w:rPr>
          <w:rFonts w:ascii="Arial" w:eastAsia="Arial" w:hAnsi="Arial" w:cs="Arial"/>
          <w:color w:val="000000" w:themeColor="text1"/>
          <w:sz w:val="22"/>
          <w:szCs w:val="22"/>
        </w:rPr>
      </w:pPr>
      <w:r w:rsidRPr="006F7C27">
        <w:rPr>
          <w:rFonts w:ascii="Arial" w:eastAsia="Arial" w:hAnsi="Arial" w:cs="Arial"/>
          <w:color w:val="000000" w:themeColor="text1"/>
        </w:rPr>
        <w:t xml:space="preserve">Carpenter, B., Egerton, J., Brooks, T., Cockbill, B., Fotheringham, J., &amp; Rawson, H. (2011, August). </w:t>
      </w:r>
      <w:r w:rsidRPr="006F7C27">
        <w:rPr>
          <w:rFonts w:ascii="Arial" w:eastAsia="Arial" w:hAnsi="Arial" w:cs="Arial"/>
          <w:i/>
          <w:color w:val="000000" w:themeColor="text1"/>
        </w:rPr>
        <w:t xml:space="preserve">The Complex Learning Difficulties and </w:t>
      </w:r>
      <w:proofErr w:type="spellStart"/>
      <w:r w:rsidRPr="006F7C27">
        <w:rPr>
          <w:rFonts w:ascii="Arial" w:eastAsia="Arial" w:hAnsi="Arial" w:cs="Arial"/>
          <w:i/>
          <w:color w:val="000000" w:themeColor="text1"/>
        </w:rPr>
        <w:t>Disabilties</w:t>
      </w:r>
      <w:proofErr w:type="spellEnd"/>
      <w:r w:rsidRPr="006F7C27">
        <w:rPr>
          <w:rFonts w:ascii="Arial" w:eastAsia="Arial" w:hAnsi="Arial" w:cs="Arial"/>
          <w:i/>
          <w:color w:val="000000" w:themeColor="text1"/>
        </w:rPr>
        <w:t xml:space="preserve"> Research Project: Final Report.</w:t>
      </w:r>
      <w:r w:rsidRPr="006F7C27">
        <w:rPr>
          <w:rFonts w:ascii="Arial" w:eastAsia="Arial" w:hAnsi="Arial" w:cs="Arial"/>
          <w:color w:val="000000" w:themeColor="text1"/>
        </w:rPr>
        <w:t xml:space="preserve"> Retrieved June 19, 2016, from Specialist Schools and Academies Trust; The Schools Network: http://complexld.ssatrust.org.uk/uploads/CLDD_project_report_final.pdf</w:t>
      </w:r>
    </w:p>
    <w:p w14:paraId="63AB0858" w14:textId="77777777" w:rsidR="00A615A3" w:rsidRPr="006F7C27" w:rsidRDefault="00A615A3" w:rsidP="006F7C27">
      <w:pPr>
        <w:pBdr>
          <w:top w:val="nil"/>
          <w:left w:val="nil"/>
          <w:bottom w:val="nil"/>
          <w:right w:val="nil"/>
          <w:between w:val="nil"/>
        </w:pBdr>
        <w:spacing w:line="360" w:lineRule="auto"/>
        <w:rPr>
          <w:rFonts w:ascii="Arial" w:eastAsia="Arial" w:hAnsi="Arial" w:cs="Arial"/>
          <w:color w:val="000000" w:themeColor="text1"/>
        </w:rPr>
      </w:pPr>
    </w:p>
    <w:p w14:paraId="3F307070" w14:textId="4056468A" w:rsidR="00A615A3" w:rsidRPr="006F7C27" w:rsidRDefault="00A615A3" w:rsidP="006F7C27">
      <w:pPr>
        <w:pBdr>
          <w:top w:val="nil"/>
          <w:left w:val="nil"/>
          <w:bottom w:val="nil"/>
          <w:right w:val="nil"/>
          <w:between w:val="nil"/>
        </w:pBdr>
        <w:spacing w:line="360" w:lineRule="auto"/>
        <w:rPr>
          <w:rFonts w:ascii="Arial" w:eastAsia="Arial" w:hAnsi="Arial" w:cs="Arial"/>
          <w:color w:val="000000" w:themeColor="text1"/>
        </w:rPr>
      </w:pPr>
      <w:r w:rsidRPr="006F7C27">
        <w:rPr>
          <w:rFonts w:ascii="Arial" w:eastAsia="Arial" w:hAnsi="Arial" w:cs="Arial"/>
          <w:color w:val="000000" w:themeColor="text1"/>
        </w:rPr>
        <w:t xml:space="preserve">Coupe </w:t>
      </w:r>
      <w:proofErr w:type="spellStart"/>
      <w:r w:rsidRPr="006F7C27">
        <w:rPr>
          <w:rFonts w:ascii="Arial" w:eastAsia="Arial" w:hAnsi="Arial" w:cs="Arial"/>
          <w:color w:val="000000" w:themeColor="text1"/>
        </w:rPr>
        <w:t>Okane</w:t>
      </w:r>
      <w:proofErr w:type="spellEnd"/>
      <w:r w:rsidRPr="006F7C27">
        <w:rPr>
          <w:rFonts w:ascii="Arial" w:eastAsia="Arial" w:hAnsi="Arial" w:cs="Arial"/>
          <w:color w:val="000000" w:themeColor="text1"/>
        </w:rPr>
        <w:t xml:space="preserve">, J. (1998). </w:t>
      </w:r>
      <w:r w:rsidRPr="006F7C27">
        <w:rPr>
          <w:rFonts w:ascii="Arial" w:eastAsia="Arial" w:hAnsi="Arial" w:cs="Arial"/>
          <w:i/>
          <w:color w:val="000000" w:themeColor="text1"/>
        </w:rPr>
        <w:t>Communication before Speech: Development and Assessment.</w:t>
      </w:r>
      <w:r w:rsidRPr="006F7C27">
        <w:rPr>
          <w:rFonts w:ascii="Arial" w:eastAsia="Arial" w:hAnsi="Arial" w:cs="Arial"/>
          <w:color w:val="000000" w:themeColor="text1"/>
        </w:rPr>
        <w:t xml:space="preserve"> London: David Fulton.</w:t>
      </w:r>
    </w:p>
    <w:p w14:paraId="1026E0F1" w14:textId="77777777" w:rsidR="006F7C27" w:rsidRPr="006F7C27" w:rsidRDefault="006F7C27" w:rsidP="006F7C27">
      <w:pPr>
        <w:rPr>
          <w:rFonts w:ascii="Arial" w:eastAsia="Arial" w:hAnsi="Arial" w:cs="Arial"/>
          <w:color w:val="000000" w:themeColor="text1"/>
        </w:rPr>
      </w:pPr>
    </w:p>
    <w:p w14:paraId="7B6B4EF0" w14:textId="5EC03E67" w:rsidR="006F7C27" w:rsidRPr="006F7C27" w:rsidRDefault="006F7C27" w:rsidP="006F7C27">
      <w:pPr>
        <w:rPr>
          <w:rFonts w:ascii="Arial" w:eastAsia="Arial" w:hAnsi="Arial" w:cs="Arial"/>
          <w:color w:val="000000" w:themeColor="text1"/>
        </w:rPr>
      </w:pPr>
      <w:r w:rsidRPr="006F7C27">
        <w:rPr>
          <w:rFonts w:ascii="Arial" w:eastAsia="Arial" w:hAnsi="Arial" w:cs="Arial"/>
          <w:color w:val="000000" w:themeColor="text1"/>
        </w:rPr>
        <w:t xml:space="preserve">Dunst, C. (1980) </w:t>
      </w:r>
      <w:r w:rsidRPr="006F7C27">
        <w:rPr>
          <w:rFonts w:ascii="Arial" w:eastAsia="Arial" w:hAnsi="Arial" w:cs="Arial"/>
          <w:i/>
          <w:color w:val="000000" w:themeColor="text1"/>
        </w:rPr>
        <w:t xml:space="preserve">A clinical and educational manual for use with the </w:t>
      </w:r>
      <w:proofErr w:type="spellStart"/>
      <w:r w:rsidRPr="006F7C27">
        <w:rPr>
          <w:rFonts w:ascii="Arial" w:eastAsia="Arial" w:hAnsi="Arial" w:cs="Arial"/>
          <w:i/>
          <w:color w:val="000000" w:themeColor="text1"/>
        </w:rPr>
        <w:t>Uzgiris</w:t>
      </w:r>
      <w:proofErr w:type="spellEnd"/>
      <w:r w:rsidRPr="006F7C27">
        <w:rPr>
          <w:rFonts w:ascii="Arial" w:eastAsia="Arial" w:hAnsi="Arial" w:cs="Arial"/>
          <w:i/>
          <w:color w:val="000000" w:themeColor="text1"/>
        </w:rPr>
        <w:t xml:space="preserve"> and Hunt scales of infant psychological development</w:t>
      </w:r>
      <w:r w:rsidRPr="006F7C27">
        <w:rPr>
          <w:rFonts w:ascii="Arial" w:eastAsia="Arial" w:hAnsi="Arial" w:cs="Arial"/>
          <w:color w:val="000000" w:themeColor="text1"/>
        </w:rPr>
        <w:t>. Austin, Texas: Pro-Ed.</w:t>
      </w:r>
    </w:p>
    <w:p w14:paraId="48DCEB68" w14:textId="77777777" w:rsidR="00A615A3" w:rsidRPr="006F7C27" w:rsidRDefault="00A615A3" w:rsidP="006F7C27">
      <w:pPr>
        <w:pBdr>
          <w:top w:val="nil"/>
          <w:left w:val="nil"/>
          <w:bottom w:val="nil"/>
          <w:right w:val="nil"/>
          <w:between w:val="nil"/>
        </w:pBdr>
        <w:spacing w:line="360" w:lineRule="auto"/>
        <w:ind w:left="720" w:hanging="720"/>
        <w:rPr>
          <w:rFonts w:ascii="Arial" w:eastAsia="Arial" w:hAnsi="Arial" w:cs="Arial"/>
          <w:color w:val="000000" w:themeColor="text1"/>
        </w:rPr>
      </w:pPr>
    </w:p>
    <w:p w14:paraId="1C244A14" w14:textId="77777777" w:rsidR="006F7C27" w:rsidRPr="006F7C27" w:rsidRDefault="006F7C27" w:rsidP="006F7C27">
      <w:pPr>
        <w:rPr>
          <w:rFonts w:ascii="Arial" w:eastAsia="Arial" w:hAnsi="Arial" w:cs="Arial"/>
          <w:color w:val="000000" w:themeColor="text1"/>
        </w:rPr>
      </w:pPr>
      <w:proofErr w:type="spellStart"/>
      <w:r w:rsidRPr="006F7C27">
        <w:rPr>
          <w:rFonts w:ascii="Arial" w:eastAsia="Arial" w:hAnsi="Arial" w:cs="Arial"/>
          <w:color w:val="000000" w:themeColor="text1"/>
        </w:rPr>
        <w:t>Hirstwood</w:t>
      </w:r>
      <w:proofErr w:type="spellEnd"/>
      <w:r w:rsidRPr="006F7C27">
        <w:rPr>
          <w:rFonts w:ascii="Arial" w:eastAsia="Arial" w:hAnsi="Arial" w:cs="Arial"/>
          <w:color w:val="000000" w:themeColor="text1"/>
        </w:rPr>
        <w:t xml:space="preserve">, R. and Smith, C. (1996) </w:t>
      </w:r>
      <w:r w:rsidRPr="006F7C27">
        <w:rPr>
          <w:rFonts w:ascii="Arial" w:eastAsia="Arial" w:hAnsi="Arial" w:cs="Arial"/>
          <w:i/>
          <w:color w:val="000000" w:themeColor="text1"/>
        </w:rPr>
        <w:t xml:space="preserve">‘Developing competencies in multi-sensory rooms’ </w:t>
      </w:r>
      <w:r w:rsidRPr="006F7C27">
        <w:rPr>
          <w:rFonts w:ascii="Arial" w:eastAsia="Arial" w:hAnsi="Arial" w:cs="Arial"/>
          <w:color w:val="000000" w:themeColor="text1"/>
        </w:rPr>
        <w:t xml:space="preserve">in </w:t>
      </w:r>
      <w:proofErr w:type="spellStart"/>
      <w:r w:rsidRPr="006F7C27">
        <w:rPr>
          <w:rFonts w:ascii="Arial" w:eastAsia="Arial" w:hAnsi="Arial" w:cs="Arial"/>
          <w:color w:val="000000" w:themeColor="text1"/>
        </w:rPr>
        <w:t>Bozic</w:t>
      </w:r>
      <w:proofErr w:type="spellEnd"/>
      <w:r w:rsidRPr="006F7C27">
        <w:rPr>
          <w:rFonts w:ascii="Arial" w:eastAsia="Arial" w:hAnsi="Arial" w:cs="Arial"/>
          <w:color w:val="000000" w:themeColor="text1"/>
        </w:rPr>
        <w:t>, N. and Murdoch, H. (</w:t>
      </w:r>
      <w:proofErr w:type="spellStart"/>
      <w:r w:rsidRPr="006F7C27">
        <w:rPr>
          <w:rFonts w:ascii="Arial" w:eastAsia="Arial" w:hAnsi="Arial" w:cs="Arial"/>
          <w:color w:val="000000" w:themeColor="text1"/>
        </w:rPr>
        <w:t>eds</w:t>
      </w:r>
      <w:proofErr w:type="spellEnd"/>
      <w:r w:rsidRPr="006F7C27">
        <w:rPr>
          <w:rFonts w:ascii="Arial" w:eastAsia="Arial" w:hAnsi="Arial" w:cs="Arial"/>
          <w:color w:val="000000" w:themeColor="text1"/>
        </w:rPr>
        <w:t xml:space="preserve">) Learning through Interaction: Technology and Children with </w:t>
      </w:r>
      <w:proofErr w:type="spellStart"/>
      <w:r w:rsidRPr="006F7C27">
        <w:rPr>
          <w:rFonts w:ascii="Arial" w:eastAsia="Arial" w:hAnsi="Arial" w:cs="Arial"/>
          <w:color w:val="000000" w:themeColor="text1"/>
        </w:rPr>
        <w:t>Multikple</w:t>
      </w:r>
      <w:proofErr w:type="spellEnd"/>
      <w:r w:rsidRPr="006F7C27">
        <w:rPr>
          <w:rFonts w:ascii="Arial" w:eastAsia="Arial" w:hAnsi="Arial" w:cs="Arial"/>
          <w:color w:val="000000" w:themeColor="text1"/>
        </w:rPr>
        <w:t xml:space="preserve"> Disabilities, 83-91. London: David Fulton Publishers.</w:t>
      </w:r>
    </w:p>
    <w:p w14:paraId="5FDBB280" w14:textId="77777777" w:rsidR="006F7C27" w:rsidRPr="006F7C27" w:rsidRDefault="006F7C27" w:rsidP="006F7C27">
      <w:pPr>
        <w:pBdr>
          <w:top w:val="nil"/>
          <w:left w:val="nil"/>
          <w:bottom w:val="nil"/>
          <w:right w:val="nil"/>
          <w:between w:val="nil"/>
        </w:pBdr>
        <w:spacing w:line="360" w:lineRule="auto"/>
        <w:rPr>
          <w:rFonts w:ascii="Arial" w:eastAsia="Arial" w:hAnsi="Arial" w:cs="Arial"/>
          <w:color w:val="000000" w:themeColor="text1"/>
        </w:rPr>
      </w:pPr>
    </w:p>
    <w:p w14:paraId="7E87D5D4" w14:textId="373AA514" w:rsidR="00A615A3" w:rsidRPr="006F7C27" w:rsidRDefault="00A615A3" w:rsidP="006F7C27">
      <w:pPr>
        <w:pBdr>
          <w:top w:val="nil"/>
          <w:left w:val="nil"/>
          <w:bottom w:val="nil"/>
          <w:right w:val="nil"/>
          <w:between w:val="nil"/>
        </w:pBdr>
        <w:spacing w:line="360" w:lineRule="auto"/>
        <w:rPr>
          <w:rFonts w:ascii="Arial" w:eastAsia="Arial" w:hAnsi="Arial" w:cs="Arial"/>
          <w:color w:val="000000" w:themeColor="text1"/>
        </w:rPr>
      </w:pPr>
      <w:r w:rsidRPr="006F7C27">
        <w:rPr>
          <w:rFonts w:ascii="Arial" w:eastAsia="Arial" w:hAnsi="Arial" w:cs="Arial"/>
          <w:color w:val="000000" w:themeColor="text1"/>
        </w:rPr>
        <w:t xml:space="preserve">Imray, P., &amp; Hinchcliffe, V. (2013). </w:t>
      </w:r>
      <w:r w:rsidRPr="006F7C27">
        <w:rPr>
          <w:rFonts w:ascii="Arial" w:eastAsia="Arial" w:hAnsi="Arial" w:cs="Arial"/>
          <w:i/>
          <w:color w:val="000000" w:themeColor="text1"/>
        </w:rPr>
        <w:t>Curricula for Teaching Children and Young People with Severe or Profound and Multiple Learning Difficulties.</w:t>
      </w:r>
      <w:r w:rsidRPr="006F7C27">
        <w:rPr>
          <w:rFonts w:ascii="Arial" w:eastAsia="Arial" w:hAnsi="Arial" w:cs="Arial"/>
          <w:color w:val="000000" w:themeColor="text1"/>
        </w:rPr>
        <w:t xml:space="preserve"> London: David Fulton.</w:t>
      </w:r>
    </w:p>
    <w:p w14:paraId="29FFB55E" w14:textId="77777777" w:rsidR="00A615A3" w:rsidRPr="006F7C27" w:rsidRDefault="00A615A3" w:rsidP="006F7C27">
      <w:pPr>
        <w:pBdr>
          <w:top w:val="nil"/>
          <w:left w:val="nil"/>
          <w:bottom w:val="nil"/>
          <w:right w:val="nil"/>
          <w:between w:val="nil"/>
        </w:pBdr>
        <w:spacing w:line="360" w:lineRule="auto"/>
        <w:rPr>
          <w:rFonts w:ascii="Arial" w:eastAsia="Arial" w:hAnsi="Arial" w:cs="Arial"/>
          <w:color w:val="000000" w:themeColor="text1"/>
        </w:rPr>
      </w:pPr>
    </w:p>
    <w:p w14:paraId="514B03AD" w14:textId="57D1DC4D" w:rsidR="006F7C27" w:rsidRPr="006F7C27" w:rsidRDefault="006F7C27" w:rsidP="006F7C27">
      <w:pPr>
        <w:pBdr>
          <w:top w:val="nil"/>
          <w:left w:val="nil"/>
          <w:bottom w:val="nil"/>
          <w:right w:val="nil"/>
          <w:between w:val="nil"/>
        </w:pBdr>
        <w:spacing w:line="360" w:lineRule="auto"/>
        <w:ind w:hanging="11"/>
        <w:rPr>
          <w:rFonts w:ascii="Arial" w:eastAsia="Arial" w:hAnsi="Arial" w:cs="Arial"/>
          <w:color w:val="000000" w:themeColor="text1"/>
        </w:rPr>
      </w:pPr>
      <w:r w:rsidRPr="006F7C27">
        <w:rPr>
          <w:rFonts w:ascii="Arial" w:eastAsia="Arial" w:hAnsi="Arial" w:cs="Arial"/>
          <w:color w:val="000000" w:themeColor="text1"/>
        </w:rPr>
        <w:t xml:space="preserve">Lacey, P., Ashdown, R., Jones, P., Lawson, H., &amp; M., P. (Eds.). (2015). </w:t>
      </w:r>
      <w:r w:rsidRPr="006F7C27">
        <w:rPr>
          <w:rFonts w:ascii="Arial" w:eastAsia="Arial" w:hAnsi="Arial" w:cs="Arial"/>
          <w:i/>
          <w:color w:val="000000" w:themeColor="text1"/>
        </w:rPr>
        <w:t>The Routledge Companion to severe, profound and multiple learning difficulties.</w:t>
      </w:r>
      <w:r w:rsidRPr="006F7C27">
        <w:rPr>
          <w:rFonts w:ascii="Arial" w:eastAsia="Arial" w:hAnsi="Arial" w:cs="Arial"/>
          <w:color w:val="000000" w:themeColor="text1"/>
        </w:rPr>
        <w:t xml:space="preserve"> London: Routledge.</w:t>
      </w:r>
    </w:p>
    <w:p w14:paraId="4D224892" w14:textId="77777777" w:rsidR="006F7C27" w:rsidRPr="006F7C27" w:rsidRDefault="006F7C27" w:rsidP="006F7C27">
      <w:pPr>
        <w:pBdr>
          <w:top w:val="nil"/>
          <w:left w:val="nil"/>
          <w:bottom w:val="nil"/>
          <w:right w:val="nil"/>
          <w:between w:val="nil"/>
        </w:pBdr>
        <w:spacing w:line="360" w:lineRule="auto"/>
        <w:ind w:left="720" w:hanging="720"/>
        <w:rPr>
          <w:rFonts w:ascii="Arial" w:eastAsia="Arial" w:hAnsi="Arial" w:cs="Arial"/>
          <w:color w:val="000000" w:themeColor="text1"/>
        </w:rPr>
      </w:pPr>
    </w:p>
    <w:p w14:paraId="3746D53E" w14:textId="336F7AF3" w:rsidR="006F7C27" w:rsidRPr="006F7C27" w:rsidRDefault="006F7C27" w:rsidP="006F7C27">
      <w:pPr>
        <w:pBdr>
          <w:top w:val="nil"/>
          <w:left w:val="nil"/>
          <w:bottom w:val="nil"/>
          <w:right w:val="nil"/>
          <w:between w:val="nil"/>
        </w:pBdr>
        <w:spacing w:line="360" w:lineRule="auto"/>
        <w:rPr>
          <w:rFonts w:ascii="Arial" w:eastAsia="Arial" w:hAnsi="Arial" w:cs="Arial"/>
          <w:color w:val="000000" w:themeColor="text1"/>
        </w:rPr>
      </w:pPr>
      <w:proofErr w:type="spellStart"/>
      <w:r w:rsidRPr="006F7C27">
        <w:rPr>
          <w:rFonts w:ascii="Arial" w:eastAsia="Arial" w:hAnsi="Arial" w:cs="Arial"/>
          <w:color w:val="000000" w:themeColor="text1"/>
        </w:rPr>
        <w:t>Pagliano</w:t>
      </w:r>
      <w:proofErr w:type="spellEnd"/>
      <w:r w:rsidRPr="006F7C27">
        <w:rPr>
          <w:rFonts w:ascii="Arial" w:eastAsia="Arial" w:hAnsi="Arial" w:cs="Arial"/>
          <w:color w:val="000000" w:themeColor="text1"/>
        </w:rPr>
        <w:t xml:space="preserve">, P. (1990). </w:t>
      </w:r>
      <w:r w:rsidRPr="006F7C27">
        <w:rPr>
          <w:rFonts w:ascii="Arial" w:eastAsia="Arial" w:hAnsi="Arial" w:cs="Arial"/>
          <w:i/>
          <w:color w:val="000000" w:themeColor="text1"/>
        </w:rPr>
        <w:t>Multisensory Environments.</w:t>
      </w:r>
      <w:r w:rsidRPr="006F7C27">
        <w:rPr>
          <w:rFonts w:ascii="Arial" w:eastAsia="Arial" w:hAnsi="Arial" w:cs="Arial"/>
          <w:color w:val="000000" w:themeColor="text1"/>
        </w:rPr>
        <w:t xml:space="preserve"> London: Routledge.</w:t>
      </w:r>
    </w:p>
    <w:p w14:paraId="43C2111F" w14:textId="77777777" w:rsidR="006F7C27" w:rsidRPr="006F7C27" w:rsidRDefault="006F7C27" w:rsidP="006F7C27">
      <w:pPr>
        <w:rPr>
          <w:rFonts w:ascii="Arial" w:eastAsia="Arial" w:hAnsi="Arial" w:cs="Arial"/>
          <w:color w:val="000000" w:themeColor="text1"/>
        </w:rPr>
      </w:pPr>
    </w:p>
    <w:p w14:paraId="307F5F2A" w14:textId="217294C5" w:rsidR="006F7C27" w:rsidRPr="006F7C27" w:rsidRDefault="006F7C27" w:rsidP="006F7C27">
      <w:pPr>
        <w:rPr>
          <w:rFonts w:ascii="Arial" w:eastAsia="Arial" w:hAnsi="Arial" w:cs="Arial"/>
          <w:color w:val="000000" w:themeColor="text1"/>
        </w:rPr>
      </w:pPr>
      <w:r w:rsidRPr="006F7C27">
        <w:rPr>
          <w:rFonts w:ascii="Arial" w:eastAsia="Arial" w:hAnsi="Arial" w:cs="Arial"/>
          <w:color w:val="000000" w:themeColor="text1"/>
        </w:rPr>
        <w:t xml:space="preserve">Rebound Therapy (2016) </w:t>
      </w:r>
      <w:r w:rsidRPr="006F7C27">
        <w:rPr>
          <w:rFonts w:ascii="Arial" w:eastAsia="Arial" w:hAnsi="Arial" w:cs="Arial"/>
          <w:i/>
          <w:color w:val="000000" w:themeColor="text1"/>
        </w:rPr>
        <w:t>Rebound Therapy Assessment Programme</w:t>
      </w:r>
      <w:r w:rsidRPr="006F7C27">
        <w:rPr>
          <w:rFonts w:ascii="Arial" w:eastAsia="Arial" w:hAnsi="Arial" w:cs="Arial"/>
          <w:color w:val="000000" w:themeColor="text1"/>
        </w:rPr>
        <w:t xml:space="preserve">, Winstrada Retrieved April 2020, </w:t>
      </w:r>
      <w:hyperlink r:id="rId5" w:history="1">
        <w:r w:rsidRPr="006F7C27">
          <w:rPr>
            <w:rStyle w:val="Hyperlink"/>
            <w:rFonts w:ascii="Arial" w:eastAsia="Arial" w:hAnsi="Arial" w:cs="Arial"/>
            <w:color w:val="000000" w:themeColor="text1"/>
          </w:rPr>
          <w:t>https://winstrada.com/index.php</w:t>
        </w:r>
      </w:hyperlink>
    </w:p>
    <w:p w14:paraId="56CC846F" w14:textId="77777777" w:rsidR="006F7C27" w:rsidRPr="006F7C27" w:rsidRDefault="006F7C27" w:rsidP="006F7C27">
      <w:pPr>
        <w:pBdr>
          <w:top w:val="nil"/>
          <w:left w:val="nil"/>
          <w:bottom w:val="nil"/>
          <w:right w:val="nil"/>
          <w:between w:val="nil"/>
        </w:pBdr>
        <w:spacing w:line="360" w:lineRule="auto"/>
        <w:rPr>
          <w:rFonts w:ascii="Arial" w:eastAsia="Arial" w:hAnsi="Arial" w:cs="Arial"/>
          <w:color w:val="000000" w:themeColor="text1"/>
        </w:rPr>
      </w:pPr>
    </w:p>
    <w:p w14:paraId="210BBE43" w14:textId="77777777" w:rsidR="006F7C27" w:rsidRPr="006F7C27" w:rsidRDefault="006F7C27" w:rsidP="006F7C27">
      <w:pPr>
        <w:rPr>
          <w:rFonts w:ascii="Arial" w:eastAsia="Arial" w:hAnsi="Arial" w:cs="Arial"/>
          <w:color w:val="000000" w:themeColor="text1"/>
        </w:rPr>
      </w:pPr>
      <w:proofErr w:type="spellStart"/>
      <w:r w:rsidRPr="006F7C27">
        <w:rPr>
          <w:rFonts w:ascii="Arial" w:eastAsia="Arial" w:hAnsi="Arial" w:cs="Arial"/>
          <w:color w:val="000000" w:themeColor="text1"/>
        </w:rPr>
        <w:t>Uzgiris</w:t>
      </w:r>
      <w:proofErr w:type="spellEnd"/>
      <w:r w:rsidRPr="006F7C27">
        <w:rPr>
          <w:rFonts w:ascii="Arial" w:eastAsia="Arial" w:hAnsi="Arial" w:cs="Arial"/>
          <w:color w:val="000000" w:themeColor="text1"/>
        </w:rPr>
        <w:t xml:space="preserve">, I. and Hunt J. (1975) </w:t>
      </w:r>
      <w:r w:rsidRPr="006F7C27">
        <w:rPr>
          <w:rFonts w:ascii="Arial" w:eastAsia="Arial" w:hAnsi="Arial" w:cs="Arial"/>
          <w:i/>
          <w:color w:val="000000" w:themeColor="text1"/>
        </w:rPr>
        <w:t>Assessment of infancy: Ordinal scales of psychological development.</w:t>
      </w:r>
      <w:r w:rsidRPr="006F7C27">
        <w:rPr>
          <w:rFonts w:ascii="Arial" w:eastAsia="Arial" w:hAnsi="Arial" w:cs="Arial"/>
          <w:color w:val="000000" w:themeColor="text1"/>
        </w:rPr>
        <w:t xml:space="preserve"> Urbana: University of Illinois Press</w:t>
      </w:r>
    </w:p>
    <w:p w14:paraId="28FD6864" w14:textId="77777777" w:rsidR="006F7C27" w:rsidRPr="006F7C27" w:rsidRDefault="006F7C27" w:rsidP="006F7C27">
      <w:pPr>
        <w:pBdr>
          <w:top w:val="nil"/>
          <w:left w:val="nil"/>
          <w:bottom w:val="nil"/>
          <w:right w:val="nil"/>
          <w:between w:val="nil"/>
        </w:pBdr>
        <w:spacing w:line="360" w:lineRule="auto"/>
        <w:ind w:left="720" w:hanging="720"/>
        <w:rPr>
          <w:rFonts w:ascii="Arial" w:eastAsia="Arial" w:hAnsi="Arial" w:cs="Arial"/>
          <w:color w:val="000000" w:themeColor="text1"/>
        </w:rPr>
      </w:pPr>
    </w:p>
    <w:p w14:paraId="6D4F8773" w14:textId="3C231C41" w:rsidR="00A615A3" w:rsidRPr="006F7C27" w:rsidRDefault="00A615A3" w:rsidP="006F7C27">
      <w:pPr>
        <w:pBdr>
          <w:top w:val="nil"/>
          <w:left w:val="nil"/>
          <w:bottom w:val="nil"/>
          <w:right w:val="nil"/>
          <w:between w:val="nil"/>
        </w:pBdr>
        <w:spacing w:line="360" w:lineRule="auto"/>
        <w:rPr>
          <w:rFonts w:ascii="Arial" w:eastAsia="Arial" w:hAnsi="Arial" w:cs="Arial"/>
          <w:color w:val="000000" w:themeColor="text1"/>
        </w:rPr>
      </w:pPr>
      <w:r w:rsidRPr="006F7C27">
        <w:rPr>
          <w:rFonts w:ascii="Arial" w:eastAsia="Arial" w:hAnsi="Arial" w:cs="Arial"/>
          <w:color w:val="000000" w:themeColor="text1"/>
        </w:rPr>
        <w:t xml:space="preserve">Ware, J. (2003). </w:t>
      </w:r>
      <w:r w:rsidRPr="006F7C27">
        <w:rPr>
          <w:rFonts w:ascii="Arial" w:eastAsia="Arial" w:hAnsi="Arial" w:cs="Arial"/>
          <w:i/>
          <w:color w:val="000000" w:themeColor="text1"/>
        </w:rPr>
        <w:t>Creating a Responsive Environment for People with Profound and Multiple Learning Difficulties</w:t>
      </w:r>
      <w:r w:rsidRPr="006F7C27">
        <w:rPr>
          <w:rFonts w:ascii="Arial" w:eastAsia="Arial" w:hAnsi="Arial" w:cs="Arial"/>
          <w:color w:val="000000" w:themeColor="text1"/>
        </w:rPr>
        <w:t xml:space="preserve"> (2</w:t>
      </w:r>
      <w:r w:rsidRPr="006F7C27">
        <w:rPr>
          <w:rFonts w:ascii="Arial" w:eastAsia="Arial" w:hAnsi="Arial" w:cs="Arial"/>
          <w:color w:val="000000" w:themeColor="text1"/>
          <w:vertAlign w:val="superscript"/>
        </w:rPr>
        <w:t>nd</w:t>
      </w:r>
      <w:r w:rsidRPr="006F7C27">
        <w:rPr>
          <w:rFonts w:ascii="Arial" w:eastAsia="Arial" w:hAnsi="Arial" w:cs="Arial"/>
          <w:color w:val="000000" w:themeColor="text1"/>
        </w:rPr>
        <w:t xml:space="preserve"> ed.). London: Routledge.</w:t>
      </w:r>
    </w:p>
    <w:p w14:paraId="4BC12517" w14:textId="77777777" w:rsidR="00A615A3" w:rsidRPr="006F7C27" w:rsidRDefault="00A615A3" w:rsidP="006F7C27">
      <w:pPr>
        <w:pBdr>
          <w:top w:val="nil"/>
          <w:left w:val="nil"/>
          <w:bottom w:val="nil"/>
          <w:right w:val="nil"/>
          <w:between w:val="nil"/>
        </w:pBdr>
        <w:spacing w:line="360" w:lineRule="auto"/>
        <w:rPr>
          <w:rFonts w:ascii="Arial" w:eastAsia="Arial" w:hAnsi="Arial" w:cs="Arial"/>
          <w:color w:val="000000" w:themeColor="text1"/>
        </w:rPr>
      </w:pPr>
    </w:p>
    <w:p w14:paraId="784F5870" w14:textId="38BB8BC2" w:rsidR="00362744" w:rsidRDefault="006F7C27" w:rsidP="006F7C27">
      <w:pPr>
        <w:rPr>
          <w:rFonts w:ascii="Arial" w:eastAsia="Arial" w:hAnsi="Arial" w:cs="Arial"/>
          <w:color w:val="000000" w:themeColor="text1"/>
        </w:rPr>
      </w:pPr>
      <w:r>
        <w:rPr>
          <w:rFonts w:ascii="Arial" w:eastAsia="Arial" w:hAnsi="Arial" w:cs="Arial"/>
          <w:color w:val="000000" w:themeColor="text1"/>
        </w:rPr>
        <w:t>Welsh Assembly Government (</w:t>
      </w:r>
      <w:r w:rsidR="00362744">
        <w:rPr>
          <w:rFonts w:ascii="Arial" w:eastAsia="Arial" w:hAnsi="Arial" w:cs="Arial"/>
          <w:color w:val="000000" w:themeColor="text1"/>
        </w:rPr>
        <w:t xml:space="preserve">2008) Literacy and Numeracy Framework. Retrieved April 2020 from </w:t>
      </w:r>
      <w:r w:rsidR="00362744" w:rsidRPr="00362744">
        <w:rPr>
          <w:rFonts w:ascii="Arial" w:eastAsia="Arial" w:hAnsi="Arial" w:cs="Arial"/>
          <w:color w:val="000000" w:themeColor="text1"/>
        </w:rPr>
        <w:t>https://hwb.gov.wales/curriculum-for-wales-2008/national-literacy-and-numeracy-framework-curriculum-for-wales-2008-version</w:t>
      </w:r>
    </w:p>
    <w:p w14:paraId="128D413C" w14:textId="77777777" w:rsidR="00362744" w:rsidRDefault="00362744" w:rsidP="006F7C27">
      <w:pPr>
        <w:rPr>
          <w:rFonts w:ascii="Arial" w:eastAsia="Arial" w:hAnsi="Arial" w:cs="Arial"/>
          <w:color w:val="000000" w:themeColor="text1"/>
        </w:rPr>
      </w:pPr>
    </w:p>
    <w:p w14:paraId="6A0C8288" w14:textId="1700BE32" w:rsidR="00EC2BCD" w:rsidRPr="006F7C27" w:rsidRDefault="00EC2BCD" w:rsidP="006F7C27">
      <w:pPr>
        <w:rPr>
          <w:rFonts w:ascii="Arial" w:hAnsi="Arial" w:cs="Arial"/>
          <w:color w:val="000000" w:themeColor="text1"/>
          <w:lang w:val="en-US"/>
        </w:rPr>
      </w:pPr>
      <w:r w:rsidRPr="006F7C27">
        <w:rPr>
          <w:rFonts w:ascii="Arial" w:eastAsia="Arial" w:hAnsi="Arial" w:cs="Arial"/>
          <w:color w:val="000000" w:themeColor="text1"/>
        </w:rPr>
        <w:t xml:space="preserve">Welsh Government (2015). </w:t>
      </w:r>
      <w:r w:rsidRPr="006F7C27">
        <w:rPr>
          <w:rFonts w:ascii="Arial" w:eastAsia="Arial" w:hAnsi="Arial" w:cs="Arial"/>
          <w:i/>
          <w:color w:val="000000" w:themeColor="text1"/>
        </w:rPr>
        <w:t>Routes for Learning: assessment booklet.</w:t>
      </w:r>
      <w:r w:rsidRPr="006F7C27">
        <w:rPr>
          <w:rFonts w:ascii="Arial" w:eastAsia="Arial" w:hAnsi="Arial" w:cs="Arial"/>
          <w:color w:val="000000" w:themeColor="text1"/>
        </w:rPr>
        <w:t xml:space="preserve"> Retrieved </w:t>
      </w:r>
      <w:r w:rsidR="00A615A3" w:rsidRPr="006F7C27">
        <w:rPr>
          <w:rFonts w:ascii="Arial" w:eastAsia="Arial" w:hAnsi="Arial" w:cs="Arial"/>
          <w:color w:val="000000" w:themeColor="text1"/>
        </w:rPr>
        <w:t>April 2020</w:t>
      </w:r>
      <w:r w:rsidRPr="006F7C27">
        <w:rPr>
          <w:rFonts w:ascii="Arial" w:eastAsia="Arial" w:hAnsi="Arial" w:cs="Arial"/>
          <w:color w:val="000000" w:themeColor="text1"/>
        </w:rPr>
        <w:t xml:space="preserve">, from </w:t>
      </w:r>
      <w:r w:rsidR="00A615A3" w:rsidRPr="006F7C27">
        <w:rPr>
          <w:rFonts w:ascii="Arial" w:hAnsi="Arial" w:cs="Arial"/>
          <w:color w:val="000000" w:themeColor="text1"/>
          <w:lang w:val="en-US"/>
        </w:rPr>
        <w:t xml:space="preserve">Routes for Learning </w:t>
      </w:r>
      <w:hyperlink r:id="rId6" w:history="1">
        <w:r w:rsidR="00A615A3" w:rsidRPr="006F7C27">
          <w:rPr>
            <w:rStyle w:val="Hyperlink"/>
            <w:rFonts w:ascii="Arial" w:hAnsi="Arial" w:cs="Arial"/>
            <w:color w:val="000000" w:themeColor="text1"/>
            <w:lang w:val="en-US"/>
          </w:rPr>
          <w:t>https://hwb.go</w:t>
        </w:r>
        <w:r w:rsidR="00A615A3" w:rsidRPr="006F7C27">
          <w:rPr>
            <w:rStyle w:val="Hyperlink"/>
            <w:rFonts w:ascii="Arial" w:hAnsi="Arial" w:cs="Arial"/>
            <w:color w:val="000000" w:themeColor="text1"/>
            <w:lang w:val="en-US"/>
          </w:rPr>
          <w:t>v</w:t>
        </w:r>
        <w:r w:rsidR="00A615A3" w:rsidRPr="006F7C27">
          <w:rPr>
            <w:rStyle w:val="Hyperlink"/>
            <w:rFonts w:ascii="Arial" w:hAnsi="Arial" w:cs="Arial"/>
            <w:color w:val="000000" w:themeColor="text1"/>
            <w:lang w:val="en-US"/>
          </w:rPr>
          <w:t>.wales/curriculum-for-wales-2008/routes-for-learning</w:t>
        </w:r>
      </w:hyperlink>
    </w:p>
    <w:p w14:paraId="08A19243" w14:textId="5A202464" w:rsidR="00A615A3" w:rsidRPr="006F7C27" w:rsidRDefault="00A615A3" w:rsidP="006F7C27">
      <w:pPr>
        <w:pBdr>
          <w:top w:val="nil"/>
          <w:left w:val="nil"/>
          <w:bottom w:val="nil"/>
          <w:right w:val="nil"/>
          <w:between w:val="nil"/>
        </w:pBdr>
        <w:spacing w:line="360" w:lineRule="auto"/>
        <w:rPr>
          <w:rFonts w:ascii="Arial" w:eastAsia="Arial" w:hAnsi="Arial" w:cs="Arial"/>
          <w:color w:val="000000" w:themeColor="text1"/>
          <w:sz w:val="22"/>
          <w:szCs w:val="22"/>
        </w:rPr>
      </w:pPr>
    </w:p>
    <w:p w14:paraId="083CB783" w14:textId="6D06B36C" w:rsidR="006F7C27" w:rsidRDefault="006F7C27" w:rsidP="006F7C27">
      <w:pPr>
        <w:rPr>
          <w:rFonts w:ascii="Arial" w:hAnsi="Arial" w:cs="Arial"/>
          <w:color w:val="000000" w:themeColor="text1"/>
          <w:lang w:val="en-US"/>
        </w:rPr>
      </w:pPr>
      <w:r w:rsidRPr="006F7C27">
        <w:rPr>
          <w:rFonts w:ascii="Arial" w:hAnsi="Arial" w:cs="Arial"/>
          <w:color w:val="000000" w:themeColor="text1"/>
          <w:lang w:val="en-US"/>
        </w:rPr>
        <w:t xml:space="preserve">Welsh Assembly Government (2019) </w:t>
      </w:r>
      <w:r w:rsidRPr="006F7C27">
        <w:rPr>
          <w:rFonts w:ascii="Arial" w:hAnsi="Arial" w:cs="Arial"/>
          <w:i/>
          <w:color w:val="000000" w:themeColor="text1"/>
          <w:lang w:val="en-US"/>
        </w:rPr>
        <w:t>Routes for Learning Route Map Draf</w:t>
      </w:r>
      <w:r w:rsidRPr="006F7C27">
        <w:rPr>
          <w:rFonts w:ascii="Arial" w:hAnsi="Arial" w:cs="Arial"/>
          <w:color w:val="000000" w:themeColor="text1"/>
          <w:lang w:val="en-US"/>
        </w:rPr>
        <w:t xml:space="preserve">t. Retrieved April 2020, from </w:t>
      </w:r>
      <w:hyperlink r:id="rId7" w:history="1">
        <w:r w:rsidRPr="008E1100">
          <w:rPr>
            <w:rStyle w:val="Hyperlink"/>
            <w:rFonts w:ascii="Arial" w:hAnsi="Arial" w:cs="Arial"/>
            <w:lang w:val="en-US"/>
          </w:rPr>
          <w:t>https://hwb.gov.wales/curriculum-for-wales</w:t>
        </w:r>
      </w:hyperlink>
    </w:p>
    <w:p w14:paraId="160D8F88" w14:textId="77777777" w:rsidR="006F7C27" w:rsidRPr="006F7C27" w:rsidRDefault="006F7C27" w:rsidP="006F7C27">
      <w:pPr>
        <w:rPr>
          <w:rFonts w:ascii="Arial" w:hAnsi="Arial" w:cs="Arial"/>
          <w:color w:val="000000" w:themeColor="text1"/>
          <w:lang w:val="en-US"/>
        </w:rPr>
      </w:pPr>
    </w:p>
    <w:p w14:paraId="7259678C" w14:textId="7904E4E5" w:rsidR="00A615A3" w:rsidRPr="006F7C27" w:rsidRDefault="00A615A3" w:rsidP="006F7C27">
      <w:pPr>
        <w:rPr>
          <w:rFonts w:ascii="Arial" w:hAnsi="Arial" w:cs="Arial"/>
          <w:color w:val="000000" w:themeColor="text1"/>
          <w:lang w:val="en-US"/>
        </w:rPr>
      </w:pPr>
      <w:r w:rsidRPr="006F7C27">
        <w:rPr>
          <w:rFonts w:ascii="Arial" w:hAnsi="Arial" w:cs="Arial"/>
          <w:color w:val="000000" w:themeColor="text1"/>
          <w:lang w:val="en-US"/>
        </w:rPr>
        <w:t xml:space="preserve">Welsh Assembly Government (2016) </w:t>
      </w:r>
      <w:r w:rsidRPr="006F7C27">
        <w:rPr>
          <w:rFonts w:ascii="Arial" w:hAnsi="Arial" w:cs="Arial"/>
          <w:i/>
          <w:color w:val="000000" w:themeColor="text1"/>
          <w:lang w:val="en-US"/>
        </w:rPr>
        <w:t>Routes for Learning Routemap</w:t>
      </w:r>
      <w:r w:rsidRPr="006F7C27">
        <w:rPr>
          <w:rFonts w:ascii="Arial" w:hAnsi="Arial" w:cs="Arial"/>
          <w:color w:val="000000" w:themeColor="text1"/>
          <w:lang w:val="en-US"/>
        </w:rPr>
        <w:t xml:space="preserve">. Retrieved April 2020, from </w:t>
      </w:r>
      <w:hyperlink r:id="rId8" w:history="1">
        <w:r w:rsidRPr="006F7C27">
          <w:rPr>
            <w:rStyle w:val="Hyperlink"/>
            <w:rFonts w:ascii="Arial" w:hAnsi="Arial" w:cs="Arial"/>
            <w:color w:val="000000" w:themeColor="text1"/>
            <w:lang w:val="en-US"/>
          </w:rPr>
          <w:t>https://hwb.gov.wales/curriculum</w:t>
        </w:r>
        <w:r w:rsidRPr="006F7C27">
          <w:rPr>
            <w:rStyle w:val="Hyperlink"/>
            <w:rFonts w:ascii="Arial" w:hAnsi="Arial" w:cs="Arial"/>
            <w:color w:val="000000" w:themeColor="text1"/>
            <w:lang w:val="en-US"/>
          </w:rPr>
          <w:t>-</w:t>
        </w:r>
        <w:r w:rsidRPr="006F7C27">
          <w:rPr>
            <w:rStyle w:val="Hyperlink"/>
            <w:rFonts w:ascii="Arial" w:hAnsi="Arial" w:cs="Arial"/>
            <w:color w:val="000000" w:themeColor="text1"/>
            <w:lang w:val="en-US"/>
          </w:rPr>
          <w:t>for-wales-2008/routes-for-learning</w:t>
        </w:r>
      </w:hyperlink>
    </w:p>
    <w:p w14:paraId="6D863227" w14:textId="5D6A8469" w:rsidR="00A615A3" w:rsidRPr="006F7C27" w:rsidRDefault="00A615A3" w:rsidP="006F7C27">
      <w:pPr>
        <w:rPr>
          <w:rFonts w:ascii="Arial" w:hAnsi="Arial" w:cs="Arial"/>
          <w:color w:val="000000" w:themeColor="text1"/>
          <w:lang w:val="en-US"/>
        </w:rPr>
      </w:pPr>
    </w:p>
    <w:p w14:paraId="31F5D62B" w14:textId="77777777" w:rsidR="006F7C27" w:rsidRPr="006F7C27" w:rsidRDefault="006F7C27" w:rsidP="006F7C27">
      <w:pPr>
        <w:pStyle w:val="NormalWeb"/>
        <w:rPr>
          <w:rFonts w:ascii="Arial" w:hAnsi="Arial" w:cs="Arial"/>
          <w:color w:val="000000" w:themeColor="text1"/>
        </w:rPr>
      </w:pPr>
      <w:proofErr w:type="spellStart"/>
      <w:r w:rsidRPr="006F7C27">
        <w:rPr>
          <w:rFonts w:ascii="Arial" w:hAnsi="Arial" w:cs="Arial"/>
          <w:color w:val="000000" w:themeColor="text1"/>
        </w:rPr>
        <w:t>Wiliam</w:t>
      </w:r>
      <w:proofErr w:type="spellEnd"/>
      <w:r w:rsidRPr="006F7C27">
        <w:rPr>
          <w:rFonts w:ascii="Arial" w:hAnsi="Arial" w:cs="Arial"/>
          <w:color w:val="000000" w:themeColor="text1"/>
        </w:rPr>
        <w:t xml:space="preserve">, D. (2013). </w:t>
      </w:r>
      <w:r w:rsidRPr="006F7C27">
        <w:rPr>
          <w:rFonts w:ascii="Arial" w:hAnsi="Arial" w:cs="Arial"/>
          <w:i/>
          <w:color w:val="000000" w:themeColor="text1"/>
        </w:rPr>
        <w:t>Assessment: The bridge between teaching and learning</w:t>
      </w:r>
      <w:r w:rsidRPr="006F7C27">
        <w:rPr>
          <w:rFonts w:ascii="Arial" w:hAnsi="Arial" w:cs="Arial"/>
          <w:color w:val="000000" w:themeColor="text1"/>
        </w:rPr>
        <w:t xml:space="preserve">. </w:t>
      </w:r>
      <w:r w:rsidRPr="006F7C27">
        <w:rPr>
          <w:rFonts w:ascii="Arial" w:hAnsi="Arial" w:cs="Arial"/>
          <w:i/>
          <w:iCs/>
          <w:color w:val="000000" w:themeColor="text1"/>
        </w:rPr>
        <w:t>Voices from the middle 21(2)</w:t>
      </w:r>
      <w:r w:rsidRPr="006F7C27">
        <w:rPr>
          <w:rFonts w:ascii="Arial" w:hAnsi="Arial" w:cs="Arial"/>
          <w:color w:val="000000" w:themeColor="text1"/>
        </w:rPr>
        <w:t xml:space="preserve">, December 2013. </w:t>
      </w:r>
    </w:p>
    <w:p w14:paraId="764404A7" w14:textId="77777777" w:rsidR="00EC2BCD" w:rsidRPr="006F7C27" w:rsidRDefault="00EC2BCD" w:rsidP="006F7C27">
      <w:pPr>
        <w:pBdr>
          <w:top w:val="nil"/>
          <w:left w:val="nil"/>
          <w:bottom w:val="nil"/>
          <w:right w:val="nil"/>
          <w:between w:val="nil"/>
        </w:pBdr>
        <w:tabs>
          <w:tab w:val="left" w:pos="720"/>
          <w:tab w:val="left" w:pos="1440"/>
          <w:tab w:val="left" w:pos="2160"/>
          <w:tab w:val="left" w:pos="2880"/>
        </w:tabs>
        <w:spacing w:line="360" w:lineRule="auto"/>
        <w:rPr>
          <w:rFonts w:ascii="Arial" w:eastAsia="Arial" w:hAnsi="Arial" w:cs="Arial"/>
          <w:color w:val="000000" w:themeColor="text1"/>
          <w:sz w:val="22"/>
          <w:szCs w:val="22"/>
        </w:rPr>
      </w:pPr>
    </w:p>
    <w:p w14:paraId="5B1DD70A" w14:textId="22CF8E40" w:rsidR="002A6216" w:rsidRPr="006F7C27" w:rsidRDefault="002A6216" w:rsidP="006F7C27">
      <w:pPr>
        <w:rPr>
          <w:rFonts w:ascii="Arial" w:eastAsia="Arial" w:hAnsi="Arial" w:cs="Arial"/>
          <w:color w:val="000000" w:themeColor="text1"/>
        </w:rPr>
      </w:pPr>
    </w:p>
    <w:p w14:paraId="0AE6D00E" w14:textId="53C85B83" w:rsidR="002A6216" w:rsidRPr="006F7C27" w:rsidRDefault="002A6216" w:rsidP="006F7C27">
      <w:pPr>
        <w:rPr>
          <w:rFonts w:ascii="Arial" w:eastAsia="Arial" w:hAnsi="Arial" w:cs="Arial"/>
          <w:color w:val="000000" w:themeColor="text1"/>
        </w:rPr>
      </w:pPr>
    </w:p>
    <w:p w14:paraId="6FCDA2E6" w14:textId="3EEF3C67" w:rsidR="00DC3231" w:rsidRPr="006F7C27" w:rsidRDefault="00DC3231" w:rsidP="006F7C27">
      <w:pPr>
        <w:rPr>
          <w:rFonts w:ascii="Arial" w:eastAsia="Arial" w:hAnsi="Arial" w:cs="Arial"/>
          <w:color w:val="000000" w:themeColor="text1"/>
        </w:rPr>
      </w:pPr>
    </w:p>
    <w:p w14:paraId="605CCF74" w14:textId="47A8F49D" w:rsidR="00384FEB" w:rsidRPr="006F7C27" w:rsidRDefault="00384FEB" w:rsidP="006F7C27">
      <w:pPr>
        <w:rPr>
          <w:rFonts w:ascii="Arial" w:eastAsia="Arial" w:hAnsi="Arial" w:cs="Arial"/>
          <w:color w:val="000000" w:themeColor="text1"/>
        </w:rPr>
      </w:pPr>
    </w:p>
    <w:p w14:paraId="486D9D59" w14:textId="303A2AF0" w:rsidR="00384FEB" w:rsidRPr="006F7C27" w:rsidRDefault="00384FEB" w:rsidP="006F7C27">
      <w:pPr>
        <w:rPr>
          <w:rFonts w:ascii="Arial" w:eastAsia="Times New Roman" w:hAnsi="Arial" w:cs="Arial"/>
          <w:color w:val="000000" w:themeColor="text1"/>
        </w:rPr>
      </w:pPr>
    </w:p>
    <w:p w14:paraId="37BD1788" w14:textId="5416C133" w:rsidR="00384FEB" w:rsidRPr="006F7C27" w:rsidRDefault="00384FEB" w:rsidP="006F7C27">
      <w:pPr>
        <w:rPr>
          <w:rFonts w:ascii="Arial" w:eastAsia="Arial" w:hAnsi="Arial" w:cs="Arial"/>
          <w:color w:val="000000" w:themeColor="text1"/>
        </w:rPr>
      </w:pPr>
    </w:p>
    <w:p w14:paraId="07FE9D8B" w14:textId="4DEE9312" w:rsidR="00384FEB" w:rsidRPr="006F7C27" w:rsidRDefault="00384FEB" w:rsidP="006F7C27">
      <w:pPr>
        <w:rPr>
          <w:rFonts w:ascii="Arial" w:eastAsia="Arial" w:hAnsi="Arial" w:cs="Arial"/>
          <w:color w:val="000000" w:themeColor="text1"/>
        </w:rPr>
      </w:pPr>
    </w:p>
    <w:p w14:paraId="548CEE82" w14:textId="6C57B7C8" w:rsidR="00384FEB" w:rsidRPr="006F7C27" w:rsidRDefault="00384FEB" w:rsidP="006F7C27">
      <w:pPr>
        <w:rPr>
          <w:rFonts w:ascii="Arial" w:eastAsia="Arial" w:hAnsi="Arial" w:cs="Arial"/>
          <w:color w:val="000000" w:themeColor="text1"/>
        </w:rPr>
      </w:pPr>
    </w:p>
    <w:p w14:paraId="74580A23" w14:textId="77777777" w:rsidR="006F7C27" w:rsidRPr="006F7C27" w:rsidRDefault="006F7C27" w:rsidP="006F7C27">
      <w:pPr>
        <w:rPr>
          <w:rFonts w:ascii="Arial" w:eastAsia="Arial" w:hAnsi="Arial" w:cs="Arial"/>
          <w:color w:val="000000" w:themeColor="text1"/>
        </w:rPr>
      </w:pPr>
    </w:p>
    <w:sectPr w:rsidR="006F7C27" w:rsidRPr="006F7C27" w:rsidSect="008F220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51D93"/>
    <w:multiLevelType w:val="hybridMultilevel"/>
    <w:tmpl w:val="95041F3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15:restartNumberingAfterBreak="0">
    <w:nsid w:val="3EF74F06"/>
    <w:multiLevelType w:val="hybridMultilevel"/>
    <w:tmpl w:val="C76E7E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47E1B61"/>
    <w:multiLevelType w:val="multilevel"/>
    <w:tmpl w:val="F280A6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139065B"/>
    <w:multiLevelType w:val="multilevel"/>
    <w:tmpl w:val="F280A6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BCD"/>
    <w:rsid w:val="00011EF1"/>
    <w:rsid w:val="00045197"/>
    <w:rsid w:val="00056A69"/>
    <w:rsid w:val="000C1146"/>
    <w:rsid w:val="000D7D43"/>
    <w:rsid w:val="00114160"/>
    <w:rsid w:val="00177F12"/>
    <w:rsid w:val="00182171"/>
    <w:rsid w:val="001B2CEF"/>
    <w:rsid w:val="001B6B6C"/>
    <w:rsid w:val="00215756"/>
    <w:rsid w:val="00227358"/>
    <w:rsid w:val="002A6216"/>
    <w:rsid w:val="002A674E"/>
    <w:rsid w:val="00316800"/>
    <w:rsid w:val="00325AD7"/>
    <w:rsid w:val="003466D4"/>
    <w:rsid w:val="00362744"/>
    <w:rsid w:val="0037454E"/>
    <w:rsid w:val="00381787"/>
    <w:rsid w:val="00384FEB"/>
    <w:rsid w:val="003B7671"/>
    <w:rsid w:val="0043270D"/>
    <w:rsid w:val="004475A5"/>
    <w:rsid w:val="004905B9"/>
    <w:rsid w:val="0051661E"/>
    <w:rsid w:val="0055315E"/>
    <w:rsid w:val="00585268"/>
    <w:rsid w:val="00635C01"/>
    <w:rsid w:val="0064244A"/>
    <w:rsid w:val="00653AEC"/>
    <w:rsid w:val="006D51EA"/>
    <w:rsid w:val="006E24C8"/>
    <w:rsid w:val="006F0F81"/>
    <w:rsid w:val="006F7C27"/>
    <w:rsid w:val="007114B7"/>
    <w:rsid w:val="007150E1"/>
    <w:rsid w:val="00804A7B"/>
    <w:rsid w:val="00825FC0"/>
    <w:rsid w:val="008A6743"/>
    <w:rsid w:val="008D1A93"/>
    <w:rsid w:val="008F2207"/>
    <w:rsid w:val="009010D0"/>
    <w:rsid w:val="00933B28"/>
    <w:rsid w:val="00976F20"/>
    <w:rsid w:val="009A7546"/>
    <w:rsid w:val="009B5CFD"/>
    <w:rsid w:val="009E27FA"/>
    <w:rsid w:val="009F0EB1"/>
    <w:rsid w:val="00A1378C"/>
    <w:rsid w:val="00A32E00"/>
    <w:rsid w:val="00A615A3"/>
    <w:rsid w:val="00AC48C0"/>
    <w:rsid w:val="00AF7198"/>
    <w:rsid w:val="00B65135"/>
    <w:rsid w:val="00BA2D17"/>
    <w:rsid w:val="00BB3292"/>
    <w:rsid w:val="00BC63DF"/>
    <w:rsid w:val="00BD64F7"/>
    <w:rsid w:val="00C27850"/>
    <w:rsid w:val="00C73BD1"/>
    <w:rsid w:val="00C90A3D"/>
    <w:rsid w:val="00C97E27"/>
    <w:rsid w:val="00CA4326"/>
    <w:rsid w:val="00CA5E68"/>
    <w:rsid w:val="00CC5588"/>
    <w:rsid w:val="00CD3E31"/>
    <w:rsid w:val="00D15D94"/>
    <w:rsid w:val="00D46535"/>
    <w:rsid w:val="00D670A8"/>
    <w:rsid w:val="00D67D61"/>
    <w:rsid w:val="00DC3231"/>
    <w:rsid w:val="00DE6020"/>
    <w:rsid w:val="00EA6737"/>
    <w:rsid w:val="00EC2BCD"/>
    <w:rsid w:val="00EE2EEA"/>
    <w:rsid w:val="00F203F0"/>
    <w:rsid w:val="00FE43B5"/>
    <w:rsid w:val="00FE50D5"/>
    <w:rsid w:val="00FF2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1AB81A"/>
  <w14:defaultImageDpi w14:val="32767"/>
  <w15:chartTrackingRefBased/>
  <w15:docId w15:val="{71D1033C-CF2F-BA46-AE3C-2D1BF053D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BCD"/>
    <w:pPr>
      <w:ind w:left="720"/>
      <w:contextualSpacing/>
    </w:pPr>
  </w:style>
  <w:style w:type="paragraph" w:styleId="NormalWeb">
    <w:name w:val="Normal (Web)"/>
    <w:basedOn w:val="Normal"/>
    <w:uiPriority w:val="99"/>
    <w:semiHidden/>
    <w:unhideWhenUsed/>
    <w:rsid w:val="00011EF1"/>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384FEB"/>
    <w:rPr>
      <w:color w:val="0563C1" w:themeColor="hyperlink"/>
      <w:u w:val="single"/>
    </w:rPr>
  </w:style>
  <w:style w:type="character" w:styleId="UnresolvedMention">
    <w:name w:val="Unresolved Mention"/>
    <w:basedOn w:val="DefaultParagraphFont"/>
    <w:uiPriority w:val="99"/>
    <w:rsid w:val="00384FEB"/>
    <w:rPr>
      <w:color w:val="605E5C"/>
      <w:shd w:val="clear" w:color="auto" w:fill="E1DFDD"/>
    </w:rPr>
  </w:style>
  <w:style w:type="character" w:customStyle="1" w:styleId="apple-converted-space">
    <w:name w:val="apple-converted-space"/>
    <w:basedOn w:val="DefaultParagraphFont"/>
    <w:rsid w:val="00384FEB"/>
  </w:style>
  <w:style w:type="character" w:styleId="FollowedHyperlink">
    <w:name w:val="FollowedHyperlink"/>
    <w:basedOn w:val="DefaultParagraphFont"/>
    <w:uiPriority w:val="99"/>
    <w:semiHidden/>
    <w:unhideWhenUsed/>
    <w:rsid w:val="00A615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273015">
      <w:bodyDiv w:val="1"/>
      <w:marLeft w:val="0"/>
      <w:marRight w:val="0"/>
      <w:marTop w:val="0"/>
      <w:marBottom w:val="0"/>
      <w:divBdr>
        <w:top w:val="none" w:sz="0" w:space="0" w:color="auto"/>
        <w:left w:val="none" w:sz="0" w:space="0" w:color="auto"/>
        <w:bottom w:val="none" w:sz="0" w:space="0" w:color="auto"/>
        <w:right w:val="none" w:sz="0" w:space="0" w:color="auto"/>
      </w:divBdr>
    </w:div>
    <w:div w:id="1387995690">
      <w:bodyDiv w:val="1"/>
      <w:marLeft w:val="0"/>
      <w:marRight w:val="0"/>
      <w:marTop w:val="0"/>
      <w:marBottom w:val="0"/>
      <w:divBdr>
        <w:top w:val="none" w:sz="0" w:space="0" w:color="auto"/>
        <w:left w:val="none" w:sz="0" w:space="0" w:color="auto"/>
        <w:bottom w:val="none" w:sz="0" w:space="0" w:color="auto"/>
        <w:right w:val="none" w:sz="0" w:space="0" w:color="auto"/>
      </w:divBdr>
      <w:divsChild>
        <w:div w:id="1383214088">
          <w:marLeft w:val="0"/>
          <w:marRight w:val="0"/>
          <w:marTop w:val="0"/>
          <w:marBottom w:val="0"/>
          <w:divBdr>
            <w:top w:val="none" w:sz="0" w:space="0" w:color="auto"/>
            <w:left w:val="none" w:sz="0" w:space="0" w:color="auto"/>
            <w:bottom w:val="none" w:sz="0" w:space="0" w:color="auto"/>
            <w:right w:val="none" w:sz="0" w:space="0" w:color="auto"/>
          </w:divBdr>
          <w:divsChild>
            <w:div w:id="59109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664988">
      <w:bodyDiv w:val="1"/>
      <w:marLeft w:val="0"/>
      <w:marRight w:val="0"/>
      <w:marTop w:val="0"/>
      <w:marBottom w:val="0"/>
      <w:divBdr>
        <w:top w:val="none" w:sz="0" w:space="0" w:color="auto"/>
        <w:left w:val="none" w:sz="0" w:space="0" w:color="auto"/>
        <w:bottom w:val="none" w:sz="0" w:space="0" w:color="auto"/>
        <w:right w:val="none" w:sz="0" w:space="0" w:color="auto"/>
      </w:divBdr>
      <w:divsChild>
        <w:div w:id="636103982">
          <w:marLeft w:val="0"/>
          <w:marRight w:val="0"/>
          <w:marTop w:val="0"/>
          <w:marBottom w:val="0"/>
          <w:divBdr>
            <w:top w:val="none" w:sz="0" w:space="0" w:color="auto"/>
            <w:left w:val="none" w:sz="0" w:space="0" w:color="auto"/>
            <w:bottom w:val="none" w:sz="0" w:space="0" w:color="auto"/>
            <w:right w:val="none" w:sz="0" w:space="0" w:color="auto"/>
          </w:divBdr>
          <w:divsChild>
            <w:div w:id="1565414797">
              <w:marLeft w:val="0"/>
              <w:marRight w:val="0"/>
              <w:marTop w:val="0"/>
              <w:marBottom w:val="0"/>
              <w:divBdr>
                <w:top w:val="none" w:sz="0" w:space="0" w:color="auto"/>
                <w:left w:val="none" w:sz="0" w:space="0" w:color="auto"/>
                <w:bottom w:val="none" w:sz="0" w:space="0" w:color="auto"/>
                <w:right w:val="none" w:sz="0" w:space="0" w:color="auto"/>
              </w:divBdr>
              <w:divsChild>
                <w:div w:id="21982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2008/routes-for-learning" TargetMode="External"/><Relationship Id="rId3" Type="http://schemas.openxmlformats.org/officeDocument/2006/relationships/settings" Target="settings.xml"/><Relationship Id="rId7" Type="http://schemas.openxmlformats.org/officeDocument/2006/relationships/hyperlink" Target="https://hwb.gov.wales/curriculum-for-w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curriculum-for-wales-2008/routes-for-learning" TargetMode="External"/><Relationship Id="rId5" Type="http://schemas.openxmlformats.org/officeDocument/2006/relationships/hyperlink" Target="https://winstrada.com/index.ph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764</TotalTime>
  <Pages>14</Pages>
  <Words>4827</Words>
  <Characters>27516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28</cp:revision>
  <dcterms:created xsi:type="dcterms:W3CDTF">2020-04-13T18:49:00Z</dcterms:created>
  <dcterms:modified xsi:type="dcterms:W3CDTF">2020-04-17T15:44:00Z</dcterms:modified>
</cp:coreProperties>
</file>