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9D262" w14:textId="77777777" w:rsidR="000735A4" w:rsidRDefault="000735A4" w:rsidP="000735A4">
      <w:pPr>
        <w:spacing w:line="360" w:lineRule="auto"/>
        <w:jc w:val="center"/>
      </w:pPr>
      <w:r>
        <w:rPr>
          <w:noProof/>
        </w:rPr>
        <w:drawing>
          <wp:inline distT="0" distB="0" distL="0" distR="0" wp14:anchorId="0B0B692B" wp14:editId="4FCE531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0A93D064" w14:textId="77777777" w:rsidR="000735A4" w:rsidRDefault="000735A4" w:rsidP="000735A4">
      <w:pPr>
        <w:spacing w:line="360" w:lineRule="auto"/>
        <w:jc w:val="center"/>
      </w:pPr>
    </w:p>
    <w:p w14:paraId="2FE3A739" w14:textId="77777777" w:rsidR="000735A4" w:rsidRDefault="000735A4" w:rsidP="000735A4">
      <w:pPr>
        <w:spacing w:line="360" w:lineRule="auto"/>
        <w:jc w:val="center"/>
      </w:pPr>
    </w:p>
    <w:p w14:paraId="47FE39F3" w14:textId="77777777" w:rsidR="000735A4" w:rsidRDefault="000735A4" w:rsidP="000735A4">
      <w:pPr>
        <w:jc w:val="center"/>
        <w:rPr>
          <w:rFonts w:ascii="Arial" w:eastAsia="Aptos" w:hAnsi="Arial"/>
          <w:b/>
          <w:bCs/>
          <w:sz w:val="28"/>
          <w:szCs w:val="28"/>
        </w:rPr>
      </w:pPr>
      <w:r>
        <w:rPr>
          <w:rFonts w:ascii="Arial" w:eastAsia="Aptos" w:hAnsi="Arial"/>
          <w:b/>
          <w:bCs/>
          <w:sz w:val="28"/>
          <w:szCs w:val="28"/>
        </w:rPr>
        <w:t>Student Name:</w:t>
      </w:r>
    </w:p>
    <w:p w14:paraId="7997AC3D" w14:textId="66D1489C" w:rsidR="00FF719B" w:rsidRDefault="00FF719B" w:rsidP="000735A4">
      <w:pPr>
        <w:jc w:val="center"/>
        <w:rPr>
          <w:rFonts w:ascii="Arial" w:eastAsia="Aptos" w:hAnsi="Arial"/>
          <w:b/>
          <w:bCs/>
          <w:sz w:val="28"/>
          <w:szCs w:val="28"/>
        </w:rPr>
      </w:pPr>
      <w:r>
        <w:rPr>
          <w:rFonts w:ascii="Arial" w:eastAsia="Aptos" w:hAnsi="Arial"/>
          <w:b/>
          <w:bCs/>
          <w:sz w:val="28"/>
          <w:szCs w:val="28"/>
        </w:rPr>
        <w:t>Beladiya Harshil Ghanshyambhai</w:t>
      </w:r>
    </w:p>
    <w:p w14:paraId="6A271A93" w14:textId="77777777" w:rsidR="00FF719B" w:rsidRDefault="00FF719B" w:rsidP="000735A4">
      <w:pPr>
        <w:jc w:val="center"/>
        <w:rPr>
          <w:rFonts w:ascii="Arial" w:eastAsia="Aptos" w:hAnsi="Arial"/>
          <w:b/>
          <w:bCs/>
          <w:sz w:val="28"/>
          <w:szCs w:val="28"/>
        </w:rPr>
      </w:pPr>
    </w:p>
    <w:p w14:paraId="7F0202DB"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0B3474C3" w14:textId="46CA211C" w:rsidR="000735A4" w:rsidRDefault="00FF719B" w:rsidP="00FF719B">
      <w:pPr>
        <w:tabs>
          <w:tab w:val="left" w:pos="3108"/>
          <w:tab w:val="center" w:pos="4333"/>
        </w:tabs>
        <w:rPr>
          <w:rFonts w:ascii="Arial" w:eastAsia="Aptos" w:hAnsi="Arial"/>
          <w:b/>
          <w:bCs/>
          <w:sz w:val="28"/>
          <w:szCs w:val="28"/>
        </w:rPr>
      </w:pPr>
      <w:r>
        <w:rPr>
          <w:rFonts w:ascii="Arial" w:eastAsia="Aptos" w:hAnsi="Arial"/>
          <w:b/>
          <w:bCs/>
          <w:sz w:val="28"/>
          <w:szCs w:val="28"/>
        </w:rPr>
        <w:tab/>
      </w:r>
      <w:r>
        <w:rPr>
          <w:rFonts w:ascii="Arial" w:eastAsia="Aptos" w:hAnsi="Arial"/>
          <w:b/>
          <w:bCs/>
          <w:sz w:val="28"/>
          <w:szCs w:val="28"/>
        </w:rPr>
        <w:tab/>
      </w:r>
      <w:r w:rsidR="000735A4">
        <w:rPr>
          <w:rFonts w:ascii="Arial" w:eastAsia="Aptos" w:hAnsi="Arial"/>
          <w:b/>
          <w:bCs/>
          <w:sz w:val="28"/>
          <w:szCs w:val="28"/>
        </w:rPr>
        <w:t>Student ID:</w:t>
      </w:r>
    </w:p>
    <w:p w14:paraId="4EAF329F" w14:textId="6F6E2B29" w:rsidR="00FF719B" w:rsidRDefault="00FF719B" w:rsidP="000735A4">
      <w:pPr>
        <w:jc w:val="center"/>
        <w:rPr>
          <w:rFonts w:ascii="Arial" w:eastAsia="Aptos" w:hAnsi="Arial"/>
          <w:b/>
          <w:bCs/>
          <w:sz w:val="28"/>
          <w:szCs w:val="28"/>
        </w:rPr>
      </w:pPr>
      <w:r>
        <w:rPr>
          <w:rFonts w:ascii="Arial" w:eastAsia="Aptos" w:hAnsi="Arial"/>
          <w:b/>
          <w:bCs/>
          <w:sz w:val="28"/>
          <w:szCs w:val="28"/>
        </w:rPr>
        <w:t>2543506</w:t>
      </w:r>
    </w:p>
    <w:p w14:paraId="76701136" w14:textId="77777777" w:rsidR="000735A4" w:rsidRDefault="000735A4" w:rsidP="000735A4">
      <w:pPr>
        <w:jc w:val="center"/>
        <w:rPr>
          <w:rFonts w:ascii="Arial" w:eastAsia="Aptos" w:hAnsi="Arial"/>
          <w:sz w:val="28"/>
          <w:szCs w:val="28"/>
        </w:rPr>
      </w:pPr>
      <w:r>
        <w:rPr>
          <w:rFonts w:ascii="Arial" w:eastAsia="Aptos" w:hAnsi="Arial"/>
          <w:sz w:val="28"/>
          <w:szCs w:val="28"/>
        </w:rPr>
        <w:t xml:space="preserve"> </w:t>
      </w:r>
    </w:p>
    <w:p w14:paraId="4451438C" w14:textId="77777777" w:rsidR="000735A4" w:rsidRDefault="000735A4" w:rsidP="000735A4">
      <w:pPr>
        <w:jc w:val="center"/>
        <w:rPr>
          <w:rFonts w:ascii="Arial" w:eastAsia="Aptos" w:hAnsi="Arial"/>
          <w:sz w:val="28"/>
          <w:szCs w:val="28"/>
        </w:rPr>
      </w:pPr>
      <w:r>
        <w:rPr>
          <w:rFonts w:ascii="Arial" w:eastAsia="Aptos" w:hAnsi="Arial"/>
          <w:sz w:val="28"/>
          <w:szCs w:val="28"/>
        </w:rPr>
        <w:t xml:space="preserve"> </w:t>
      </w:r>
    </w:p>
    <w:p w14:paraId="3500CB66" w14:textId="77777777" w:rsidR="00FF719B" w:rsidRDefault="000735A4" w:rsidP="000735A4">
      <w:pPr>
        <w:jc w:val="center"/>
        <w:rPr>
          <w:rFonts w:ascii="Arial" w:eastAsia="Aptos" w:hAnsi="Arial"/>
          <w:b/>
          <w:bCs/>
          <w:sz w:val="28"/>
          <w:szCs w:val="28"/>
        </w:rPr>
      </w:pPr>
      <w:r>
        <w:rPr>
          <w:rFonts w:ascii="Arial" w:eastAsia="Aptos" w:hAnsi="Arial"/>
          <w:b/>
          <w:bCs/>
          <w:sz w:val="28"/>
          <w:szCs w:val="28"/>
        </w:rPr>
        <w:t xml:space="preserve">Module Name: </w:t>
      </w:r>
    </w:p>
    <w:p w14:paraId="7C99204E" w14:textId="3A0A3785" w:rsidR="000735A4" w:rsidRDefault="000735A4" w:rsidP="000735A4">
      <w:pPr>
        <w:jc w:val="center"/>
        <w:rPr>
          <w:rFonts w:ascii="Arial" w:eastAsia="Aptos" w:hAnsi="Arial"/>
          <w:b/>
          <w:bCs/>
          <w:sz w:val="28"/>
          <w:szCs w:val="28"/>
        </w:rPr>
      </w:pPr>
      <w:r>
        <w:rPr>
          <w:rFonts w:ascii="Arial" w:eastAsia="Aptos" w:hAnsi="Arial"/>
          <w:b/>
          <w:bCs/>
          <w:sz w:val="28"/>
          <w:szCs w:val="28"/>
        </w:rPr>
        <w:t>Marketing Management</w:t>
      </w:r>
    </w:p>
    <w:p w14:paraId="31D20334" w14:textId="77777777" w:rsidR="00FF719B" w:rsidRDefault="00FF719B" w:rsidP="000735A4">
      <w:pPr>
        <w:jc w:val="center"/>
        <w:rPr>
          <w:rFonts w:ascii="Arial" w:eastAsia="Aptos" w:hAnsi="Arial"/>
          <w:b/>
          <w:bCs/>
          <w:sz w:val="28"/>
          <w:szCs w:val="28"/>
        </w:rPr>
      </w:pPr>
    </w:p>
    <w:p w14:paraId="1979575C"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3728F9F7" w14:textId="77777777" w:rsidR="00FF719B" w:rsidRDefault="000735A4" w:rsidP="000735A4">
      <w:pPr>
        <w:jc w:val="center"/>
        <w:rPr>
          <w:rFonts w:ascii="Arial" w:eastAsia="Aptos" w:hAnsi="Arial"/>
          <w:b/>
          <w:bCs/>
          <w:sz w:val="28"/>
          <w:szCs w:val="28"/>
        </w:rPr>
      </w:pPr>
      <w:r>
        <w:rPr>
          <w:rFonts w:ascii="Arial" w:eastAsia="Aptos" w:hAnsi="Arial"/>
          <w:b/>
          <w:bCs/>
          <w:sz w:val="28"/>
          <w:szCs w:val="28"/>
        </w:rPr>
        <w:t xml:space="preserve">Module Code: </w:t>
      </w:r>
    </w:p>
    <w:p w14:paraId="5F19242F" w14:textId="2D7D3362" w:rsidR="000735A4" w:rsidRDefault="000735A4" w:rsidP="000735A4">
      <w:pPr>
        <w:jc w:val="center"/>
        <w:rPr>
          <w:rFonts w:ascii="Arial" w:eastAsia="Aptos" w:hAnsi="Arial"/>
          <w:b/>
          <w:bCs/>
          <w:sz w:val="28"/>
          <w:szCs w:val="28"/>
        </w:rPr>
      </w:pPr>
      <w:r>
        <w:rPr>
          <w:rFonts w:ascii="Arial" w:eastAsia="Aptos" w:hAnsi="Arial"/>
          <w:b/>
          <w:bCs/>
          <w:sz w:val="28"/>
          <w:szCs w:val="28"/>
        </w:rPr>
        <w:t>LCMB7024</w:t>
      </w:r>
    </w:p>
    <w:p w14:paraId="628E0F04"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1B3853FD" w14:textId="1C6AC1C3" w:rsidR="000735A4" w:rsidRDefault="000735A4" w:rsidP="00FF719B">
      <w:pPr>
        <w:jc w:val="center"/>
        <w:rPr>
          <w:rFonts w:ascii="Arial" w:eastAsia="Aptos" w:hAnsi="Arial"/>
          <w:b/>
          <w:bCs/>
          <w:sz w:val="28"/>
          <w:szCs w:val="28"/>
        </w:rPr>
      </w:pPr>
      <w:r>
        <w:rPr>
          <w:rFonts w:ascii="Arial" w:eastAsia="Aptos" w:hAnsi="Arial"/>
          <w:b/>
          <w:bCs/>
          <w:sz w:val="28"/>
          <w:szCs w:val="28"/>
        </w:rPr>
        <w:t xml:space="preserve">  </w:t>
      </w:r>
    </w:p>
    <w:p w14:paraId="5AFAD997" w14:textId="77777777" w:rsidR="000735A4" w:rsidRDefault="000735A4" w:rsidP="000735A4">
      <w:pPr>
        <w:jc w:val="center"/>
        <w:rPr>
          <w:rFonts w:ascii="Arial" w:eastAsia="Aptos" w:hAnsi="Arial"/>
          <w:b/>
          <w:bCs/>
          <w:sz w:val="28"/>
          <w:szCs w:val="28"/>
        </w:rPr>
      </w:pPr>
      <w:r>
        <w:rPr>
          <w:rFonts w:ascii="Arial" w:eastAsia="Aptos" w:hAnsi="Arial"/>
          <w:b/>
          <w:bCs/>
          <w:sz w:val="28"/>
          <w:szCs w:val="28"/>
        </w:rPr>
        <w:t>Lecturer’s Name:</w:t>
      </w:r>
    </w:p>
    <w:p w14:paraId="303AAAD5" w14:textId="2AA7E740" w:rsidR="00FF719B" w:rsidRDefault="00FF719B" w:rsidP="000735A4">
      <w:pPr>
        <w:jc w:val="center"/>
        <w:rPr>
          <w:rFonts w:ascii="Arial" w:eastAsia="Aptos" w:hAnsi="Arial"/>
          <w:b/>
          <w:bCs/>
          <w:sz w:val="28"/>
          <w:szCs w:val="28"/>
        </w:rPr>
      </w:pPr>
      <w:r w:rsidRPr="00FF719B">
        <w:rPr>
          <w:rFonts w:ascii="Arial" w:eastAsia="Aptos" w:hAnsi="Arial"/>
          <w:b/>
          <w:bCs/>
          <w:sz w:val="28"/>
          <w:szCs w:val="28"/>
        </w:rPr>
        <w:t>Sinan He</w:t>
      </w:r>
    </w:p>
    <w:p w14:paraId="647A5709"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4469E4A9"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2D7612EB" w14:textId="77777777" w:rsidR="000735A4" w:rsidRDefault="000735A4" w:rsidP="000735A4">
      <w:pPr>
        <w:rPr>
          <w:rFonts w:ascii="Arial" w:eastAsia="Aptos" w:hAnsi="Arial"/>
          <w:b/>
          <w:bCs/>
          <w:sz w:val="28"/>
          <w:szCs w:val="28"/>
        </w:rPr>
      </w:pPr>
      <w:r>
        <w:rPr>
          <w:rFonts w:ascii="Arial" w:eastAsia="Aptos" w:hAnsi="Arial"/>
          <w:b/>
          <w:bCs/>
          <w:sz w:val="28"/>
          <w:szCs w:val="28"/>
        </w:rPr>
        <w:t xml:space="preserve"> </w:t>
      </w:r>
    </w:p>
    <w:p w14:paraId="25C08DF3" w14:textId="55C92AA2" w:rsidR="000735A4" w:rsidRDefault="000735A4" w:rsidP="000735A4">
      <w:pPr>
        <w:jc w:val="center"/>
        <w:rPr>
          <w:rFonts w:ascii="Arial" w:eastAsia="Aptos" w:hAnsi="Arial"/>
          <w:b/>
          <w:bCs/>
          <w:sz w:val="28"/>
          <w:szCs w:val="28"/>
        </w:rPr>
      </w:pPr>
      <w:r>
        <w:rPr>
          <w:rFonts w:ascii="Arial" w:eastAsia="Aptos" w:hAnsi="Arial"/>
          <w:b/>
          <w:bCs/>
          <w:sz w:val="28"/>
          <w:szCs w:val="28"/>
        </w:rPr>
        <w:t>Wor</w:t>
      </w:r>
      <w:r w:rsidR="00FF719B">
        <w:rPr>
          <w:rFonts w:ascii="Arial" w:eastAsia="Aptos" w:hAnsi="Arial"/>
          <w:b/>
          <w:bCs/>
          <w:sz w:val="28"/>
          <w:szCs w:val="28"/>
        </w:rPr>
        <w:t>d</w:t>
      </w:r>
      <w:r>
        <w:rPr>
          <w:rFonts w:ascii="Arial" w:eastAsia="Aptos" w:hAnsi="Arial"/>
          <w:b/>
          <w:bCs/>
          <w:sz w:val="28"/>
          <w:szCs w:val="28"/>
        </w:rPr>
        <w:t xml:space="preserve"> Count:</w:t>
      </w:r>
    </w:p>
    <w:p w14:paraId="67126F2D" w14:textId="0F9BFBA9"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r w:rsidR="00FF719B">
        <w:rPr>
          <w:rFonts w:ascii="Arial" w:eastAsia="Aptos" w:hAnsi="Arial"/>
          <w:b/>
          <w:bCs/>
          <w:sz w:val="28"/>
          <w:szCs w:val="28"/>
        </w:rPr>
        <w:t>2500</w:t>
      </w:r>
    </w:p>
    <w:p w14:paraId="494011A0"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6D90D778" w14:textId="14DB683F" w:rsidR="000735A4" w:rsidRDefault="000735A4" w:rsidP="00FF719B">
      <w:pPr>
        <w:jc w:val="center"/>
        <w:rPr>
          <w:rFonts w:ascii="Arial" w:eastAsia="Aptos" w:hAnsi="Arial"/>
          <w:b/>
          <w:bCs/>
          <w:sz w:val="28"/>
          <w:szCs w:val="28"/>
        </w:rPr>
      </w:pPr>
    </w:p>
    <w:p w14:paraId="68A70B8E" w14:textId="77777777" w:rsidR="000735A4" w:rsidRDefault="000735A4" w:rsidP="000735A4">
      <w:pPr>
        <w:jc w:val="center"/>
        <w:rPr>
          <w:rFonts w:ascii="Arial" w:eastAsia="Aptos" w:hAnsi="Arial"/>
          <w:b/>
          <w:bCs/>
          <w:sz w:val="28"/>
          <w:szCs w:val="28"/>
        </w:rPr>
      </w:pPr>
      <w:r>
        <w:rPr>
          <w:rFonts w:ascii="Arial" w:eastAsia="Aptos" w:hAnsi="Arial"/>
          <w:b/>
          <w:bCs/>
          <w:sz w:val="28"/>
          <w:szCs w:val="28"/>
        </w:rPr>
        <w:t xml:space="preserve"> </w:t>
      </w:r>
    </w:p>
    <w:p w14:paraId="6B733541" w14:textId="77777777" w:rsidR="000735A4" w:rsidRDefault="000735A4" w:rsidP="000735A4">
      <w:pPr>
        <w:jc w:val="center"/>
        <w:rPr>
          <w:rFonts w:ascii="Arial" w:eastAsia="Aptos" w:hAnsi="Arial"/>
          <w:b/>
          <w:bCs/>
          <w:sz w:val="28"/>
          <w:szCs w:val="28"/>
        </w:rPr>
      </w:pPr>
      <w:r>
        <w:rPr>
          <w:rFonts w:ascii="Arial" w:eastAsia="Aptos" w:hAnsi="Arial"/>
          <w:b/>
          <w:bCs/>
          <w:sz w:val="28"/>
          <w:szCs w:val="28"/>
        </w:rPr>
        <w:t>Term 1</w:t>
      </w:r>
    </w:p>
    <w:p w14:paraId="61935ED4" w14:textId="63AE46EC" w:rsidR="00867966" w:rsidRPr="00481752" w:rsidRDefault="004716FB" w:rsidP="000735A4">
      <w:pPr>
        <w:spacing w:line="360" w:lineRule="auto"/>
        <w:jc w:val="center"/>
      </w:pPr>
      <w:r w:rsidRPr="00481752">
        <w:br w:type="page"/>
      </w:r>
    </w:p>
    <w:sdt>
      <w:sdtPr>
        <w:rPr>
          <w:rFonts w:ascii="Arial" w:eastAsia="Times New Roman" w:hAnsi="Arial" w:cs="Arial"/>
          <w:color w:val="auto"/>
          <w:sz w:val="24"/>
          <w:szCs w:val="24"/>
          <w:lang w:val="en-AU" w:eastAsia="en-AU"/>
        </w:rPr>
        <w:id w:val="-262064648"/>
        <w:docPartObj>
          <w:docPartGallery w:val="Table of Contents"/>
          <w:docPartUnique/>
        </w:docPartObj>
      </w:sdtPr>
      <w:sdtEndPr>
        <w:rPr>
          <w:b/>
          <w:bCs/>
          <w:noProof/>
        </w:rPr>
      </w:sdtEndPr>
      <w:sdtContent>
        <w:p w14:paraId="3CC0F261" w14:textId="69AEF672" w:rsidR="000735A4" w:rsidRPr="004D7953" w:rsidRDefault="000735A4" w:rsidP="004D7953">
          <w:pPr>
            <w:pStyle w:val="TOCHeading"/>
            <w:spacing w:line="360" w:lineRule="auto"/>
            <w:jc w:val="both"/>
            <w:rPr>
              <w:rFonts w:ascii="Arial" w:hAnsi="Arial" w:cs="Arial"/>
              <w:sz w:val="24"/>
              <w:szCs w:val="24"/>
            </w:rPr>
          </w:pPr>
          <w:r w:rsidRPr="004D7953">
            <w:rPr>
              <w:rFonts w:ascii="Arial" w:hAnsi="Arial" w:cs="Arial"/>
              <w:sz w:val="24"/>
              <w:szCs w:val="24"/>
            </w:rPr>
            <w:t>Table of Contents</w:t>
          </w:r>
        </w:p>
        <w:p w14:paraId="691B1555" w14:textId="27B6CC67" w:rsidR="004D7953" w:rsidRPr="004D7953" w:rsidRDefault="000735A4" w:rsidP="004D7953">
          <w:pPr>
            <w:pStyle w:val="TOC1"/>
            <w:tabs>
              <w:tab w:val="right" w:leader="dot" w:pos="8656"/>
            </w:tabs>
            <w:spacing w:line="360" w:lineRule="auto"/>
            <w:rPr>
              <w:rFonts w:ascii="Arial" w:eastAsiaTheme="minorEastAsia" w:hAnsi="Arial" w:cs="Arial"/>
              <w:noProof/>
              <w:sz w:val="22"/>
              <w:szCs w:val="22"/>
            </w:rPr>
          </w:pPr>
          <w:r w:rsidRPr="004D7953">
            <w:rPr>
              <w:rFonts w:ascii="Arial" w:hAnsi="Arial" w:cs="Arial"/>
            </w:rPr>
            <w:fldChar w:fldCharType="begin"/>
          </w:r>
          <w:r w:rsidRPr="004D7953">
            <w:rPr>
              <w:rFonts w:ascii="Arial" w:hAnsi="Arial" w:cs="Arial"/>
            </w:rPr>
            <w:instrText xml:space="preserve"> TOC \o "1-3" \h \z \u </w:instrText>
          </w:r>
          <w:r w:rsidRPr="004D7953">
            <w:rPr>
              <w:rFonts w:ascii="Arial" w:hAnsi="Arial" w:cs="Arial"/>
            </w:rPr>
            <w:fldChar w:fldCharType="separate"/>
          </w:r>
          <w:hyperlink w:anchor="_Toc235711868" w:history="1">
            <w:r w:rsidR="004D7953" w:rsidRPr="004D7953">
              <w:rPr>
                <w:rStyle w:val="Hyperlink"/>
                <w:rFonts w:ascii="Arial" w:hAnsi="Arial" w:cs="Arial"/>
                <w:noProof/>
              </w:rPr>
              <w:t>TASK 1: MARKETING ENVIRONMENT ANALYSIS</w:t>
            </w:r>
            <w:r w:rsidR="004D7953" w:rsidRPr="004D7953">
              <w:rPr>
                <w:rFonts w:ascii="Arial" w:hAnsi="Arial" w:cs="Arial"/>
                <w:noProof/>
                <w:webHidden/>
              </w:rPr>
              <w:tab/>
            </w:r>
            <w:r w:rsidR="004D7953" w:rsidRPr="004D7953">
              <w:rPr>
                <w:rFonts w:ascii="Arial" w:hAnsi="Arial" w:cs="Arial"/>
                <w:noProof/>
                <w:webHidden/>
              </w:rPr>
              <w:fldChar w:fldCharType="begin"/>
            </w:r>
            <w:r w:rsidR="004D7953" w:rsidRPr="004D7953">
              <w:rPr>
                <w:rFonts w:ascii="Arial" w:hAnsi="Arial" w:cs="Arial"/>
                <w:noProof/>
                <w:webHidden/>
              </w:rPr>
              <w:instrText xml:space="preserve"> PAGEREF _Toc235711868 \h </w:instrText>
            </w:r>
            <w:r w:rsidR="004D7953" w:rsidRPr="004D7953">
              <w:rPr>
                <w:rFonts w:ascii="Arial" w:hAnsi="Arial" w:cs="Arial"/>
                <w:noProof/>
                <w:webHidden/>
              </w:rPr>
            </w:r>
            <w:r w:rsidR="004D7953" w:rsidRPr="004D7953">
              <w:rPr>
                <w:rFonts w:ascii="Arial" w:hAnsi="Arial" w:cs="Arial"/>
                <w:noProof/>
                <w:webHidden/>
              </w:rPr>
              <w:fldChar w:fldCharType="separate"/>
            </w:r>
            <w:r w:rsidR="004D7953" w:rsidRPr="004D7953">
              <w:rPr>
                <w:rFonts w:ascii="Arial" w:hAnsi="Arial" w:cs="Arial"/>
                <w:noProof/>
                <w:webHidden/>
              </w:rPr>
              <w:t>3</w:t>
            </w:r>
            <w:r w:rsidR="004D7953" w:rsidRPr="004D7953">
              <w:rPr>
                <w:rFonts w:ascii="Arial" w:hAnsi="Arial" w:cs="Arial"/>
                <w:noProof/>
                <w:webHidden/>
              </w:rPr>
              <w:fldChar w:fldCharType="end"/>
            </w:r>
          </w:hyperlink>
        </w:p>
        <w:p w14:paraId="4F0E3B50" w14:textId="39F1B8B7" w:rsidR="004D7953" w:rsidRPr="004D7953" w:rsidRDefault="004D7953" w:rsidP="004D7953">
          <w:pPr>
            <w:pStyle w:val="TOC2"/>
            <w:tabs>
              <w:tab w:val="right" w:leader="dot" w:pos="8656"/>
            </w:tabs>
            <w:spacing w:line="360" w:lineRule="auto"/>
            <w:rPr>
              <w:rFonts w:ascii="Arial" w:eastAsiaTheme="minorEastAsia" w:hAnsi="Arial" w:cs="Arial"/>
              <w:noProof/>
              <w:sz w:val="22"/>
              <w:szCs w:val="22"/>
            </w:rPr>
          </w:pPr>
          <w:hyperlink w:anchor="_Toc235711869" w:history="1">
            <w:r w:rsidRPr="004D7953">
              <w:rPr>
                <w:rStyle w:val="Hyperlink"/>
                <w:rFonts w:ascii="Arial" w:hAnsi="Arial" w:cs="Arial"/>
                <w:noProof/>
              </w:rPr>
              <w:t>1.1 Company Selection and Context</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_Toc235711869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3</w:t>
            </w:r>
            <w:r w:rsidRPr="004D7953">
              <w:rPr>
                <w:rFonts w:ascii="Arial" w:hAnsi="Arial" w:cs="Arial"/>
                <w:noProof/>
                <w:webHidden/>
              </w:rPr>
              <w:fldChar w:fldCharType="end"/>
            </w:r>
          </w:hyperlink>
        </w:p>
        <w:p w14:paraId="7006594E" w14:textId="20BE1D1C" w:rsidR="004D7953" w:rsidRPr="004D7953" w:rsidRDefault="004D7953" w:rsidP="004D7953">
          <w:pPr>
            <w:pStyle w:val="TOC2"/>
            <w:tabs>
              <w:tab w:val="right" w:leader="dot" w:pos="8656"/>
            </w:tabs>
            <w:spacing w:line="360" w:lineRule="auto"/>
            <w:rPr>
              <w:rFonts w:ascii="Arial" w:eastAsiaTheme="minorEastAsia" w:hAnsi="Arial" w:cs="Arial"/>
              <w:noProof/>
              <w:sz w:val="22"/>
              <w:szCs w:val="22"/>
            </w:rPr>
          </w:pPr>
          <w:hyperlink w:anchor="_Toc235711870" w:history="1">
            <w:r w:rsidRPr="004D7953">
              <w:rPr>
                <w:rStyle w:val="Hyperlink"/>
                <w:rFonts w:ascii="Arial" w:hAnsi="Arial" w:cs="Arial"/>
                <w:noProof/>
              </w:rPr>
              <w:t>1.2 External Marketing Environment Actor 1: The Natural Environment</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_Toc235711870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4</w:t>
            </w:r>
            <w:r w:rsidRPr="004D7953">
              <w:rPr>
                <w:rFonts w:ascii="Arial" w:hAnsi="Arial" w:cs="Arial"/>
                <w:noProof/>
                <w:webHidden/>
              </w:rPr>
              <w:fldChar w:fldCharType="end"/>
            </w:r>
          </w:hyperlink>
        </w:p>
        <w:p w14:paraId="3E9CFF18" w14:textId="09EC7AC3" w:rsidR="004D7953" w:rsidRPr="004D7953" w:rsidRDefault="004D7953" w:rsidP="004D7953">
          <w:pPr>
            <w:pStyle w:val="TOC2"/>
            <w:tabs>
              <w:tab w:val="right" w:leader="dot" w:pos="8656"/>
            </w:tabs>
            <w:spacing w:line="360" w:lineRule="auto"/>
            <w:rPr>
              <w:rFonts w:ascii="Arial" w:eastAsiaTheme="minorEastAsia" w:hAnsi="Arial" w:cs="Arial"/>
              <w:noProof/>
              <w:sz w:val="22"/>
              <w:szCs w:val="22"/>
            </w:rPr>
          </w:pPr>
          <w:hyperlink w:anchor="_Toc235711871" w:history="1">
            <w:r w:rsidRPr="004D7953">
              <w:rPr>
                <w:rStyle w:val="Hyperlink"/>
                <w:rFonts w:ascii="Arial" w:hAnsi="Arial" w:cs="Arial"/>
                <w:noProof/>
              </w:rPr>
              <w:t>1.3 External Marketing Environment Actor 2: Political and Regulatory Environment</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_Toc235711871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6</w:t>
            </w:r>
            <w:r w:rsidRPr="004D7953">
              <w:rPr>
                <w:rFonts w:ascii="Arial" w:hAnsi="Arial" w:cs="Arial"/>
                <w:noProof/>
                <w:webHidden/>
              </w:rPr>
              <w:fldChar w:fldCharType="end"/>
            </w:r>
          </w:hyperlink>
        </w:p>
        <w:p w14:paraId="27F31C01" w14:textId="0C804B72" w:rsidR="004D7953" w:rsidRPr="004D7953" w:rsidRDefault="004D7953" w:rsidP="004D7953">
          <w:pPr>
            <w:pStyle w:val="TOC1"/>
            <w:tabs>
              <w:tab w:val="right" w:leader="dot" w:pos="8656"/>
            </w:tabs>
            <w:spacing w:line="360" w:lineRule="auto"/>
            <w:rPr>
              <w:rFonts w:ascii="Arial" w:eastAsiaTheme="minorEastAsia" w:hAnsi="Arial" w:cs="Arial"/>
              <w:noProof/>
              <w:sz w:val="22"/>
              <w:szCs w:val="22"/>
            </w:rPr>
          </w:pPr>
          <w:hyperlink w:anchor="_Toc235711872" w:history="1">
            <w:r w:rsidRPr="004D7953">
              <w:rPr>
                <w:rStyle w:val="Hyperlink"/>
                <w:rFonts w:ascii="Arial" w:hAnsi="Arial" w:cs="Arial"/>
                <w:noProof/>
              </w:rPr>
              <w:t>TASK 2: STRATEGIC GROWTH AND COMPETITIVE POSITIONING</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_Toc235711872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9</w:t>
            </w:r>
            <w:r w:rsidRPr="004D7953">
              <w:rPr>
                <w:rFonts w:ascii="Arial" w:hAnsi="Arial" w:cs="Arial"/>
                <w:noProof/>
                <w:webHidden/>
              </w:rPr>
              <w:fldChar w:fldCharType="end"/>
            </w:r>
          </w:hyperlink>
        </w:p>
        <w:p w14:paraId="34861580" w14:textId="02529BC1" w:rsidR="004D7953" w:rsidRPr="004D7953" w:rsidRDefault="004D7953" w:rsidP="004D7953">
          <w:pPr>
            <w:pStyle w:val="TOC2"/>
            <w:tabs>
              <w:tab w:val="right" w:leader="dot" w:pos="8656"/>
            </w:tabs>
            <w:spacing w:line="360" w:lineRule="auto"/>
            <w:rPr>
              <w:rFonts w:ascii="Arial" w:eastAsiaTheme="minorEastAsia" w:hAnsi="Arial" w:cs="Arial"/>
              <w:noProof/>
              <w:sz w:val="22"/>
              <w:szCs w:val="22"/>
            </w:rPr>
          </w:pPr>
          <w:hyperlink w:anchor="_Toc235711873" w:history="1">
            <w:r w:rsidRPr="004D7953">
              <w:rPr>
                <w:rStyle w:val="Hyperlink"/>
                <w:rFonts w:ascii="Arial" w:hAnsi="Arial" w:cs="Arial"/>
                <w:noProof/>
              </w:rPr>
              <w:t>2.1 Strategic Growth Recommendation Using the Ansoff Matrix</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_Toc235711873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9</w:t>
            </w:r>
            <w:r w:rsidRPr="004D7953">
              <w:rPr>
                <w:rFonts w:ascii="Arial" w:hAnsi="Arial" w:cs="Arial"/>
                <w:noProof/>
                <w:webHidden/>
              </w:rPr>
              <w:fldChar w:fldCharType="end"/>
            </w:r>
          </w:hyperlink>
        </w:p>
        <w:p w14:paraId="16F39FC0" w14:textId="0F7C232E" w:rsidR="004D7953" w:rsidRPr="004D7953" w:rsidRDefault="004D7953" w:rsidP="004D7953">
          <w:pPr>
            <w:pStyle w:val="TOC2"/>
            <w:tabs>
              <w:tab w:val="right" w:leader="dot" w:pos="8656"/>
            </w:tabs>
            <w:spacing w:line="360" w:lineRule="auto"/>
            <w:rPr>
              <w:rFonts w:ascii="Arial" w:eastAsiaTheme="minorEastAsia" w:hAnsi="Arial" w:cs="Arial"/>
              <w:noProof/>
              <w:sz w:val="22"/>
              <w:szCs w:val="22"/>
            </w:rPr>
          </w:pPr>
          <w:hyperlink w:anchor="_Toc235711874" w:history="1">
            <w:r w:rsidRPr="004D7953">
              <w:rPr>
                <w:rStyle w:val="Hyperlink"/>
                <w:rFonts w:ascii="Arial" w:hAnsi="Arial" w:cs="Arial"/>
                <w:noProof/>
              </w:rPr>
              <w:t>2.2 Competitive Advantage Through a Lower-Carbon Business Model</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_Toc235711874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11</w:t>
            </w:r>
            <w:r w:rsidRPr="004D7953">
              <w:rPr>
                <w:rFonts w:ascii="Arial" w:hAnsi="Arial" w:cs="Arial"/>
                <w:noProof/>
                <w:webHidden/>
              </w:rPr>
              <w:fldChar w:fldCharType="end"/>
            </w:r>
          </w:hyperlink>
        </w:p>
        <w:p w14:paraId="1B4450D5" w14:textId="448613C8" w:rsidR="004D7953" w:rsidRPr="004D7953" w:rsidRDefault="004D7953" w:rsidP="004D7953">
          <w:pPr>
            <w:pStyle w:val="TOC1"/>
            <w:tabs>
              <w:tab w:val="right" w:leader="dot" w:pos="8656"/>
            </w:tabs>
            <w:spacing w:line="360" w:lineRule="auto"/>
            <w:rPr>
              <w:rFonts w:ascii="Arial" w:eastAsiaTheme="minorEastAsia" w:hAnsi="Arial" w:cs="Arial"/>
              <w:noProof/>
              <w:sz w:val="22"/>
              <w:szCs w:val="22"/>
            </w:rPr>
          </w:pPr>
          <w:hyperlink w:anchor="_Toc235711875" w:history="1">
            <w:r w:rsidRPr="004D7953">
              <w:rPr>
                <w:rStyle w:val="Hyperlink"/>
                <w:rFonts w:ascii="Arial" w:hAnsi="Arial" w:cs="Arial"/>
                <w:noProof/>
              </w:rPr>
              <w:t>TASK 3: CRITICAL REFLECTION ON AI USAGE</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_Toc235711875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13</w:t>
            </w:r>
            <w:r w:rsidRPr="004D7953">
              <w:rPr>
                <w:rFonts w:ascii="Arial" w:hAnsi="Arial" w:cs="Arial"/>
                <w:noProof/>
                <w:webHidden/>
              </w:rPr>
              <w:fldChar w:fldCharType="end"/>
            </w:r>
          </w:hyperlink>
        </w:p>
        <w:p w14:paraId="26DDCB2E" w14:textId="2E8D01C1" w:rsidR="004D7953" w:rsidRPr="004D7953" w:rsidRDefault="004D7953" w:rsidP="004D7953">
          <w:pPr>
            <w:pStyle w:val="TOC3"/>
            <w:tabs>
              <w:tab w:val="right" w:leader="dot" w:pos="8656"/>
            </w:tabs>
            <w:spacing w:line="360" w:lineRule="auto"/>
            <w:rPr>
              <w:rFonts w:ascii="Arial" w:eastAsiaTheme="minorEastAsia" w:hAnsi="Arial" w:cs="Arial"/>
              <w:noProof/>
              <w:sz w:val="22"/>
              <w:szCs w:val="22"/>
            </w:rPr>
          </w:pPr>
          <w:hyperlink w:anchor="_Toc235711876" w:history="1">
            <w:r w:rsidRPr="004D7953">
              <w:rPr>
                <w:rStyle w:val="Hyperlink"/>
                <w:rFonts w:ascii="Arial" w:hAnsi="Arial" w:cs="Arial"/>
                <w:bCs/>
                <w:noProof/>
              </w:rPr>
              <w:t>3.1 Tool Disclosure</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_Toc235711876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13</w:t>
            </w:r>
            <w:r w:rsidRPr="004D7953">
              <w:rPr>
                <w:rFonts w:ascii="Arial" w:hAnsi="Arial" w:cs="Arial"/>
                <w:noProof/>
                <w:webHidden/>
              </w:rPr>
              <w:fldChar w:fldCharType="end"/>
            </w:r>
          </w:hyperlink>
        </w:p>
        <w:p w14:paraId="25C86859" w14:textId="70562436" w:rsidR="004D7953" w:rsidRPr="004D7953" w:rsidRDefault="004D7953" w:rsidP="004D7953">
          <w:pPr>
            <w:pStyle w:val="TOC3"/>
            <w:tabs>
              <w:tab w:val="right" w:leader="dot" w:pos="8656"/>
            </w:tabs>
            <w:spacing w:line="360" w:lineRule="auto"/>
            <w:rPr>
              <w:rFonts w:ascii="Arial" w:eastAsiaTheme="minorEastAsia" w:hAnsi="Arial" w:cs="Arial"/>
              <w:noProof/>
              <w:sz w:val="22"/>
              <w:szCs w:val="22"/>
            </w:rPr>
          </w:pPr>
          <w:hyperlink w:anchor="_Toc235711877" w:history="1">
            <w:r w:rsidRPr="004D7953">
              <w:rPr>
                <w:rStyle w:val="Hyperlink"/>
                <w:rFonts w:ascii="Arial" w:hAnsi="Arial" w:cs="Arial"/>
                <w:bCs/>
                <w:noProof/>
              </w:rPr>
              <w:t>3.2 Critical Evaluation of AI Output</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_Toc235711877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13</w:t>
            </w:r>
            <w:r w:rsidRPr="004D7953">
              <w:rPr>
                <w:rFonts w:ascii="Arial" w:hAnsi="Arial" w:cs="Arial"/>
                <w:noProof/>
                <w:webHidden/>
              </w:rPr>
              <w:fldChar w:fldCharType="end"/>
            </w:r>
          </w:hyperlink>
        </w:p>
        <w:p w14:paraId="1457E07F" w14:textId="11C33DE5" w:rsidR="004D7953" w:rsidRPr="004D7953" w:rsidRDefault="004D7953" w:rsidP="004D7953">
          <w:pPr>
            <w:pStyle w:val="TOC3"/>
            <w:tabs>
              <w:tab w:val="right" w:leader="dot" w:pos="8656"/>
            </w:tabs>
            <w:spacing w:line="360" w:lineRule="auto"/>
            <w:rPr>
              <w:rFonts w:ascii="Arial" w:eastAsiaTheme="minorEastAsia" w:hAnsi="Arial" w:cs="Arial"/>
              <w:noProof/>
              <w:sz w:val="22"/>
              <w:szCs w:val="22"/>
            </w:rPr>
          </w:pPr>
          <w:hyperlink w:anchor="_Toc235711878" w:history="1">
            <w:r w:rsidRPr="004D7953">
              <w:rPr>
                <w:rStyle w:val="Hyperlink"/>
                <w:rFonts w:ascii="Arial" w:hAnsi="Arial" w:cs="Arial"/>
                <w:bCs/>
                <w:noProof/>
              </w:rPr>
              <w:t>3.3 Contribution Analysis</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_Toc235711878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13</w:t>
            </w:r>
            <w:r w:rsidRPr="004D7953">
              <w:rPr>
                <w:rFonts w:ascii="Arial" w:hAnsi="Arial" w:cs="Arial"/>
                <w:noProof/>
                <w:webHidden/>
              </w:rPr>
              <w:fldChar w:fldCharType="end"/>
            </w:r>
          </w:hyperlink>
        </w:p>
        <w:p w14:paraId="0A4C2A87" w14:textId="3B9E3033" w:rsidR="004D7953" w:rsidRPr="004D7953" w:rsidRDefault="004D7953" w:rsidP="004D7953">
          <w:pPr>
            <w:pStyle w:val="TOC3"/>
            <w:tabs>
              <w:tab w:val="right" w:leader="dot" w:pos="8656"/>
            </w:tabs>
            <w:spacing w:line="360" w:lineRule="auto"/>
            <w:rPr>
              <w:rFonts w:ascii="Arial" w:eastAsiaTheme="minorEastAsia" w:hAnsi="Arial" w:cs="Arial"/>
              <w:noProof/>
              <w:sz w:val="22"/>
              <w:szCs w:val="22"/>
            </w:rPr>
          </w:pPr>
          <w:hyperlink w:anchor="_Toc235711879" w:history="1">
            <w:r w:rsidRPr="004D7953">
              <w:rPr>
                <w:rStyle w:val="Hyperlink"/>
                <w:rFonts w:ascii="Arial" w:hAnsi="Arial" w:cs="Arial"/>
                <w:bCs/>
                <w:noProof/>
              </w:rPr>
              <w:t>3.4 Ethical and Professional Reflection</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_Toc235711879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14</w:t>
            </w:r>
            <w:r w:rsidRPr="004D7953">
              <w:rPr>
                <w:rFonts w:ascii="Arial" w:hAnsi="Arial" w:cs="Arial"/>
                <w:noProof/>
                <w:webHidden/>
              </w:rPr>
              <w:fldChar w:fldCharType="end"/>
            </w:r>
          </w:hyperlink>
        </w:p>
        <w:p w14:paraId="27082DF9" w14:textId="3F6820A6" w:rsidR="004D7953" w:rsidRPr="004D7953" w:rsidRDefault="004D7953" w:rsidP="004D7953">
          <w:pPr>
            <w:pStyle w:val="TOC1"/>
            <w:tabs>
              <w:tab w:val="right" w:leader="dot" w:pos="8656"/>
            </w:tabs>
            <w:spacing w:line="360" w:lineRule="auto"/>
            <w:rPr>
              <w:rFonts w:ascii="Arial" w:eastAsiaTheme="minorEastAsia" w:hAnsi="Arial" w:cs="Arial"/>
              <w:noProof/>
              <w:sz w:val="22"/>
              <w:szCs w:val="22"/>
            </w:rPr>
          </w:pPr>
          <w:hyperlink w:anchor="_Toc235711880" w:history="1">
            <w:r w:rsidRPr="004D7953">
              <w:rPr>
                <w:rStyle w:val="Hyperlink"/>
                <w:rFonts w:ascii="Arial" w:hAnsi="Arial" w:cs="Arial"/>
                <w:noProof/>
              </w:rPr>
              <w:t>REFERENCE LIST</w:t>
            </w:r>
            <w:r w:rsidRPr="004D7953">
              <w:rPr>
                <w:rFonts w:ascii="Arial" w:hAnsi="Arial" w:cs="Arial"/>
                <w:noProof/>
                <w:webHidden/>
              </w:rPr>
              <w:tab/>
            </w:r>
            <w:r w:rsidRPr="004D7953">
              <w:rPr>
                <w:rFonts w:ascii="Arial" w:hAnsi="Arial" w:cs="Arial"/>
                <w:noProof/>
                <w:webHidden/>
              </w:rPr>
              <w:fldChar w:fldCharType="begin"/>
            </w:r>
            <w:r w:rsidRPr="004D7953">
              <w:rPr>
                <w:rFonts w:ascii="Arial" w:hAnsi="Arial" w:cs="Arial"/>
                <w:noProof/>
                <w:webHidden/>
              </w:rPr>
              <w:instrText xml:space="preserve"> PAGEREF _Toc235711880 \h </w:instrText>
            </w:r>
            <w:r w:rsidRPr="004D7953">
              <w:rPr>
                <w:rFonts w:ascii="Arial" w:hAnsi="Arial" w:cs="Arial"/>
                <w:noProof/>
                <w:webHidden/>
              </w:rPr>
            </w:r>
            <w:r w:rsidRPr="004D7953">
              <w:rPr>
                <w:rFonts w:ascii="Arial" w:hAnsi="Arial" w:cs="Arial"/>
                <w:noProof/>
                <w:webHidden/>
              </w:rPr>
              <w:fldChar w:fldCharType="separate"/>
            </w:r>
            <w:r w:rsidRPr="004D7953">
              <w:rPr>
                <w:rFonts w:ascii="Arial" w:hAnsi="Arial" w:cs="Arial"/>
                <w:noProof/>
                <w:webHidden/>
              </w:rPr>
              <w:t>15</w:t>
            </w:r>
            <w:r w:rsidRPr="004D7953">
              <w:rPr>
                <w:rFonts w:ascii="Arial" w:hAnsi="Arial" w:cs="Arial"/>
                <w:noProof/>
                <w:webHidden/>
              </w:rPr>
              <w:fldChar w:fldCharType="end"/>
            </w:r>
          </w:hyperlink>
        </w:p>
        <w:p w14:paraId="511F4309" w14:textId="6B1D9647" w:rsidR="000735A4" w:rsidRPr="00AE612C" w:rsidRDefault="000735A4" w:rsidP="004D7953">
          <w:pPr>
            <w:spacing w:line="360" w:lineRule="auto"/>
            <w:jc w:val="both"/>
            <w:rPr>
              <w:rFonts w:ascii="Arial" w:hAnsi="Arial" w:cs="Arial"/>
            </w:rPr>
          </w:pPr>
          <w:r w:rsidRPr="004D7953">
            <w:rPr>
              <w:rFonts w:ascii="Arial" w:hAnsi="Arial" w:cs="Arial"/>
              <w:bCs/>
              <w:noProof/>
            </w:rPr>
            <w:fldChar w:fldCharType="end"/>
          </w:r>
        </w:p>
      </w:sdtContent>
    </w:sdt>
    <w:p w14:paraId="41AD8577" w14:textId="77777777" w:rsidR="000735A4" w:rsidRPr="00AE612C" w:rsidRDefault="000735A4" w:rsidP="00AE612C">
      <w:pPr>
        <w:spacing w:line="360" w:lineRule="auto"/>
        <w:rPr>
          <w:rFonts w:ascii="Arial" w:hAnsi="Arial" w:cs="Arial"/>
          <w:b/>
          <w:bCs/>
          <w:color w:val="000000" w:themeColor="text1"/>
        </w:rPr>
      </w:pPr>
      <w:r w:rsidRPr="00AE612C">
        <w:rPr>
          <w:rFonts w:ascii="Arial" w:hAnsi="Arial" w:cs="Arial"/>
          <w:color w:val="000000" w:themeColor="text1"/>
        </w:rPr>
        <w:br w:type="page"/>
      </w:r>
    </w:p>
    <w:p w14:paraId="3F656D3A" w14:textId="179EC9B9" w:rsidR="00867966" w:rsidRPr="00AE612C" w:rsidRDefault="004716FB" w:rsidP="00AE612C">
      <w:pPr>
        <w:pStyle w:val="Heading1"/>
        <w:rPr>
          <w:rFonts w:ascii="Arial" w:hAnsi="Arial" w:cs="Arial"/>
          <w:color w:val="000000" w:themeColor="text1"/>
          <w:sz w:val="24"/>
          <w:szCs w:val="24"/>
        </w:rPr>
      </w:pPr>
      <w:bookmarkStart w:id="0" w:name="_Toc235711868"/>
      <w:r w:rsidRPr="00AE612C">
        <w:rPr>
          <w:rFonts w:ascii="Arial" w:hAnsi="Arial" w:cs="Arial"/>
          <w:color w:val="000000" w:themeColor="text1"/>
          <w:sz w:val="24"/>
          <w:szCs w:val="24"/>
        </w:rPr>
        <w:lastRenderedPageBreak/>
        <w:t>TASK 1: MARKETING ENVIRONMENT ANALYSIS</w:t>
      </w:r>
      <w:bookmarkEnd w:id="0"/>
    </w:p>
    <w:p w14:paraId="21409129" w14:textId="77777777" w:rsidR="00867966" w:rsidRPr="00AE612C" w:rsidRDefault="004716FB" w:rsidP="00AE612C">
      <w:pPr>
        <w:pStyle w:val="Heading2"/>
        <w:rPr>
          <w:rFonts w:ascii="Arial" w:hAnsi="Arial" w:cs="Arial"/>
          <w:color w:val="000000" w:themeColor="text1"/>
          <w:sz w:val="24"/>
          <w:szCs w:val="24"/>
        </w:rPr>
      </w:pPr>
      <w:bookmarkStart w:id="1" w:name="_Toc235711869"/>
      <w:r w:rsidRPr="00AE612C">
        <w:rPr>
          <w:rFonts w:ascii="Arial" w:hAnsi="Arial" w:cs="Arial"/>
          <w:color w:val="000000" w:themeColor="text1"/>
          <w:sz w:val="24"/>
          <w:szCs w:val="24"/>
        </w:rPr>
        <w:t>1.1 Company Selection and Context</w:t>
      </w:r>
      <w:bookmarkEnd w:id="1"/>
    </w:p>
    <w:p w14:paraId="6B14279E" w14:textId="03418A70" w:rsidR="00BB5D22" w:rsidRDefault="00BB5D22"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Codelco, known as the Copper Corporation of Chile, is the largest copper miner in the world, producing around 10% of the world's copper supply (codelco.com, 2026b). It is state controlled, headquartered in Santiago, Chile and has 8 mining divisions along with a number of subsidiary projects across South America where its copper reserves are estimated to be more than 30% of the whole country's national endowment. </w:t>
      </w:r>
    </w:p>
    <w:p w14:paraId="0468AF7A" w14:textId="7E0A3CF9" w:rsidR="00917AC8" w:rsidRDefault="00917AC8" w:rsidP="00917AC8">
      <w:pPr>
        <w:spacing w:before="100" w:after="100" w:line="360" w:lineRule="auto"/>
        <w:rPr>
          <w:rFonts w:ascii="Arial" w:hAnsi="Arial" w:cs="Arial"/>
          <w:color w:val="000000" w:themeColor="text1"/>
        </w:rPr>
      </w:pPr>
      <w:r w:rsidRPr="00917AC8">
        <w:rPr>
          <w:rFonts w:ascii="Arial" w:hAnsi="Arial" w:cs="Arial"/>
          <w:noProof/>
          <w:color w:val="000000" w:themeColor="text1"/>
        </w:rPr>
        <w:drawing>
          <wp:inline distT="0" distB="0" distL="0" distR="0" wp14:anchorId="2E4C1E97" wp14:editId="797B5B97">
            <wp:extent cx="5502910" cy="50812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02910" cy="5081270"/>
                    </a:xfrm>
                    <a:prstGeom prst="rect">
                      <a:avLst/>
                    </a:prstGeom>
                  </pic:spPr>
                </pic:pic>
              </a:graphicData>
            </a:graphic>
          </wp:inline>
        </w:drawing>
      </w:r>
    </w:p>
    <w:p w14:paraId="69D21191" w14:textId="13CA8C05" w:rsidR="00917AC8" w:rsidRDefault="00917AC8" w:rsidP="00917AC8">
      <w:pPr>
        <w:spacing w:before="100" w:after="100" w:line="360" w:lineRule="auto"/>
        <w:jc w:val="center"/>
        <w:rPr>
          <w:rFonts w:ascii="Arial" w:hAnsi="Arial" w:cs="Arial"/>
          <w:color w:val="000000" w:themeColor="text1"/>
        </w:rPr>
      </w:pPr>
      <w:r>
        <w:rPr>
          <w:rFonts w:ascii="Arial" w:hAnsi="Arial" w:cs="Arial"/>
          <w:color w:val="000000" w:themeColor="text1"/>
        </w:rPr>
        <w:t>Figure 1: Investment portfolio of Codelco</w:t>
      </w:r>
    </w:p>
    <w:p w14:paraId="5C6A586F" w14:textId="50E27D17" w:rsidR="00917AC8" w:rsidRPr="00AE612C" w:rsidRDefault="00917AC8" w:rsidP="00917AC8">
      <w:pPr>
        <w:spacing w:before="100" w:after="100" w:line="360" w:lineRule="auto"/>
        <w:jc w:val="center"/>
        <w:rPr>
          <w:rFonts w:ascii="Arial" w:hAnsi="Arial" w:cs="Arial"/>
          <w:color w:val="000000" w:themeColor="text1"/>
        </w:rPr>
      </w:pPr>
      <w:r>
        <w:rPr>
          <w:rFonts w:ascii="Arial" w:hAnsi="Arial" w:cs="Arial"/>
          <w:color w:val="000000" w:themeColor="text1"/>
        </w:rPr>
        <w:t>(</w:t>
      </w:r>
      <w:r w:rsidRPr="00917AC8">
        <w:rPr>
          <w:rFonts w:ascii="Arial" w:hAnsi="Arial" w:cs="Arial"/>
          <w:color w:val="000000" w:themeColor="text1"/>
        </w:rPr>
        <w:t xml:space="preserve">Source: </w:t>
      </w:r>
      <w:r w:rsidRPr="00917AC8">
        <w:rPr>
          <w:rFonts w:ascii="Arial" w:hAnsi="Arial" w:cs="Arial"/>
          <w:color w:val="000000"/>
        </w:rPr>
        <w:t>Gbreports.com, 2021</w:t>
      </w:r>
      <w:r>
        <w:rPr>
          <w:rFonts w:ascii="Arial" w:hAnsi="Arial" w:cs="Arial"/>
          <w:color w:val="000000" w:themeColor="text1"/>
        </w:rPr>
        <w:t>)</w:t>
      </w:r>
    </w:p>
    <w:p w14:paraId="6C9041A5" w14:textId="6C651D1E" w:rsidR="00867966" w:rsidRPr="00AE612C" w:rsidRDefault="00BB5D22"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Codelco is in a key strategic position in the energy transition. All of these technologies especially electric vehicles (EVs), renewable energy systems and </w:t>
      </w:r>
      <w:r w:rsidRPr="00AE612C">
        <w:rPr>
          <w:rFonts w:ascii="Arial" w:hAnsi="Arial" w:cs="Arial"/>
          <w:color w:val="000000" w:themeColor="text1"/>
        </w:rPr>
        <w:lastRenderedPageBreak/>
        <w:t>smart grid technologies which are experiencing exponential demand growth, rely on copper. Recognizing this, Codelco has taken the 2030 Sustainability Strategy which includes the goal of lowering the absolute consumption of Green House Gases (GHG) by 70% by 2030, compared to 2020 (Codelco.com 2022). At the same time the company is under significant stress from water shortages, infrastructure that is in need of upgrades and falling ore grades, all of which pose obstacles on their journey to improved sustainability and potential sleepless nights for shareholders.</w:t>
      </w:r>
    </w:p>
    <w:p w14:paraId="00D4D48A" w14:textId="77777777" w:rsidR="00867966" w:rsidRPr="00AE612C" w:rsidRDefault="004716FB" w:rsidP="00AE612C">
      <w:pPr>
        <w:pStyle w:val="Heading2"/>
        <w:rPr>
          <w:rFonts w:ascii="Arial" w:hAnsi="Arial" w:cs="Arial"/>
          <w:color w:val="000000" w:themeColor="text1"/>
          <w:sz w:val="24"/>
          <w:szCs w:val="24"/>
        </w:rPr>
      </w:pPr>
      <w:bookmarkStart w:id="2" w:name="_Toc235711870"/>
      <w:r w:rsidRPr="00AE612C">
        <w:rPr>
          <w:rFonts w:ascii="Arial" w:hAnsi="Arial" w:cs="Arial"/>
          <w:color w:val="000000" w:themeColor="text1"/>
          <w:sz w:val="24"/>
          <w:szCs w:val="24"/>
        </w:rPr>
        <w:t>1.2 External Marketing Environment Actor 1: The Natural Environment</w:t>
      </w:r>
      <w:bookmarkEnd w:id="2"/>
    </w:p>
    <w:p w14:paraId="5E6EE970" w14:textId="0B17630D" w:rsidR="00867966" w:rsidRPr="00AE612C" w:rsidRDefault="00BB5D22"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most important and most structurally-impactful external force affecting Codelco's marketing environment and strategic positioning over time is the natural environment. The natural environment is an irreversible force as it imposes absolute physical limitations on the company's operational and commercial capacities, placing limitations that are not subject to regulation or technology.</w:t>
      </w:r>
    </w:p>
    <w:p w14:paraId="4AFD3586"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Resource Scarcity and Declining Ore Grades</w:t>
      </w:r>
    </w:p>
    <w:p w14:paraId="3ECE4E11" w14:textId="2E227D2A" w:rsidR="0030399D"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continuing decline in the average quality of these copper ores is one of the most serious challenges natural environment faced by Codelco. The average grade of copper ores decreased from about 1.2% in the early 2000's to less than 0.7% today (Hidayat, 2025). In a similar way, Codelco's ore grade has also suffered, decreasing from 1.0% to 0.7% of grade between 2010 and 2022, thus needing much higher energy and water use relative to output (Codelco.com, 2023). This reality seizes the conflict as more copper is being needed for decarbonisation, but producing copper consumes more and more resources and with more and more environmental impact which has the potential to impact on the company's operations and its green credentials.</w:t>
      </w:r>
    </w:p>
    <w:p w14:paraId="7C28834E" w14:textId="2D0FAE99" w:rsidR="00917AC8" w:rsidRDefault="00917AC8" w:rsidP="00917AC8">
      <w:pPr>
        <w:spacing w:before="100" w:after="100" w:line="360" w:lineRule="auto"/>
        <w:rPr>
          <w:rFonts w:ascii="Arial" w:hAnsi="Arial" w:cs="Arial"/>
          <w:color w:val="000000" w:themeColor="text1"/>
        </w:rPr>
      </w:pPr>
      <w:r w:rsidRPr="00917AC8">
        <w:rPr>
          <w:rFonts w:ascii="Arial" w:hAnsi="Arial" w:cs="Arial"/>
          <w:noProof/>
          <w:color w:val="000000" w:themeColor="text1"/>
        </w:rPr>
        <w:lastRenderedPageBreak/>
        <w:drawing>
          <wp:inline distT="0" distB="0" distL="0" distR="0" wp14:anchorId="33000C84" wp14:editId="3F14FF92">
            <wp:extent cx="5502910" cy="31864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02910" cy="3186430"/>
                    </a:xfrm>
                    <a:prstGeom prst="rect">
                      <a:avLst/>
                    </a:prstGeom>
                  </pic:spPr>
                </pic:pic>
              </a:graphicData>
            </a:graphic>
          </wp:inline>
        </w:drawing>
      </w:r>
    </w:p>
    <w:p w14:paraId="5A8193AF" w14:textId="77777777" w:rsidR="00917AC8" w:rsidRDefault="00917AC8" w:rsidP="00917AC8">
      <w:pPr>
        <w:spacing w:before="100" w:after="100" w:line="360" w:lineRule="auto"/>
        <w:jc w:val="center"/>
        <w:rPr>
          <w:rFonts w:ascii="Arial" w:hAnsi="Arial" w:cs="Arial"/>
          <w:color w:val="000000" w:themeColor="text1"/>
        </w:rPr>
      </w:pPr>
      <w:r>
        <w:rPr>
          <w:rFonts w:ascii="Arial" w:hAnsi="Arial" w:cs="Arial"/>
          <w:color w:val="000000" w:themeColor="text1"/>
        </w:rPr>
        <w:t>Figure 2: Average copper ore head grades</w:t>
      </w:r>
    </w:p>
    <w:p w14:paraId="4DA9FB19" w14:textId="1D730E10" w:rsidR="00917AC8" w:rsidRPr="00AE612C" w:rsidRDefault="00917AC8" w:rsidP="00917AC8">
      <w:pPr>
        <w:spacing w:before="100" w:after="100" w:line="360" w:lineRule="auto"/>
        <w:jc w:val="center"/>
        <w:rPr>
          <w:rFonts w:ascii="Arial" w:hAnsi="Arial" w:cs="Arial"/>
          <w:color w:val="000000" w:themeColor="text1"/>
        </w:rPr>
      </w:pPr>
      <w:r>
        <w:rPr>
          <w:rFonts w:ascii="Arial" w:hAnsi="Arial" w:cs="Arial"/>
          <w:color w:val="000000" w:themeColor="text1"/>
        </w:rPr>
        <w:t>(Source</w:t>
      </w:r>
      <w:r w:rsidRPr="00917AC8">
        <w:rPr>
          <w:rFonts w:ascii="Arial" w:hAnsi="Arial" w:cs="Arial"/>
          <w:color w:val="000000" w:themeColor="text1"/>
        </w:rPr>
        <w:t xml:space="preserve">: </w:t>
      </w:r>
      <w:r w:rsidRPr="00917AC8">
        <w:rPr>
          <w:rFonts w:ascii="Arial" w:hAnsi="Arial" w:cs="Arial"/>
          <w:color w:val="000000"/>
        </w:rPr>
        <w:t>streetwisereports.com, 2022</w:t>
      </w:r>
      <w:r w:rsidRPr="00917AC8">
        <w:rPr>
          <w:rFonts w:ascii="Arial" w:hAnsi="Arial" w:cs="Arial"/>
          <w:color w:val="000000" w:themeColor="text1"/>
        </w:rPr>
        <w:t>)</w:t>
      </w:r>
    </w:p>
    <w:p w14:paraId="49D67A70" w14:textId="6B45277E"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Declining ore grades on the other hand offer an opportunity to compete. Codelco's ongoing investment in hydrometallurgical processing and in sulphide ore technologies has enabled it to build a competitive position to access low grade deposits that are not economically viable for smaller miners to access. This gives rise to an opportunity for differentiation arising from technological capability (Schipper et al., 2018).</w:t>
      </w:r>
    </w:p>
    <w:p w14:paraId="12E3FA28"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Water Scarcity in the Atacama Region</w:t>
      </w:r>
    </w:p>
    <w:p w14:paraId="33ABB9D5" w14:textId="370942BA" w:rsidR="0030399D"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Codelco's main mining areas lie in the Atacama Desert and </w:t>
      </w:r>
      <w:proofErr w:type="spellStart"/>
      <w:r w:rsidRPr="00AE612C">
        <w:rPr>
          <w:rFonts w:ascii="Arial" w:hAnsi="Arial" w:cs="Arial"/>
          <w:color w:val="000000" w:themeColor="text1"/>
        </w:rPr>
        <w:t>neighboring</w:t>
      </w:r>
      <w:proofErr w:type="spellEnd"/>
      <w:r w:rsidRPr="00AE612C">
        <w:rPr>
          <w:rFonts w:ascii="Arial" w:hAnsi="Arial" w:cs="Arial"/>
          <w:color w:val="000000" w:themeColor="text1"/>
        </w:rPr>
        <w:t xml:space="preserve"> hyper-arid regions which are amongst the water-stressed regions in the world. Average annual rainfall is less than 15 mm in the Atacama and the groundwater resources are being accessed at a rate that is greater than natural recharge (Liu et al., 2018). Abstraction of this water supply is a vital resource for Chuquicamata and El Teniente operations and is increasingly linked to a conflict between the Indigenous people and agricultural users and is a serious threat. Material reductions in output are possible if regulations limit water use, as has been the case lately in light of the constitutional reform process in Chile.</w:t>
      </w:r>
    </w:p>
    <w:p w14:paraId="2F8A4885" w14:textId="4D887C87"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Topics of water resource access in Oceans &amp; Rectory, however, have also led to strategic opportunity with Codelco having </w:t>
      </w:r>
      <w:proofErr w:type="spellStart"/>
      <w:r w:rsidRPr="00AE612C">
        <w:rPr>
          <w:rFonts w:ascii="Arial" w:hAnsi="Arial" w:cs="Arial"/>
          <w:color w:val="000000" w:themeColor="text1"/>
        </w:rPr>
        <w:t>investiment</w:t>
      </w:r>
      <w:proofErr w:type="spellEnd"/>
      <w:r w:rsidRPr="00AE612C">
        <w:rPr>
          <w:rFonts w:ascii="Arial" w:hAnsi="Arial" w:cs="Arial"/>
          <w:color w:val="000000" w:themeColor="text1"/>
        </w:rPr>
        <w:t xml:space="preserve"> of more than USD 5 billion </w:t>
      </w:r>
      <w:r w:rsidRPr="00AE612C">
        <w:rPr>
          <w:rFonts w:ascii="Arial" w:hAnsi="Arial" w:cs="Arial"/>
          <w:color w:val="000000" w:themeColor="text1"/>
        </w:rPr>
        <w:lastRenderedPageBreak/>
        <w:t xml:space="preserve">in seawater desalination facility development until 2027 with a commitment to sourcing 90% of water (Codelco.com, 2026b). </w:t>
      </w:r>
    </w:p>
    <w:p w14:paraId="2F866FCE"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Climate Change, Carbon Regulation, and Biodiversity Pressures</w:t>
      </w:r>
    </w:p>
    <w:p w14:paraId="03715A27" w14:textId="397485F2" w:rsidR="0030399D"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Climate change is a double challenge for Codelco's activities. On the demand side, changes in precipitation and melting glaciers are also compromising water supply. On the supply-side, changing rain patterns and glacial melting are impacting water supply. On the supply side, carbon pricing instruments (Chile has implemented a carbon tax of USD 5 per tonne of CO</w:t>
      </w:r>
      <w:r w:rsidRPr="00AE612C">
        <w:rPr>
          <w:rFonts w:ascii="Cambria Math" w:hAnsi="Cambria Math" w:cs="Cambria Math"/>
          <w:color w:val="000000" w:themeColor="text1"/>
        </w:rPr>
        <w:t>₂</w:t>
      </w:r>
      <w:r w:rsidRPr="00AE612C">
        <w:rPr>
          <w:rFonts w:ascii="Arial" w:hAnsi="Arial" w:cs="Arial"/>
          <w:color w:val="000000" w:themeColor="text1"/>
        </w:rPr>
        <w:t xml:space="preserve"> in Law 20.780), are pushing up costs of production and it is expected that these will become more effective by 2026 (alliedoffsets.com, 2025). A change in direction towards reaching carbon neutrality will likely cause copper prices to continue upward, partially offsetting rises in carbon costs for efficiency-driven copper producers such as Codelco, according to International Energy Agency (IEA, 2023).</w:t>
      </w:r>
    </w:p>
    <w:p w14:paraId="054AAACE" w14:textId="2E9C339B"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threat of biodiversity regulation is not fully reflected in Codelco´s strategic perspectives as it is an emerging issue. The Kunming-Montreal Global Biodiversity Framework (2022) establishes that the governments of the parties will be responsible for action aimed at conserving 10% of land and 30% of sea areas by 2030 (Rodríguez-Romero, 2025). Protections in the Atacama may limit future mining permits, thereby impeding Codelco's growth agenda. However, a positive attitude and participation in biodiversity offset schemes and ecological restoration programmes have the potential to generate some positive stickiness and optionality in a regulatory sense.</w:t>
      </w:r>
    </w:p>
    <w:p w14:paraId="714D3E74" w14:textId="77777777" w:rsidR="00867966" w:rsidRPr="00AE612C" w:rsidRDefault="004716FB" w:rsidP="00AE612C">
      <w:pPr>
        <w:pStyle w:val="Heading2"/>
        <w:rPr>
          <w:rFonts w:ascii="Arial" w:hAnsi="Arial" w:cs="Arial"/>
          <w:color w:val="000000" w:themeColor="text1"/>
          <w:sz w:val="24"/>
          <w:szCs w:val="24"/>
        </w:rPr>
      </w:pPr>
      <w:bookmarkStart w:id="3" w:name="_Toc235711871"/>
      <w:r w:rsidRPr="00AE612C">
        <w:rPr>
          <w:rFonts w:ascii="Arial" w:hAnsi="Arial" w:cs="Arial"/>
          <w:color w:val="000000" w:themeColor="text1"/>
          <w:sz w:val="24"/>
          <w:szCs w:val="24"/>
        </w:rPr>
        <w:t>1.3 External Marketing Environment Actor 2: Political and Regulatory Environment</w:t>
      </w:r>
      <w:bookmarkEnd w:id="3"/>
    </w:p>
    <w:p w14:paraId="1A51F314" w14:textId="2A1D8CFA"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political and regulatory environment has been chosen as the second external marketing environment actor because it influences directly, immediately and increasingly Codelco's operating permissions, cost of operations and access to markets, directly impacting its marketing and sustainability transition.</w:t>
      </w:r>
    </w:p>
    <w:p w14:paraId="5D6E50E5"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Justification for Actor Selection</w:t>
      </w:r>
    </w:p>
    <w:p w14:paraId="1C27F80D" w14:textId="6D2696FD"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Political tension around natural resources and mining is on a historic high in Chile. The new regulation uncertainty which entered in the Chilean mining sector came </w:t>
      </w:r>
      <w:r w:rsidRPr="00AE612C">
        <w:rPr>
          <w:rFonts w:ascii="Arial" w:hAnsi="Arial" w:cs="Arial"/>
          <w:color w:val="000000" w:themeColor="text1"/>
        </w:rPr>
        <w:lastRenderedPageBreak/>
        <w:t>with the election of President Gabriel Boric in 2022 who had pledged to pursue a policy of 'responsible mining' and 'nationalism' of resources. The decision to implement the variable rate (up to 46.5%) in the operating margin for large producing companies would impact Codelco's current investment capacity which, in turn, would affect its capacity to invest in the decarbonisation programmes that form the basis of the Codelco's sustainability marketing (trade.gov, 2025).</w:t>
      </w:r>
    </w:p>
    <w:p w14:paraId="777C3CE8"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Threats</w:t>
      </w:r>
    </w:p>
    <w:p w14:paraId="53477C6C" w14:textId="6D89CAD2" w:rsidR="00867966" w:rsidRPr="00AE612C" w:rsidRDefault="0030399D"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costs for marketing and strategizing are real costs due to regulatory uncertainty. Joint venture negotiations with private sector companies with the capital needed for the low-carbon technology are hindered by potential nationali</w:t>
      </w:r>
      <w:r w:rsidR="000A72A1" w:rsidRPr="00AE612C">
        <w:rPr>
          <w:rFonts w:ascii="Arial" w:hAnsi="Arial" w:cs="Arial"/>
          <w:color w:val="000000" w:themeColor="text1"/>
        </w:rPr>
        <w:t>sation discourse</w:t>
      </w:r>
      <w:r w:rsidRPr="00AE612C">
        <w:rPr>
          <w:rFonts w:ascii="Arial" w:hAnsi="Arial" w:cs="Arial"/>
          <w:color w:val="000000" w:themeColor="text1"/>
        </w:rPr>
        <w:t>. Moreover, the Corporate Sustainability Due Diligence Directive (CS3D) of the European Union which was adopted in 2024, obligates large Companies importing materials in the EU to prove that their supply chains are in line with environmental and human rights standards</w:t>
      </w:r>
      <w:r w:rsidR="000A72A1" w:rsidRPr="00AE612C">
        <w:rPr>
          <w:rFonts w:ascii="Arial" w:hAnsi="Arial" w:cs="Arial"/>
          <w:color w:val="000000" w:themeColor="text1"/>
        </w:rPr>
        <w:t xml:space="preserve"> (European Parliament, 2024)</w:t>
      </w:r>
      <w:r w:rsidRPr="00AE612C">
        <w:rPr>
          <w:rFonts w:ascii="Arial" w:hAnsi="Arial" w:cs="Arial"/>
          <w:color w:val="000000" w:themeColor="text1"/>
        </w:rPr>
        <w:t>. The EU has been identified as one of the most important downstream markets for Chilean copper, which could be lost as a consequence of a decision against meeting the standard.</w:t>
      </w:r>
    </w:p>
    <w:p w14:paraId="20FA4757"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Opportunities</w:t>
      </w:r>
    </w:p>
    <w:p w14:paraId="67B8ED22" w14:textId="67482A99" w:rsidR="000A72A1"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Conversely, the political environment also creates </w:t>
      </w:r>
      <w:r w:rsidRPr="00AE612C">
        <w:rPr>
          <w:rFonts w:ascii="Arial" w:hAnsi="Arial" w:cs="Arial"/>
          <w:bCs/>
          <w:color w:val="000000" w:themeColor="text1"/>
        </w:rPr>
        <w:t>opportunities</w:t>
      </w:r>
      <w:r w:rsidRPr="00AE612C">
        <w:rPr>
          <w:rFonts w:ascii="Arial" w:hAnsi="Arial" w:cs="Arial"/>
          <w:color w:val="000000" w:themeColor="text1"/>
        </w:rPr>
        <w:t xml:space="preserve">. </w:t>
      </w:r>
      <w:r w:rsidR="000A72A1" w:rsidRPr="00AE612C">
        <w:rPr>
          <w:rFonts w:ascii="Arial" w:hAnsi="Arial" w:cs="Arial"/>
          <w:color w:val="000000" w:themeColor="text1"/>
        </w:rPr>
        <w:t>The state's involvement in the production of lithium is reflected in its mandate extension for Codelco and its announced National Lithium Strategy (2023). Furthermore, with 2023 updated bilateral trade agreements, based on new European Union (EU) sustainability requirements, allow Chilean copper to be extracted with preferential market access, a direct competitive edge for Codelco against producers in other countries with low environmental governance levels (</w:t>
      </w:r>
      <w:proofErr w:type="spellStart"/>
      <w:r w:rsidR="000A72A1" w:rsidRPr="00AE612C">
        <w:rPr>
          <w:rFonts w:ascii="Arial" w:hAnsi="Arial" w:cs="Arial"/>
          <w:color w:val="000000" w:themeColor="text1"/>
        </w:rPr>
        <w:t>Ministerio</w:t>
      </w:r>
      <w:proofErr w:type="spellEnd"/>
      <w:r w:rsidR="000A72A1" w:rsidRPr="00AE612C">
        <w:rPr>
          <w:rFonts w:ascii="Arial" w:hAnsi="Arial" w:cs="Arial"/>
          <w:color w:val="000000" w:themeColor="text1"/>
        </w:rPr>
        <w:t xml:space="preserve"> de </w:t>
      </w:r>
      <w:proofErr w:type="spellStart"/>
      <w:r w:rsidR="000A72A1" w:rsidRPr="00AE612C">
        <w:rPr>
          <w:rFonts w:ascii="Arial" w:hAnsi="Arial" w:cs="Arial"/>
          <w:color w:val="000000" w:themeColor="text1"/>
        </w:rPr>
        <w:t>Relaciones</w:t>
      </w:r>
      <w:proofErr w:type="spellEnd"/>
      <w:r w:rsidR="000A72A1" w:rsidRPr="00AE612C">
        <w:rPr>
          <w:rFonts w:ascii="Arial" w:hAnsi="Arial" w:cs="Arial"/>
          <w:color w:val="000000" w:themeColor="text1"/>
        </w:rPr>
        <w:t xml:space="preserve"> </w:t>
      </w:r>
      <w:proofErr w:type="spellStart"/>
      <w:r w:rsidR="000A72A1" w:rsidRPr="00AE612C">
        <w:rPr>
          <w:rFonts w:ascii="Arial" w:hAnsi="Arial" w:cs="Arial"/>
          <w:color w:val="000000" w:themeColor="text1"/>
        </w:rPr>
        <w:t>Exteriores</w:t>
      </w:r>
      <w:proofErr w:type="spellEnd"/>
      <w:r w:rsidR="000A72A1" w:rsidRPr="00AE612C">
        <w:rPr>
          <w:rFonts w:ascii="Arial" w:hAnsi="Arial" w:cs="Arial"/>
          <w:color w:val="000000" w:themeColor="text1"/>
        </w:rPr>
        <w:t>, Chile, 2023).</w:t>
      </w:r>
    </w:p>
    <w:p w14:paraId="13D20D0F" w14:textId="3C6E1C80" w:rsidR="00867966"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A competitive positioning-wise argument for the state ownership of Codelco is its regulatory insulation, which private competitors do not enjoy. It simultaneously, however, restricts the financial flexibility to allocate the profits—because part of the money is supposed to go to the Chilean treasury, and therefore this money is not available for reinvesting in green technologies. This dual nature protected but restricted, is the one that characterizes Codelco's political context and requires in-</w:t>
      </w:r>
      <w:r w:rsidRPr="00AE612C">
        <w:rPr>
          <w:rFonts w:ascii="Arial" w:hAnsi="Arial" w:cs="Arial"/>
          <w:color w:val="000000" w:themeColor="text1"/>
        </w:rPr>
        <w:lastRenderedPageBreak/>
        <w:t>depth effort in stakeholder management as a fundamental component of the marketing strategy.</w:t>
      </w:r>
      <w:r w:rsidR="004716FB" w:rsidRPr="00AE612C">
        <w:rPr>
          <w:rFonts w:ascii="Arial" w:hAnsi="Arial" w:cs="Arial"/>
          <w:color w:val="000000" w:themeColor="text1"/>
        </w:rPr>
        <w:br w:type="page"/>
      </w:r>
    </w:p>
    <w:p w14:paraId="5BFF4803" w14:textId="77777777" w:rsidR="00867966" w:rsidRPr="00AE612C" w:rsidRDefault="004716FB" w:rsidP="00AE612C">
      <w:pPr>
        <w:pStyle w:val="Heading1"/>
        <w:rPr>
          <w:rFonts w:ascii="Arial" w:hAnsi="Arial" w:cs="Arial"/>
          <w:color w:val="000000" w:themeColor="text1"/>
          <w:sz w:val="24"/>
          <w:szCs w:val="24"/>
        </w:rPr>
      </w:pPr>
      <w:bookmarkStart w:id="4" w:name="_Toc235711872"/>
      <w:r w:rsidRPr="00AE612C">
        <w:rPr>
          <w:rFonts w:ascii="Arial" w:hAnsi="Arial" w:cs="Arial"/>
          <w:color w:val="000000" w:themeColor="text1"/>
          <w:sz w:val="24"/>
          <w:szCs w:val="24"/>
        </w:rPr>
        <w:lastRenderedPageBreak/>
        <w:t>TASK 2: STRATEGIC GROWTH AND COMPETITIVE POSITIONING</w:t>
      </w:r>
      <w:bookmarkEnd w:id="4"/>
    </w:p>
    <w:p w14:paraId="1FDE4F30" w14:textId="77777777" w:rsidR="00867966" w:rsidRPr="00AE612C" w:rsidRDefault="004716FB" w:rsidP="00AE612C">
      <w:pPr>
        <w:pStyle w:val="Heading2"/>
        <w:rPr>
          <w:rFonts w:ascii="Arial" w:hAnsi="Arial" w:cs="Arial"/>
          <w:color w:val="000000" w:themeColor="text1"/>
          <w:sz w:val="24"/>
          <w:szCs w:val="24"/>
        </w:rPr>
      </w:pPr>
      <w:bookmarkStart w:id="5" w:name="_Toc235711873"/>
      <w:r w:rsidRPr="00AE612C">
        <w:rPr>
          <w:rFonts w:ascii="Arial" w:hAnsi="Arial" w:cs="Arial"/>
          <w:color w:val="000000" w:themeColor="text1"/>
          <w:sz w:val="24"/>
          <w:szCs w:val="24"/>
        </w:rPr>
        <w:t>2.1 Strategic Growth Recommendation Using the Ansoff Matrix</w:t>
      </w:r>
      <w:bookmarkEnd w:id="5"/>
    </w:p>
    <w:p w14:paraId="5213B368" w14:textId="7B7959F4" w:rsidR="00867966"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Ansoff Matrix remains a core part of strategic planning which is based on growth strategies according to the two dimensions that are present: products (existing vs. new) and markets (existing vs. new). Each of the four quadrants (Market Penetration, Market Development, Product Development and Diversification) has its own level of risk and resources.</w:t>
      </w:r>
    </w:p>
    <w:p w14:paraId="797CF1C1" w14:textId="28A7E142" w:rsidR="00257A98" w:rsidRDefault="00257A98" w:rsidP="00257A98">
      <w:pPr>
        <w:spacing w:before="100" w:after="100" w:line="360" w:lineRule="auto"/>
        <w:jc w:val="center"/>
        <w:rPr>
          <w:rFonts w:ascii="Arial" w:hAnsi="Arial" w:cs="Arial"/>
          <w:color w:val="000000" w:themeColor="text1"/>
        </w:rPr>
      </w:pPr>
      <w:r w:rsidRPr="00257A98">
        <w:rPr>
          <w:rFonts w:ascii="Arial" w:hAnsi="Arial" w:cs="Arial"/>
          <w:noProof/>
          <w:color w:val="000000" w:themeColor="text1"/>
        </w:rPr>
        <w:drawing>
          <wp:inline distT="0" distB="0" distL="0" distR="0" wp14:anchorId="1850B08C" wp14:editId="6A919C76">
            <wp:extent cx="4372585" cy="3219899"/>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72585" cy="3219899"/>
                    </a:xfrm>
                    <a:prstGeom prst="rect">
                      <a:avLst/>
                    </a:prstGeom>
                  </pic:spPr>
                </pic:pic>
              </a:graphicData>
            </a:graphic>
          </wp:inline>
        </w:drawing>
      </w:r>
    </w:p>
    <w:p w14:paraId="4B796A2E" w14:textId="5AD35EF6" w:rsidR="00257A98" w:rsidRPr="00257A98" w:rsidRDefault="00257A98" w:rsidP="00257A98">
      <w:pPr>
        <w:spacing w:before="100" w:after="100" w:line="360" w:lineRule="auto"/>
        <w:jc w:val="center"/>
        <w:rPr>
          <w:rFonts w:ascii="Arial" w:hAnsi="Arial" w:cs="Arial"/>
          <w:color w:val="000000" w:themeColor="text1"/>
        </w:rPr>
      </w:pPr>
      <w:r w:rsidRPr="00257A98">
        <w:rPr>
          <w:rFonts w:ascii="Arial" w:hAnsi="Arial" w:cs="Arial"/>
          <w:color w:val="000000" w:themeColor="text1"/>
        </w:rPr>
        <w:t>Figure 3: Quadrants of Ansoff matrix</w:t>
      </w:r>
    </w:p>
    <w:p w14:paraId="79EEED16" w14:textId="23407627" w:rsidR="00257A98" w:rsidRPr="00257A98" w:rsidRDefault="00257A98" w:rsidP="00257A98">
      <w:pPr>
        <w:spacing w:before="100" w:after="100" w:line="360" w:lineRule="auto"/>
        <w:jc w:val="center"/>
        <w:rPr>
          <w:rFonts w:ascii="Arial" w:hAnsi="Arial" w:cs="Arial"/>
          <w:color w:val="000000" w:themeColor="text1"/>
        </w:rPr>
      </w:pPr>
      <w:r w:rsidRPr="00257A98">
        <w:rPr>
          <w:rFonts w:ascii="Arial" w:hAnsi="Arial" w:cs="Arial"/>
          <w:color w:val="000000" w:themeColor="text1"/>
        </w:rPr>
        <w:t xml:space="preserve">(Source: </w:t>
      </w:r>
      <w:r w:rsidRPr="00257A98">
        <w:rPr>
          <w:rFonts w:ascii="Arial" w:hAnsi="Arial" w:cs="Arial"/>
          <w:color w:val="000000"/>
        </w:rPr>
        <w:t>thestrategyinstitute.org, 2024</w:t>
      </w:r>
      <w:r w:rsidRPr="00257A98">
        <w:rPr>
          <w:rFonts w:ascii="Arial" w:hAnsi="Arial" w:cs="Arial"/>
          <w:color w:val="000000" w:themeColor="text1"/>
        </w:rPr>
        <w:t>)</w:t>
      </w:r>
    </w:p>
    <w:p w14:paraId="3FF101ED"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Recommended Quadrant: Product Development</w:t>
      </w:r>
    </w:p>
    <w:p w14:paraId="3EFB5F57" w14:textId="77777777" w:rsidR="000A72A1"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Based on the environmental analysis carried out in Task 1, the strategy most suitable for Codelco in their present business and markets is Product Development; namely, the creation and delivery of new or improved products into the markets of Codelco's current customers, in this case global. There are three overlapping justifications.</w:t>
      </w:r>
    </w:p>
    <w:p w14:paraId="4C8561CC" w14:textId="77777777" w:rsidR="000A72A1"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First, the pressures of the natural environment presented in Task 1 – the energy transition, the tightening carbon regulatory regime, and the due diligence of customers' supply chain – are already being felt when buyers are demanding, and already are resulting in, low carbon certified copper. The markets currently served </w:t>
      </w:r>
      <w:r w:rsidRPr="00AE612C">
        <w:rPr>
          <w:rFonts w:ascii="Arial" w:hAnsi="Arial" w:cs="Arial"/>
          <w:color w:val="000000" w:themeColor="text1"/>
        </w:rPr>
        <w:lastRenderedPageBreak/>
        <w:t>by Codelco (EV manufacturers, cable producers, producers in renewable energy) demand reliable scope 1 and 2 emissions data and in some instances are engaged in formal screening and purchasing ‘green copper' at a premium. A Product Development strategy allows Codelco to address these changing desires without putting itself at the echelons of new markets' unwanted risks.</w:t>
      </w:r>
    </w:p>
    <w:p w14:paraId="3405BD1B" w14:textId="3FBE4E2B" w:rsidR="000A72A1"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Second, the political environment analysis shows that the EU's product level environmental differentiation is in the process of being imposed, in the form of regulatory convergence, among others in the EU's CS3D and growing carbon border adjustment mechanisms. Once the majority of producers have certified low-carbon provenance, they risk exclusion from the premium market.</w:t>
      </w:r>
      <w:r w:rsidR="00D71763" w:rsidRPr="00AE612C">
        <w:rPr>
          <w:rFonts w:ascii="Arial" w:hAnsi="Arial" w:cs="Arial"/>
          <w:color w:val="000000" w:themeColor="text1"/>
        </w:rPr>
        <w:t xml:space="preserve"> </w:t>
      </w:r>
      <w:r w:rsidRPr="00AE612C">
        <w:rPr>
          <w:rFonts w:ascii="Arial" w:hAnsi="Arial" w:cs="Arial"/>
          <w:color w:val="000000" w:themeColor="text1"/>
        </w:rPr>
        <w:t>If most producers implement low-carbon provenance as certification, they risk losing business from their premium market. This is being addressed directly by Codelco's Product Development approach, focused on green copper certificate, and making compliance into a commercial feature (European Parliament, 2024).</w:t>
      </w:r>
    </w:p>
    <w:p w14:paraId="40BF816A" w14:textId="5B348129" w:rsidR="00867966"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Third, Codelco has the asset-base and capability to perform the Product Development in a feasible way. Its USD 5 billion desalination programme, its plan to shift to renewable-powered smelting in 2030 and its collaboration with the Chilean government's National Clean Production Agreement programme make up its infrastructure for credible green product development. The second strategy, Diversification, however, would call for a company to move into combinations of products and markets that it did not already know, which is a greater risk and certainly not recommended for a company that has already a lot of operational and regulatory complexity in the market (Schipper et al., 2018).</w:t>
      </w:r>
    </w:p>
    <w:p w14:paraId="15E59572" w14:textId="353F410B" w:rsidR="00867966" w:rsidRPr="00AE612C" w:rsidRDefault="00A86028" w:rsidP="00AE612C">
      <w:pPr>
        <w:spacing w:before="100" w:after="100" w:line="360" w:lineRule="auto"/>
        <w:jc w:val="both"/>
        <w:rPr>
          <w:rFonts w:ascii="Arial" w:hAnsi="Arial" w:cs="Arial"/>
          <w:color w:val="000000" w:themeColor="text1"/>
        </w:rPr>
      </w:pPr>
      <w:r>
        <w:rPr>
          <w:rFonts w:ascii="Arial" w:hAnsi="Arial" w:cs="Arial"/>
          <w:b/>
          <w:bCs/>
          <w:color w:val="000000" w:themeColor="text1"/>
        </w:rPr>
        <w:t>Justification for excluding</w:t>
      </w:r>
      <w:r w:rsidR="004716FB" w:rsidRPr="00AE612C">
        <w:rPr>
          <w:rFonts w:ascii="Arial" w:hAnsi="Arial" w:cs="Arial"/>
          <w:b/>
          <w:bCs/>
          <w:color w:val="000000" w:themeColor="text1"/>
        </w:rPr>
        <w:t xml:space="preserve"> Market</w:t>
      </w:r>
      <w:r>
        <w:rPr>
          <w:rFonts w:ascii="Arial" w:hAnsi="Arial" w:cs="Arial"/>
          <w:b/>
          <w:bCs/>
          <w:color w:val="000000" w:themeColor="text1"/>
        </w:rPr>
        <w:t xml:space="preserve"> Development and Diversification</w:t>
      </w:r>
    </w:p>
    <w:p w14:paraId="228BF1DC" w14:textId="23350621" w:rsidR="00867966"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c</w:t>
      </w:r>
      <w:r w:rsidR="00D71763" w:rsidRPr="00AE612C">
        <w:rPr>
          <w:rFonts w:ascii="Arial" w:hAnsi="Arial" w:cs="Arial"/>
          <w:color w:val="000000" w:themeColor="text1"/>
        </w:rPr>
        <w:t>hallenge of Market Development such as</w:t>
      </w:r>
      <w:r w:rsidRPr="00AE612C">
        <w:rPr>
          <w:rFonts w:ascii="Arial" w:hAnsi="Arial" w:cs="Arial"/>
          <w:color w:val="000000" w:themeColor="text1"/>
        </w:rPr>
        <w:t xml:space="preserve"> to build market share in new geographic ma</w:t>
      </w:r>
      <w:r w:rsidR="00D71763" w:rsidRPr="00AE612C">
        <w:rPr>
          <w:rFonts w:ascii="Arial" w:hAnsi="Arial" w:cs="Arial"/>
          <w:color w:val="000000" w:themeColor="text1"/>
        </w:rPr>
        <w:t xml:space="preserve">rkets for established </w:t>
      </w:r>
      <w:r w:rsidR="00A86028" w:rsidRPr="00AE612C">
        <w:rPr>
          <w:rFonts w:ascii="Arial" w:hAnsi="Arial" w:cs="Arial"/>
          <w:color w:val="000000" w:themeColor="text1"/>
        </w:rPr>
        <w:t>products is</w:t>
      </w:r>
      <w:r w:rsidRPr="00AE612C">
        <w:rPr>
          <w:rFonts w:ascii="Arial" w:hAnsi="Arial" w:cs="Arial"/>
          <w:color w:val="000000" w:themeColor="text1"/>
        </w:rPr>
        <w:t xml:space="preserve"> less interesting because Codelco is already selling copper in all of the major markets around the world. In addition, the political analysis reveals that regulatory inequities faced by copper in markets other than the target market make the commodity less attractive. The entrance into lithium is Codelco's only partial admission to the sector, since the government imposed this measu</w:t>
      </w:r>
      <w:r w:rsidR="00D71763" w:rsidRPr="00AE612C">
        <w:rPr>
          <w:rFonts w:ascii="Arial" w:hAnsi="Arial" w:cs="Arial"/>
          <w:color w:val="000000" w:themeColor="text1"/>
        </w:rPr>
        <w:t>re as a mandate for the company</w:t>
      </w:r>
      <w:r w:rsidRPr="00AE612C">
        <w:rPr>
          <w:rFonts w:ascii="Arial" w:hAnsi="Arial" w:cs="Arial"/>
          <w:color w:val="000000" w:themeColor="text1"/>
        </w:rPr>
        <w:t xml:space="preserve"> and it also places an operational risk on top of the company's core copper business, thus distracting from</w:t>
      </w:r>
      <w:r w:rsidR="00D71763" w:rsidRPr="00AE612C">
        <w:rPr>
          <w:rFonts w:ascii="Arial" w:hAnsi="Arial" w:cs="Arial"/>
          <w:color w:val="000000" w:themeColor="text1"/>
        </w:rPr>
        <w:t xml:space="preserve"> decarbonisation (mch.cl, 2024). E</w:t>
      </w:r>
      <w:r w:rsidRPr="00AE612C">
        <w:rPr>
          <w:rFonts w:ascii="Arial" w:hAnsi="Arial" w:cs="Arial"/>
          <w:color w:val="000000" w:themeColor="text1"/>
        </w:rPr>
        <w:t xml:space="preserve">xecuting the diversification into lithium is </w:t>
      </w:r>
      <w:r w:rsidRPr="00AE612C">
        <w:rPr>
          <w:rFonts w:ascii="Arial" w:hAnsi="Arial" w:cs="Arial"/>
          <w:color w:val="000000" w:themeColor="text1"/>
        </w:rPr>
        <w:lastRenderedPageBreak/>
        <w:t>recognised as having political risk, given that the National Lithium Strategy is not a strictly strategic option for the company but is instead a political one. However, Product Development is the growth strategy most sensitive to environmental pressures identified and has the most positive risk / return profile</w:t>
      </w:r>
    </w:p>
    <w:p w14:paraId="0608BF51" w14:textId="77777777" w:rsidR="00867966" w:rsidRPr="00AE612C" w:rsidRDefault="004716FB" w:rsidP="00AE612C">
      <w:pPr>
        <w:pStyle w:val="Heading2"/>
        <w:rPr>
          <w:rFonts w:ascii="Arial" w:hAnsi="Arial" w:cs="Arial"/>
          <w:color w:val="000000" w:themeColor="text1"/>
          <w:sz w:val="24"/>
          <w:szCs w:val="24"/>
        </w:rPr>
      </w:pPr>
      <w:bookmarkStart w:id="6" w:name="_Toc235711874"/>
      <w:r w:rsidRPr="00AE612C">
        <w:rPr>
          <w:rFonts w:ascii="Arial" w:hAnsi="Arial" w:cs="Arial"/>
          <w:color w:val="000000" w:themeColor="text1"/>
          <w:sz w:val="24"/>
          <w:szCs w:val="24"/>
        </w:rPr>
        <w:t>2.2 Competitive Advantage Through a Lower-Carbon Business Model</w:t>
      </w:r>
      <w:bookmarkEnd w:id="6"/>
    </w:p>
    <w:p w14:paraId="37EAE48F" w14:textId="32E998F8" w:rsidR="00867966" w:rsidRPr="00AE612C" w:rsidRDefault="00D71763"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It is not only a reputation issue or compliance requirement for Codelco that it makes a transition to a lower-carbon business model but it is becoming a new source of competitive strength. Porter's (1985) General Generic Strategies give a helpful perspective on how this advantage can be set up and maintained. According to Porter there are three generic positions in the Market: Cost leadership, Focus, and Differentiation. Codelco's best strategy is a path of differentiation and strategic operational efficiency (which is cost leadership)</w:t>
      </w:r>
    </w:p>
    <w:p w14:paraId="14B0E84D"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Differentiation Through Green Copper Certification</w:t>
      </w:r>
    </w:p>
    <w:p w14:paraId="5B103919" w14:textId="797BF9BD" w:rsidR="00867966" w:rsidRPr="00AE612C" w:rsidRDefault="00D71763"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 xml:space="preserve">Codelco is pushing verified low carbon copper as an attribute it aims to offer differentiation and provide price premiums in the markets where such carbon pricing and supply chain transparency are a mandatory element. In 2022, the London Metal Exchange (LME) introduced responsible sourcing standards for copper which will get all registered brands to meet sustainability requirements by 2024 (lme.com 2025). This institutional innovation opens up a formal mechanism to put Codelco's investment in renewable energy smelting and logistics with low emissions into a price premium of 5-15% to sell certified product. </w:t>
      </w:r>
    </w:p>
    <w:p w14:paraId="176D9F04"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Critical Evaluation: Strengths and Limitations</w:t>
      </w:r>
    </w:p>
    <w:p w14:paraId="55CA9D9C" w14:textId="77777777" w:rsidR="000A72A1"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The differentiation pathway is a prudent but not without risky option. Exposing itself to greenwashing will have significant reputational and commercial implications for Codelco, particularly if its emissions cannot be supported by data from an independent externality source. Organisations like the Global Reporting Initiative (GRI), Science Based Targets initiative (SBTi), enforce stricter standards for claims of differentiation, thus requiring substantiation in an extremely rigorous manner (GRI, 2022). Codelco has also not completed the 3rd party verification of its scope 3 emissions, reducing its ability to differentiate itself in the most stringent customer areas of interest.</w:t>
      </w:r>
    </w:p>
    <w:p w14:paraId="18A45776" w14:textId="590D47B5" w:rsidR="00867966" w:rsidRPr="00AE612C" w:rsidRDefault="000A72A1"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lastRenderedPageBreak/>
        <w:t>Furthermore, the green transition is expensive and may negatively affect Codelco's competitiveness, for a period. The decarbonisation investment posture will cost USD 12 billion from 2023-30, adding to the fact that the rising energy costs to produce a tonne of ore will offset the advantage, resulting in a period of margin pressures, during which private owned assets with smaller margin burdens may be able to develop cost advantages.</w:t>
      </w:r>
    </w:p>
    <w:p w14:paraId="65E90BDE" w14:textId="77777777" w:rsidR="00867966" w:rsidRPr="00AE612C" w:rsidRDefault="004716FB" w:rsidP="00AE612C">
      <w:pPr>
        <w:spacing w:before="100" w:after="100" w:line="360" w:lineRule="auto"/>
        <w:jc w:val="both"/>
        <w:rPr>
          <w:rFonts w:ascii="Arial" w:hAnsi="Arial" w:cs="Arial"/>
          <w:color w:val="000000" w:themeColor="text1"/>
        </w:rPr>
      </w:pPr>
      <w:r w:rsidRPr="00AE612C">
        <w:rPr>
          <w:rFonts w:ascii="Arial" w:hAnsi="Arial" w:cs="Arial"/>
          <w:b/>
          <w:bCs/>
          <w:color w:val="000000" w:themeColor="text1"/>
        </w:rPr>
        <w:t>Cost Leadership Through Operational Efficiency</w:t>
      </w:r>
    </w:p>
    <w:p w14:paraId="3DD38EBF" w14:textId="20EB8A23" w:rsidR="00D71763" w:rsidRPr="00AE612C" w:rsidRDefault="00D71763"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Codelco is striving to become cost leader by achieving greater energy efficiency, implementing energy intensity reduction measures based on the use of Renewable Electricity (RE) as a replacement for diesel energy use equipment. Renewable electricity transition is expected to deliver portfolio-wide operating cost savings of USD 180 per tonne of copper by 2027, positively contributing to cost competitiveness and helping to cover decarbonisation CAPEX.</w:t>
      </w:r>
    </w:p>
    <w:p w14:paraId="78181C7C" w14:textId="2E83FA5E" w:rsidR="00D71763" w:rsidRPr="00AE612C" w:rsidRDefault="00D71763" w:rsidP="00AE612C">
      <w:pPr>
        <w:spacing w:before="100" w:after="100" w:line="360" w:lineRule="auto"/>
        <w:jc w:val="both"/>
        <w:rPr>
          <w:rFonts w:ascii="Arial" w:hAnsi="Arial" w:cs="Arial"/>
          <w:color w:val="000000" w:themeColor="text1"/>
        </w:rPr>
      </w:pPr>
      <w:r w:rsidRPr="00AE612C">
        <w:rPr>
          <w:rFonts w:ascii="Arial" w:hAnsi="Arial" w:cs="Arial"/>
          <w:color w:val="000000" w:themeColor="text1"/>
        </w:rPr>
        <w:t>Comparisons with other industries are even more indicative of this dual positioning. BHP's Olympic Dam in Australia and Freeport-McMoRan's Cerro Verde in Peru have both previously announced similar electrification plans, giving a public affirmation to the competitive new front on sustainability in copper (BHP, 2023). Codelco's state-owned structure, however, enables it to follow long-term investment cycles, which may possibly be compromised by its competitors listed publicly, subject their investment plans to quarterly short-term profits or losses reporting to their shareholders (Liu et al., 2018).</w:t>
      </w:r>
    </w:p>
    <w:p w14:paraId="7D3E6214" w14:textId="77777777" w:rsidR="00867966" w:rsidRPr="00AE612C" w:rsidRDefault="004716FB" w:rsidP="00AE612C">
      <w:pPr>
        <w:pStyle w:val="Heading1"/>
        <w:rPr>
          <w:rFonts w:ascii="Arial" w:hAnsi="Arial" w:cs="Arial"/>
          <w:color w:val="000000" w:themeColor="text1"/>
          <w:sz w:val="24"/>
          <w:szCs w:val="24"/>
        </w:rPr>
      </w:pPr>
      <w:bookmarkStart w:id="7" w:name="_Toc235711875"/>
      <w:r w:rsidRPr="00AE612C">
        <w:rPr>
          <w:rFonts w:ascii="Arial" w:hAnsi="Arial" w:cs="Arial"/>
          <w:color w:val="000000" w:themeColor="text1"/>
          <w:sz w:val="24"/>
          <w:szCs w:val="24"/>
        </w:rPr>
        <w:t>TASK 3: CRITICAL REFLECTION ON AI USAGE</w:t>
      </w:r>
      <w:bookmarkEnd w:id="7"/>
    </w:p>
    <w:p w14:paraId="29A12AC2" w14:textId="77777777" w:rsidR="00481752" w:rsidRPr="00481752" w:rsidRDefault="00481752" w:rsidP="00AE612C">
      <w:pPr>
        <w:spacing w:before="100" w:beforeAutospacing="1" w:after="100" w:afterAutospacing="1" w:line="360" w:lineRule="auto"/>
        <w:jc w:val="both"/>
        <w:outlineLvl w:val="2"/>
        <w:rPr>
          <w:rFonts w:ascii="Arial" w:hAnsi="Arial" w:cs="Arial"/>
          <w:b/>
          <w:bCs/>
        </w:rPr>
      </w:pPr>
      <w:bookmarkStart w:id="8" w:name="_Toc235711876"/>
      <w:r w:rsidRPr="00481752">
        <w:rPr>
          <w:rFonts w:ascii="Arial" w:hAnsi="Arial" w:cs="Arial"/>
          <w:b/>
          <w:bCs/>
        </w:rPr>
        <w:t>3.1 Tool Disclosure</w:t>
      </w:r>
      <w:bookmarkEnd w:id="8"/>
    </w:p>
    <w:p w14:paraId="26F230CA" w14:textId="70872858" w:rsidR="00481752" w:rsidRPr="00481752" w:rsidRDefault="00D71763" w:rsidP="00AE612C">
      <w:pPr>
        <w:spacing w:before="100" w:beforeAutospacing="1" w:after="100" w:afterAutospacing="1" w:line="360" w:lineRule="auto"/>
        <w:jc w:val="both"/>
        <w:rPr>
          <w:rFonts w:ascii="Arial" w:hAnsi="Arial" w:cs="Arial"/>
        </w:rPr>
      </w:pPr>
      <w:r w:rsidRPr="00AE612C">
        <w:rPr>
          <w:rFonts w:ascii="Arial" w:hAnsi="Arial" w:cs="Arial"/>
        </w:rPr>
        <w:t xml:space="preserve">Claude, developed by Anthropic, was used as a research support tool to be used at specific points in the writing process in the development of this report. It was used only for two purposes: to create a starting point for the structural outline of the three tasks (which I later changed in order to meet the analysis requirements for each part of my tasks) and to create general thematic areas, like the dynamics of the copper market or oversight on the question of ESG regulation, which served as a guide to search my literature. All academic and </w:t>
      </w:r>
      <w:proofErr w:type="spellStart"/>
      <w:r w:rsidRPr="00AE612C">
        <w:rPr>
          <w:rFonts w:ascii="Arial" w:hAnsi="Arial" w:cs="Arial"/>
        </w:rPr>
        <w:t>instituitional</w:t>
      </w:r>
      <w:proofErr w:type="spellEnd"/>
      <w:r w:rsidRPr="00AE612C">
        <w:rPr>
          <w:rFonts w:ascii="Arial" w:hAnsi="Arial" w:cs="Arial"/>
        </w:rPr>
        <w:t xml:space="preserve"> sources cited have been sourced, read and evaluated independently. All analytical skills, critical </w:t>
      </w:r>
      <w:r w:rsidRPr="00AE612C">
        <w:rPr>
          <w:rFonts w:ascii="Arial" w:hAnsi="Arial" w:cs="Arial"/>
        </w:rPr>
        <w:lastRenderedPageBreak/>
        <w:t>arguments, theoretical applications and evaluative judgments were my own, the results of my own engagement with the literature.</w:t>
      </w:r>
    </w:p>
    <w:p w14:paraId="344686D5" w14:textId="77777777" w:rsidR="00481752" w:rsidRPr="00481752" w:rsidRDefault="00481752" w:rsidP="00AE612C">
      <w:pPr>
        <w:spacing w:before="100" w:beforeAutospacing="1" w:after="100" w:afterAutospacing="1" w:line="360" w:lineRule="auto"/>
        <w:jc w:val="both"/>
        <w:outlineLvl w:val="2"/>
        <w:rPr>
          <w:rFonts w:ascii="Arial" w:hAnsi="Arial" w:cs="Arial"/>
          <w:b/>
          <w:bCs/>
        </w:rPr>
      </w:pPr>
      <w:bookmarkStart w:id="9" w:name="_Toc235711877"/>
      <w:r w:rsidRPr="00481752">
        <w:rPr>
          <w:rFonts w:ascii="Arial" w:hAnsi="Arial" w:cs="Arial"/>
          <w:b/>
          <w:bCs/>
        </w:rPr>
        <w:t>3.2 Critical Evaluation of AI Output</w:t>
      </w:r>
      <w:bookmarkEnd w:id="9"/>
    </w:p>
    <w:p w14:paraId="1586ED65" w14:textId="10E16274" w:rsidR="00D71763" w:rsidRPr="00AE612C" w:rsidRDefault="00D71763" w:rsidP="00AE612C">
      <w:pPr>
        <w:spacing w:before="100" w:beforeAutospacing="1" w:after="100" w:afterAutospacing="1" w:line="360" w:lineRule="auto"/>
        <w:jc w:val="both"/>
        <w:rPr>
          <w:rFonts w:ascii="Arial" w:hAnsi="Arial" w:cs="Arial"/>
        </w:rPr>
      </w:pPr>
      <w:r w:rsidRPr="00AE612C">
        <w:rPr>
          <w:rFonts w:ascii="Arial" w:hAnsi="Arial" w:cs="Arial"/>
        </w:rPr>
        <w:t>Adopting AI as a research assistance tool demanded a systematic and critical mindset. Large language models have the ability to return fluent but inaccurate or contextually short content (</w:t>
      </w:r>
      <w:proofErr w:type="spellStart"/>
      <w:r w:rsidRPr="00AE612C">
        <w:rPr>
          <w:rFonts w:ascii="Arial" w:hAnsi="Arial" w:cs="Arial"/>
        </w:rPr>
        <w:t>Kshetri</w:t>
      </w:r>
      <w:proofErr w:type="spellEnd"/>
      <w:r w:rsidRPr="00AE612C">
        <w:rPr>
          <w:rFonts w:ascii="Arial" w:hAnsi="Arial" w:cs="Arial"/>
        </w:rPr>
        <w:t xml:space="preserve"> et al., 2023). So I made three levels of verification. First, all statistical indicators and empirical at statements, whether they refer to copper particularly ore grade decreases or the production volumes of Codelco and the demand for copper expected by the IEA were independently analysed against the primary sources of the information. Information that could not be substantiated using alternative sources was not included.</w:t>
      </w:r>
    </w:p>
    <w:p w14:paraId="420A7901" w14:textId="744E021F" w:rsidR="00481752" w:rsidRPr="00481752" w:rsidRDefault="00D71763" w:rsidP="00AE612C">
      <w:pPr>
        <w:spacing w:before="100" w:beforeAutospacing="1" w:after="100" w:afterAutospacing="1" w:line="360" w:lineRule="auto"/>
        <w:jc w:val="both"/>
        <w:rPr>
          <w:rFonts w:ascii="Arial" w:hAnsi="Arial" w:cs="Arial"/>
        </w:rPr>
      </w:pPr>
      <w:r w:rsidRPr="00AE612C">
        <w:rPr>
          <w:rFonts w:ascii="Arial" w:hAnsi="Arial" w:cs="Arial"/>
        </w:rPr>
        <w:t>Second, the theory of the Ansoff Matrix and theory of Porter's generic strategies were verified with original and contemporary literature. The main issues with the cost leadership strategies were the framing produced by AI in section 2.2 which needed to be corrected to distinguish between operational efficiency and Porter's broader approach to strategy.</w:t>
      </w:r>
    </w:p>
    <w:p w14:paraId="26D0F1E8" w14:textId="77777777" w:rsidR="00481752" w:rsidRPr="00481752" w:rsidRDefault="00481752" w:rsidP="00AE612C">
      <w:pPr>
        <w:spacing w:before="100" w:beforeAutospacing="1" w:after="100" w:afterAutospacing="1" w:line="360" w:lineRule="auto"/>
        <w:jc w:val="both"/>
        <w:outlineLvl w:val="2"/>
        <w:rPr>
          <w:rFonts w:ascii="Arial" w:hAnsi="Arial" w:cs="Arial"/>
          <w:b/>
          <w:bCs/>
        </w:rPr>
      </w:pPr>
      <w:bookmarkStart w:id="10" w:name="_Toc235711878"/>
      <w:r w:rsidRPr="00481752">
        <w:rPr>
          <w:rFonts w:ascii="Arial" w:hAnsi="Arial" w:cs="Arial"/>
          <w:b/>
          <w:bCs/>
        </w:rPr>
        <w:t>3.3 Contribution Analysis</w:t>
      </w:r>
      <w:bookmarkEnd w:id="10"/>
    </w:p>
    <w:p w14:paraId="68D390E2" w14:textId="77777777" w:rsidR="00D71763" w:rsidRPr="00AE612C" w:rsidRDefault="00D71763" w:rsidP="00AE612C">
      <w:pPr>
        <w:spacing w:before="100" w:beforeAutospacing="1" w:after="100" w:afterAutospacing="1" w:line="360" w:lineRule="auto"/>
        <w:jc w:val="both"/>
        <w:rPr>
          <w:rFonts w:ascii="Arial" w:hAnsi="Arial" w:cs="Arial"/>
        </w:rPr>
      </w:pPr>
      <w:r w:rsidRPr="00AE612C">
        <w:rPr>
          <w:rFonts w:ascii="Arial" w:hAnsi="Arial" w:cs="Arial"/>
        </w:rPr>
        <w:t>Nothing more than an outline structure and some scope and theme suggestions were produced by the AI-assisted elements, for instance, in literature searches on the topic of responsible sourcing standards by the LME, or aspects of regulatory reform in Chile.</w:t>
      </w:r>
    </w:p>
    <w:p w14:paraId="169E4384" w14:textId="176A1EF2" w:rsidR="00481752" w:rsidRPr="00481752" w:rsidRDefault="00D71763" w:rsidP="00AE612C">
      <w:pPr>
        <w:spacing w:before="100" w:beforeAutospacing="1" w:after="100" w:afterAutospacing="1" w:line="360" w:lineRule="auto"/>
        <w:jc w:val="both"/>
        <w:rPr>
          <w:rFonts w:ascii="Arial" w:hAnsi="Arial" w:cs="Arial"/>
        </w:rPr>
      </w:pPr>
      <w:r w:rsidRPr="00AE612C">
        <w:rPr>
          <w:rFonts w:ascii="Arial" w:hAnsi="Arial" w:cs="Arial"/>
        </w:rPr>
        <w:t xml:space="preserve">The report's substantive analysis is my own. This involves focusing the natural environment as the main key player in the marketing environment, based on Codelco's operational geography and environmental limitations. The so-called "green copper" paradox, emphasizing the presence of a conflict between the use of copper in the energy transition and the carbon footprint of the copper mining industry, was identified in my analysis. Similarly, I've opted for Product Development as opposed to Diversification and based my recommendation on </w:t>
      </w:r>
      <w:r w:rsidRPr="00AE612C">
        <w:rPr>
          <w:rFonts w:ascii="Arial" w:hAnsi="Arial" w:cs="Arial"/>
        </w:rPr>
        <w:lastRenderedPageBreak/>
        <w:t>regulatory fit and my subjective observations regarding execution risk, as both those factors would help realize my strategy.</w:t>
      </w:r>
    </w:p>
    <w:p w14:paraId="5090DCB1" w14:textId="77777777" w:rsidR="00481752" w:rsidRPr="00481752" w:rsidRDefault="00481752" w:rsidP="00AE612C">
      <w:pPr>
        <w:spacing w:before="100" w:beforeAutospacing="1" w:after="100" w:afterAutospacing="1" w:line="360" w:lineRule="auto"/>
        <w:jc w:val="both"/>
        <w:outlineLvl w:val="2"/>
        <w:rPr>
          <w:rFonts w:ascii="Arial" w:hAnsi="Arial" w:cs="Arial"/>
          <w:b/>
          <w:bCs/>
        </w:rPr>
      </w:pPr>
      <w:bookmarkStart w:id="11" w:name="_Toc235711879"/>
      <w:r w:rsidRPr="00481752">
        <w:rPr>
          <w:rFonts w:ascii="Arial" w:hAnsi="Arial" w:cs="Arial"/>
          <w:b/>
          <w:bCs/>
        </w:rPr>
        <w:t>3.4 Ethical and Professional Reflection</w:t>
      </w:r>
      <w:bookmarkEnd w:id="11"/>
    </w:p>
    <w:p w14:paraId="1F028DCD" w14:textId="42AA415B" w:rsidR="00D71763" w:rsidRPr="00AE612C" w:rsidRDefault="00D71763" w:rsidP="00AE612C">
      <w:pPr>
        <w:spacing w:before="100" w:beforeAutospacing="1" w:after="100" w:afterAutospacing="1" w:line="360" w:lineRule="auto"/>
        <w:jc w:val="both"/>
        <w:rPr>
          <w:rFonts w:ascii="Arial" w:hAnsi="Arial" w:cs="Arial"/>
        </w:rPr>
      </w:pPr>
      <w:r w:rsidRPr="00AE612C">
        <w:rPr>
          <w:rFonts w:ascii="Arial" w:hAnsi="Arial" w:cs="Arial"/>
        </w:rPr>
        <w:t>My work reflects critical augmentation, employing or relying upon AI to streamline and enhance research processes, yet still giving critical research skills to the human analyst a foundational role. This supports the perspective that AI is a tool to assist, and should not supersede, researchers' cognitive involvement with text (</w:t>
      </w:r>
      <w:proofErr w:type="spellStart"/>
      <w:r w:rsidRPr="00AE612C">
        <w:rPr>
          <w:rFonts w:ascii="Arial" w:hAnsi="Arial" w:cs="Arial"/>
        </w:rPr>
        <w:t>Kshetri</w:t>
      </w:r>
      <w:proofErr w:type="spellEnd"/>
      <w:r w:rsidRPr="00AE612C">
        <w:rPr>
          <w:rFonts w:ascii="Arial" w:hAnsi="Arial" w:cs="Arial"/>
        </w:rPr>
        <w:t xml:space="preserve"> et al., 2023). I am aware that there is a fine line between the uses of AI and academic dishonesty and maintaining a genuine analytical voice. The arguments presented and the evaluations provided are my own, and the use of AI is disclosed explicitly to support academic integrity, in line with still gaining momentum guidance towards such disclosure at Universities (</w:t>
      </w:r>
      <w:proofErr w:type="spellStart"/>
      <w:r w:rsidRPr="00AE612C">
        <w:rPr>
          <w:rFonts w:ascii="Arial" w:hAnsi="Arial" w:cs="Arial"/>
        </w:rPr>
        <w:t>Floridi</w:t>
      </w:r>
      <w:proofErr w:type="spellEnd"/>
      <w:r w:rsidRPr="00AE612C">
        <w:rPr>
          <w:rFonts w:ascii="Arial" w:hAnsi="Arial" w:cs="Arial"/>
        </w:rPr>
        <w:t xml:space="preserve"> et al., 2021).</w:t>
      </w:r>
    </w:p>
    <w:p w14:paraId="0433C453" w14:textId="4E9AF476" w:rsidR="00867966" w:rsidRPr="00AE612C" w:rsidRDefault="004716FB" w:rsidP="00AE612C">
      <w:pPr>
        <w:spacing w:line="360" w:lineRule="auto"/>
        <w:jc w:val="both"/>
        <w:rPr>
          <w:rFonts w:ascii="Arial" w:hAnsi="Arial" w:cs="Arial"/>
        </w:rPr>
      </w:pPr>
      <w:r w:rsidRPr="00AE612C">
        <w:rPr>
          <w:rFonts w:ascii="Arial" w:hAnsi="Arial" w:cs="Arial"/>
        </w:rPr>
        <w:br w:type="page"/>
      </w:r>
    </w:p>
    <w:p w14:paraId="7D9FB913" w14:textId="77777777" w:rsidR="00867966" w:rsidRPr="00AE612C" w:rsidRDefault="004716FB" w:rsidP="00AE612C">
      <w:pPr>
        <w:pStyle w:val="Heading1"/>
        <w:rPr>
          <w:rFonts w:ascii="Arial" w:hAnsi="Arial" w:cs="Arial"/>
          <w:color w:val="000000" w:themeColor="text1"/>
          <w:sz w:val="24"/>
          <w:szCs w:val="24"/>
        </w:rPr>
      </w:pPr>
      <w:bookmarkStart w:id="12" w:name="_Toc235711880"/>
      <w:r w:rsidRPr="00AE612C">
        <w:rPr>
          <w:rFonts w:ascii="Arial" w:hAnsi="Arial" w:cs="Arial"/>
          <w:color w:val="000000" w:themeColor="text1"/>
          <w:sz w:val="24"/>
          <w:szCs w:val="24"/>
        </w:rPr>
        <w:lastRenderedPageBreak/>
        <w:t>REFERENCE LIST</w:t>
      </w:r>
      <w:bookmarkEnd w:id="12"/>
    </w:p>
    <w:p w14:paraId="0CB895D8" w14:textId="77777777" w:rsidR="004D7953" w:rsidRPr="00AE612C" w:rsidRDefault="004D7953" w:rsidP="00AE612C">
      <w:pPr>
        <w:pStyle w:val="NormalWeb"/>
        <w:spacing w:before="240" w:beforeAutospacing="0" w:after="240" w:afterAutospacing="0" w:line="360" w:lineRule="auto"/>
        <w:jc w:val="both"/>
        <w:rPr>
          <w:rFonts w:ascii="Arial" w:hAnsi="Arial" w:cs="Arial"/>
        </w:rPr>
      </w:pPr>
      <w:r w:rsidRPr="00AE612C">
        <w:rPr>
          <w:rFonts w:ascii="Arial" w:hAnsi="Arial" w:cs="Arial"/>
          <w:color w:val="000000"/>
        </w:rPr>
        <w:t xml:space="preserve">‌alliedoffsets.com 2025. STATE AND TRENDS OF carbon pricing. Available at: </w:t>
      </w:r>
      <w:hyperlink r:id="rId11" w:history="1">
        <w:r w:rsidRPr="00AE612C">
          <w:rPr>
            <w:rStyle w:val="Hyperlink"/>
            <w:rFonts w:ascii="Arial" w:hAnsi="Arial" w:cs="Arial"/>
            <w:color w:val="1155CC"/>
          </w:rPr>
          <w:t>https://alliedoffsets.com/wp-content/uploads/2025/10/State-and-Trends-of-Carbon-Pricing-2025-2.pdf</w:t>
        </w:r>
      </w:hyperlink>
      <w:r w:rsidRPr="00AE612C">
        <w:rPr>
          <w:rFonts w:ascii="Arial" w:hAnsi="Arial" w:cs="Arial"/>
          <w:color w:val="000000"/>
        </w:rPr>
        <w:t>  [Accessed 23 July 2026]</w:t>
      </w:r>
    </w:p>
    <w:p w14:paraId="20592768" w14:textId="77777777" w:rsidR="004D7953" w:rsidRPr="00AE612C" w:rsidRDefault="004D7953" w:rsidP="00AE612C">
      <w:pPr>
        <w:spacing w:before="100" w:after="100" w:line="360" w:lineRule="auto"/>
        <w:jc w:val="both"/>
        <w:rPr>
          <w:rFonts w:ascii="Arial" w:hAnsi="Arial" w:cs="Arial"/>
        </w:rPr>
      </w:pPr>
      <w:r w:rsidRPr="00AE612C">
        <w:rPr>
          <w:rFonts w:ascii="Arial" w:hAnsi="Arial" w:cs="Arial"/>
          <w:bCs/>
        </w:rPr>
        <w:t xml:space="preserve">BHP (2023) </w:t>
      </w:r>
      <w:r w:rsidRPr="00AE612C">
        <w:rPr>
          <w:rFonts w:ascii="Arial" w:hAnsi="Arial" w:cs="Arial"/>
        </w:rPr>
        <w:t xml:space="preserve">Climate Transition Action Plan 2023. BHP Group Limited. Available at: </w:t>
      </w:r>
      <w:hyperlink r:id="rId12" w:history="1">
        <w:r w:rsidRPr="00AE612C">
          <w:rPr>
            <w:rStyle w:val="Hyperlink"/>
            <w:rFonts w:ascii="Arial" w:hAnsi="Arial" w:cs="Arial"/>
          </w:rPr>
          <w:t>https://www.bhp.com/sustainability/climate-change</w:t>
        </w:r>
      </w:hyperlink>
      <w:r w:rsidRPr="00AE612C">
        <w:rPr>
          <w:rFonts w:ascii="Arial" w:hAnsi="Arial" w:cs="Arial"/>
        </w:rPr>
        <w:t xml:space="preserve">  </w:t>
      </w:r>
      <w:r w:rsidRPr="00AE612C">
        <w:rPr>
          <w:rFonts w:ascii="Arial" w:hAnsi="Arial" w:cs="Arial"/>
          <w:color w:val="000000"/>
        </w:rPr>
        <w:t>[Accessed 23 July 2026]</w:t>
      </w:r>
      <w:r w:rsidRPr="00AE612C">
        <w:rPr>
          <w:rFonts w:ascii="Arial" w:hAnsi="Arial" w:cs="Arial"/>
        </w:rPr>
        <w:t>.</w:t>
      </w:r>
    </w:p>
    <w:p w14:paraId="17499381" w14:textId="77777777" w:rsidR="004D7953" w:rsidRPr="00AE612C" w:rsidRDefault="004D7953" w:rsidP="00AE612C">
      <w:pPr>
        <w:pStyle w:val="NormalWeb"/>
        <w:spacing w:before="0" w:beforeAutospacing="0" w:after="240" w:afterAutospacing="0" w:line="360" w:lineRule="auto"/>
        <w:jc w:val="both"/>
        <w:rPr>
          <w:rFonts w:ascii="Arial" w:hAnsi="Arial" w:cs="Arial"/>
        </w:rPr>
      </w:pPr>
      <w:r w:rsidRPr="00AE612C">
        <w:rPr>
          <w:rFonts w:ascii="Arial" w:hAnsi="Arial" w:cs="Arial"/>
          <w:color w:val="000000"/>
        </w:rPr>
        <w:t xml:space="preserve">Codelco.com (2022). </w:t>
      </w:r>
      <w:r w:rsidRPr="00AE612C">
        <w:rPr>
          <w:rFonts w:ascii="Arial" w:hAnsi="Arial" w:cs="Arial"/>
          <w:i/>
          <w:iCs/>
          <w:color w:val="000000"/>
        </w:rPr>
        <w:t>Sustainability Commitments by 2030</w:t>
      </w:r>
      <w:r w:rsidRPr="00AE612C">
        <w:rPr>
          <w:rFonts w:ascii="Arial" w:hAnsi="Arial" w:cs="Arial"/>
          <w:color w:val="000000"/>
        </w:rPr>
        <w:t xml:space="preserve">. [online] Available at: </w:t>
      </w:r>
      <w:hyperlink r:id="rId13" w:history="1">
        <w:r w:rsidRPr="00AE612C">
          <w:rPr>
            <w:rStyle w:val="Hyperlink"/>
            <w:rFonts w:ascii="Arial" w:hAnsi="Arial" w:cs="Arial"/>
            <w:color w:val="1155CC"/>
          </w:rPr>
          <w:t>https://www.codelco.com/sustainability-commitments-by-2030</w:t>
        </w:r>
      </w:hyperlink>
      <w:r w:rsidRPr="00AE612C">
        <w:rPr>
          <w:rFonts w:ascii="Arial" w:hAnsi="Arial" w:cs="Arial"/>
          <w:color w:val="000000"/>
        </w:rPr>
        <w:t>  [Accessed 23 July 2026].</w:t>
      </w:r>
    </w:p>
    <w:p w14:paraId="7CAC83B7" w14:textId="77777777" w:rsidR="004D7953" w:rsidRPr="00AE612C" w:rsidRDefault="004D7953" w:rsidP="00AE612C">
      <w:pPr>
        <w:pStyle w:val="NormalWeb"/>
        <w:spacing w:before="240" w:beforeAutospacing="0" w:after="240" w:afterAutospacing="0" w:line="360" w:lineRule="auto"/>
        <w:jc w:val="both"/>
        <w:rPr>
          <w:rFonts w:ascii="Arial" w:hAnsi="Arial" w:cs="Arial"/>
        </w:rPr>
      </w:pPr>
      <w:r w:rsidRPr="00AE612C">
        <w:rPr>
          <w:rFonts w:ascii="Arial" w:hAnsi="Arial" w:cs="Arial"/>
          <w:color w:val="000000"/>
        </w:rPr>
        <w:t xml:space="preserve">Codelco.com (2023). Annual Report 2023. Available at: </w:t>
      </w:r>
      <w:hyperlink r:id="rId14" w:history="1">
        <w:r w:rsidRPr="00AE612C">
          <w:rPr>
            <w:rStyle w:val="Hyperlink"/>
            <w:rFonts w:ascii="Arial" w:hAnsi="Arial" w:cs="Arial"/>
            <w:color w:val="1155CC"/>
          </w:rPr>
          <w:t>https://www.codelco.com/prontus_codelco/site/docs/20240404/20240404191040/24jun_codelco_annual_report.pdf</w:t>
        </w:r>
      </w:hyperlink>
      <w:r w:rsidRPr="00AE612C">
        <w:rPr>
          <w:rFonts w:ascii="Arial" w:hAnsi="Arial" w:cs="Arial"/>
          <w:color w:val="000000"/>
        </w:rPr>
        <w:t xml:space="preserve"> [Accessed 23 July 2026]</w:t>
      </w:r>
    </w:p>
    <w:p w14:paraId="01460B1B" w14:textId="77777777" w:rsidR="004D7953" w:rsidRPr="00AE612C" w:rsidRDefault="004D7953" w:rsidP="00AE612C">
      <w:pPr>
        <w:pStyle w:val="NormalWeb"/>
        <w:spacing w:before="240" w:beforeAutospacing="0" w:after="240" w:afterAutospacing="0" w:line="360" w:lineRule="auto"/>
        <w:jc w:val="both"/>
        <w:rPr>
          <w:rFonts w:ascii="Arial" w:hAnsi="Arial" w:cs="Arial"/>
        </w:rPr>
      </w:pPr>
      <w:r w:rsidRPr="00AE612C">
        <w:rPr>
          <w:rFonts w:ascii="Arial" w:hAnsi="Arial" w:cs="Arial"/>
          <w:color w:val="000000"/>
        </w:rPr>
        <w:t xml:space="preserve">‌Codelco.com (2026b). FULL YEAR 2025 RESULTS. Available at: </w:t>
      </w:r>
      <w:hyperlink r:id="rId15" w:history="1">
        <w:r w:rsidRPr="00AE612C">
          <w:rPr>
            <w:rStyle w:val="Hyperlink"/>
            <w:rFonts w:ascii="Arial" w:hAnsi="Arial" w:cs="Arial"/>
            <w:color w:val="1155CC"/>
          </w:rPr>
          <w:t>https://www.codelco.com/sites/site/docs/20250428/20250428185356/operational_and_financial_report_december_31_2025_production_restated.pdf</w:t>
        </w:r>
      </w:hyperlink>
      <w:r w:rsidRPr="00AE612C">
        <w:rPr>
          <w:rFonts w:ascii="Arial" w:hAnsi="Arial" w:cs="Arial"/>
          <w:color w:val="000000"/>
        </w:rPr>
        <w:t>  [Accessed 23 July 2026]</w:t>
      </w:r>
    </w:p>
    <w:p w14:paraId="7724B597" w14:textId="77777777" w:rsidR="004D7953" w:rsidRPr="00AE612C" w:rsidRDefault="004D7953" w:rsidP="00AE612C">
      <w:pPr>
        <w:pStyle w:val="NormalWeb"/>
        <w:spacing w:before="0" w:beforeAutospacing="0" w:after="240" w:afterAutospacing="0" w:line="360" w:lineRule="auto"/>
        <w:jc w:val="both"/>
        <w:rPr>
          <w:rFonts w:ascii="Arial" w:hAnsi="Arial" w:cs="Arial"/>
        </w:rPr>
      </w:pPr>
      <w:r w:rsidRPr="00AE612C">
        <w:rPr>
          <w:rFonts w:ascii="Arial" w:hAnsi="Arial" w:cs="Arial"/>
          <w:color w:val="000000"/>
        </w:rPr>
        <w:t xml:space="preserve">codelco.com. (2026a). </w:t>
      </w:r>
      <w:r w:rsidRPr="00AE612C">
        <w:rPr>
          <w:rFonts w:ascii="Arial" w:hAnsi="Arial" w:cs="Arial"/>
          <w:i/>
          <w:iCs/>
          <w:color w:val="000000"/>
        </w:rPr>
        <w:t>Codelco strengthens its global position in rhenium production, with 10% of the world market</w:t>
      </w:r>
      <w:r w:rsidRPr="00AE612C">
        <w:rPr>
          <w:rFonts w:ascii="Arial" w:hAnsi="Arial" w:cs="Arial"/>
          <w:color w:val="000000"/>
        </w:rPr>
        <w:t xml:space="preserve">. [online] Available at: </w:t>
      </w:r>
      <w:hyperlink r:id="rId16" w:history="1">
        <w:r w:rsidRPr="00AE612C">
          <w:rPr>
            <w:rStyle w:val="Hyperlink"/>
            <w:rFonts w:ascii="Arial" w:hAnsi="Arial" w:cs="Arial"/>
            <w:color w:val="1155CC"/>
          </w:rPr>
          <w:t>https://www.codelco.com/en/prensa/2026/codelco-afianza-su-posicion-global-en-la-produccion-de-renio</w:t>
        </w:r>
      </w:hyperlink>
      <w:r w:rsidRPr="00AE612C">
        <w:rPr>
          <w:rFonts w:ascii="Arial" w:hAnsi="Arial" w:cs="Arial"/>
          <w:color w:val="000000"/>
        </w:rPr>
        <w:t>  [Accessed 23 July 2026].</w:t>
      </w:r>
    </w:p>
    <w:p w14:paraId="56575731" w14:textId="77777777" w:rsidR="004D7953" w:rsidRPr="00AE612C" w:rsidRDefault="004D7953" w:rsidP="00AE612C">
      <w:pPr>
        <w:spacing w:before="100" w:after="100" w:line="360" w:lineRule="auto"/>
        <w:jc w:val="both"/>
        <w:rPr>
          <w:rFonts w:ascii="Arial" w:hAnsi="Arial" w:cs="Arial"/>
        </w:rPr>
      </w:pPr>
      <w:r w:rsidRPr="00AE612C">
        <w:rPr>
          <w:rFonts w:ascii="Arial" w:hAnsi="Arial" w:cs="Arial"/>
          <w:bCs/>
        </w:rPr>
        <w:t xml:space="preserve">European Parliament (2024) </w:t>
      </w:r>
      <w:r w:rsidRPr="00AE612C">
        <w:rPr>
          <w:rFonts w:ascii="Arial" w:hAnsi="Arial" w:cs="Arial"/>
        </w:rPr>
        <w:t xml:space="preserve">Corporate Sustainability Due Diligence Directive (CS3D). Official Journal of the European Union. Available at: </w:t>
      </w:r>
      <w:hyperlink r:id="rId17" w:history="1">
        <w:r w:rsidRPr="00AE612C">
          <w:rPr>
            <w:rStyle w:val="Hyperlink"/>
            <w:rFonts w:ascii="Arial" w:hAnsi="Arial" w:cs="Arial"/>
          </w:rPr>
          <w:t>https://eur-lex.europa.eu/legal-content/EN/TXT/?uri=OJ:L_202401257</w:t>
        </w:r>
      </w:hyperlink>
      <w:r w:rsidRPr="00AE612C">
        <w:rPr>
          <w:rFonts w:ascii="Arial" w:hAnsi="Arial" w:cs="Arial"/>
        </w:rPr>
        <w:t xml:space="preserve">  </w:t>
      </w:r>
      <w:r w:rsidRPr="00AE612C">
        <w:rPr>
          <w:rFonts w:ascii="Arial" w:hAnsi="Arial" w:cs="Arial"/>
          <w:color w:val="000000"/>
        </w:rPr>
        <w:t>[Accessed 23 July 2026]</w:t>
      </w:r>
      <w:r w:rsidRPr="00AE612C">
        <w:rPr>
          <w:rFonts w:ascii="Arial" w:hAnsi="Arial" w:cs="Arial"/>
        </w:rPr>
        <w:t>.</w:t>
      </w:r>
    </w:p>
    <w:p w14:paraId="6FB8E969" w14:textId="77777777" w:rsidR="004D7953" w:rsidRPr="00AE612C" w:rsidRDefault="004D7953" w:rsidP="00AE612C">
      <w:pPr>
        <w:spacing w:before="100" w:after="100" w:line="360" w:lineRule="auto"/>
        <w:jc w:val="both"/>
        <w:rPr>
          <w:rFonts w:ascii="Arial" w:hAnsi="Arial" w:cs="Arial"/>
        </w:rPr>
      </w:pPr>
      <w:proofErr w:type="spellStart"/>
      <w:r w:rsidRPr="00AE612C">
        <w:rPr>
          <w:rFonts w:ascii="Arial" w:hAnsi="Arial" w:cs="Arial"/>
          <w:bCs/>
        </w:rPr>
        <w:t>Floridi</w:t>
      </w:r>
      <w:proofErr w:type="spellEnd"/>
      <w:r w:rsidRPr="00AE612C">
        <w:rPr>
          <w:rFonts w:ascii="Arial" w:hAnsi="Arial" w:cs="Arial"/>
          <w:bCs/>
        </w:rPr>
        <w:t xml:space="preserve">, L., Cowls, J., King, T.C. and Taddeo, M. (2021) </w:t>
      </w:r>
      <w:r w:rsidRPr="00AE612C">
        <w:rPr>
          <w:rFonts w:ascii="Arial" w:hAnsi="Arial" w:cs="Arial"/>
        </w:rPr>
        <w:t xml:space="preserve">How to design AI for social good: Seven essential factors. </w:t>
      </w:r>
      <w:r w:rsidRPr="00AE612C">
        <w:rPr>
          <w:rFonts w:ascii="Arial" w:hAnsi="Arial" w:cs="Arial"/>
          <w:i/>
          <w:iCs/>
        </w:rPr>
        <w:t>Science and Engineering Ethics</w:t>
      </w:r>
      <w:r w:rsidRPr="00AE612C">
        <w:rPr>
          <w:rFonts w:ascii="Arial" w:hAnsi="Arial" w:cs="Arial"/>
        </w:rPr>
        <w:t xml:space="preserve">, 26(3), pp.1771–1796. Available at: </w:t>
      </w:r>
      <w:hyperlink r:id="rId18" w:history="1">
        <w:r w:rsidRPr="00AE612C">
          <w:rPr>
            <w:rStyle w:val="Hyperlink"/>
            <w:rFonts w:ascii="Arial" w:hAnsi="Arial" w:cs="Arial"/>
          </w:rPr>
          <w:t>https://doi.org/10.1007/s11948-020-00213-5</w:t>
        </w:r>
      </w:hyperlink>
      <w:r w:rsidRPr="00AE612C">
        <w:rPr>
          <w:rFonts w:ascii="Arial" w:hAnsi="Arial" w:cs="Arial"/>
        </w:rPr>
        <w:t xml:space="preserve"> </w:t>
      </w:r>
      <w:r w:rsidRPr="00AE612C">
        <w:rPr>
          <w:rFonts w:ascii="Arial" w:hAnsi="Arial" w:cs="Arial"/>
          <w:color w:val="000000"/>
        </w:rPr>
        <w:t>[Accessed 23 July 2026]</w:t>
      </w:r>
    </w:p>
    <w:p w14:paraId="23DF4F97" w14:textId="77777777" w:rsidR="004D7953" w:rsidRPr="00A77FF1" w:rsidRDefault="004D7953" w:rsidP="00A77FF1">
      <w:pPr>
        <w:pStyle w:val="NormalWeb"/>
        <w:spacing w:before="0" w:beforeAutospacing="0" w:after="240" w:afterAutospacing="0" w:line="360" w:lineRule="auto"/>
        <w:jc w:val="both"/>
        <w:rPr>
          <w:rFonts w:ascii="Arial" w:hAnsi="Arial" w:cs="Arial"/>
        </w:rPr>
      </w:pPr>
      <w:r w:rsidRPr="00A77FF1">
        <w:rPr>
          <w:rFonts w:ascii="Arial" w:hAnsi="Arial" w:cs="Arial"/>
          <w:color w:val="000000"/>
        </w:rPr>
        <w:lastRenderedPageBreak/>
        <w:t xml:space="preserve">Gbreports.com. (2021). </w:t>
      </w:r>
      <w:r w:rsidRPr="00A77FF1">
        <w:rPr>
          <w:rFonts w:ascii="Arial" w:hAnsi="Arial" w:cs="Arial"/>
          <w:i/>
          <w:iCs/>
          <w:color w:val="000000"/>
        </w:rPr>
        <w:t>Codelco: Going Underground - Chile Mining 2021</w:t>
      </w:r>
      <w:r w:rsidRPr="00A77FF1">
        <w:rPr>
          <w:rFonts w:ascii="Arial" w:hAnsi="Arial" w:cs="Arial"/>
          <w:color w:val="000000"/>
        </w:rPr>
        <w:t xml:space="preserve">. [online] Available at: </w:t>
      </w:r>
      <w:hyperlink r:id="rId19" w:history="1">
        <w:r w:rsidRPr="00E67714">
          <w:rPr>
            <w:rStyle w:val="Hyperlink"/>
            <w:rFonts w:ascii="Arial" w:hAnsi="Arial" w:cs="Arial"/>
          </w:rPr>
          <w:t>https://projects.gbreports.com/chile-mining-2021/codelco-going-underground</w:t>
        </w:r>
      </w:hyperlink>
      <w:r>
        <w:rPr>
          <w:rFonts w:ascii="Arial" w:hAnsi="Arial" w:cs="Arial"/>
          <w:color w:val="000000"/>
        </w:rPr>
        <w:t xml:space="preserve"> </w:t>
      </w:r>
      <w:r w:rsidRPr="00A77FF1">
        <w:rPr>
          <w:rFonts w:ascii="Arial" w:hAnsi="Arial" w:cs="Arial"/>
          <w:color w:val="000000"/>
        </w:rPr>
        <w:t xml:space="preserve"> [Accessed 23 July 2026].</w:t>
      </w:r>
    </w:p>
    <w:p w14:paraId="48FD23CE" w14:textId="77777777" w:rsidR="004D7953" w:rsidRPr="00AE612C" w:rsidRDefault="004D7953" w:rsidP="00AE612C">
      <w:pPr>
        <w:spacing w:before="100" w:after="100" w:line="360" w:lineRule="auto"/>
        <w:jc w:val="both"/>
        <w:rPr>
          <w:rFonts w:ascii="Arial" w:hAnsi="Arial" w:cs="Arial"/>
        </w:rPr>
      </w:pPr>
      <w:r w:rsidRPr="00AE612C">
        <w:rPr>
          <w:rFonts w:ascii="Arial" w:hAnsi="Arial" w:cs="Arial"/>
          <w:bCs/>
        </w:rPr>
        <w:t xml:space="preserve">Global Reporting Initiative (GRI) (2022) </w:t>
      </w:r>
      <w:r w:rsidRPr="00AE612C">
        <w:rPr>
          <w:rFonts w:ascii="Arial" w:hAnsi="Arial" w:cs="Arial"/>
        </w:rPr>
        <w:t xml:space="preserve">GRI Universal Standards 2021: Effective Dates and Application. GRI. Available at: </w:t>
      </w:r>
      <w:hyperlink r:id="rId20" w:history="1">
        <w:r w:rsidRPr="00AE612C">
          <w:rPr>
            <w:rStyle w:val="Hyperlink"/>
            <w:rFonts w:ascii="Arial" w:hAnsi="Arial" w:cs="Arial"/>
          </w:rPr>
          <w:t>https://www.globalreporting.org/standards</w:t>
        </w:r>
      </w:hyperlink>
      <w:r w:rsidRPr="00AE612C">
        <w:rPr>
          <w:rFonts w:ascii="Arial" w:hAnsi="Arial" w:cs="Arial"/>
        </w:rPr>
        <w:t xml:space="preserve">  </w:t>
      </w:r>
      <w:r w:rsidRPr="00AE612C">
        <w:rPr>
          <w:rFonts w:ascii="Arial" w:hAnsi="Arial" w:cs="Arial"/>
          <w:color w:val="000000"/>
        </w:rPr>
        <w:t>[Accessed 23 July 2026]</w:t>
      </w:r>
      <w:r w:rsidRPr="00AE612C">
        <w:rPr>
          <w:rFonts w:ascii="Arial" w:hAnsi="Arial" w:cs="Arial"/>
        </w:rPr>
        <w:t>.</w:t>
      </w:r>
    </w:p>
    <w:p w14:paraId="32536868" w14:textId="77777777" w:rsidR="004D7953" w:rsidRPr="00AE612C" w:rsidRDefault="004D7953" w:rsidP="00AE612C">
      <w:pPr>
        <w:pStyle w:val="NormalWeb"/>
        <w:spacing w:before="0" w:beforeAutospacing="0" w:after="240" w:afterAutospacing="0" w:line="360" w:lineRule="auto"/>
        <w:jc w:val="both"/>
        <w:rPr>
          <w:rFonts w:ascii="Arial" w:hAnsi="Arial" w:cs="Arial"/>
        </w:rPr>
      </w:pPr>
      <w:r w:rsidRPr="00AE612C">
        <w:rPr>
          <w:rFonts w:ascii="Arial" w:hAnsi="Arial" w:cs="Arial"/>
          <w:color w:val="000000"/>
        </w:rPr>
        <w:t xml:space="preserve">Hidayat, M. (2025). </w:t>
      </w:r>
      <w:r w:rsidRPr="00AE612C">
        <w:rPr>
          <w:rFonts w:ascii="Arial" w:hAnsi="Arial" w:cs="Arial"/>
          <w:i/>
          <w:iCs/>
          <w:color w:val="000000"/>
        </w:rPr>
        <w:t>Structural Copper Deficit: Market Implications Through 2030</w:t>
      </w:r>
      <w:r w:rsidRPr="00AE612C">
        <w:rPr>
          <w:rFonts w:ascii="Arial" w:hAnsi="Arial" w:cs="Arial"/>
          <w:color w:val="000000"/>
        </w:rPr>
        <w:t xml:space="preserve">. [online] Available at: </w:t>
      </w:r>
      <w:hyperlink r:id="rId21" w:history="1">
        <w:r w:rsidRPr="00AE612C">
          <w:rPr>
            <w:rStyle w:val="Hyperlink"/>
            <w:rFonts w:ascii="Arial" w:hAnsi="Arial" w:cs="Arial"/>
            <w:color w:val="1155CC"/>
          </w:rPr>
          <w:t>https://discoveryalert.com.au/structural-copper-deficit-market-implications-2025/</w:t>
        </w:r>
      </w:hyperlink>
      <w:r w:rsidRPr="00AE612C">
        <w:rPr>
          <w:rFonts w:ascii="Arial" w:hAnsi="Arial" w:cs="Arial"/>
          <w:color w:val="000000"/>
        </w:rPr>
        <w:t>  [Accessed 23 July 2026].</w:t>
      </w:r>
    </w:p>
    <w:p w14:paraId="44D93E10" w14:textId="77777777" w:rsidR="004D7953" w:rsidRPr="00AE612C" w:rsidRDefault="004D7953" w:rsidP="00AE612C">
      <w:pPr>
        <w:spacing w:before="100" w:after="100" w:line="360" w:lineRule="auto"/>
        <w:jc w:val="both"/>
        <w:rPr>
          <w:rFonts w:ascii="Arial" w:hAnsi="Arial" w:cs="Arial"/>
        </w:rPr>
      </w:pPr>
      <w:r w:rsidRPr="00AE612C">
        <w:rPr>
          <w:rFonts w:ascii="Arial" w:hAnsi="Arial" w:cs="Arial"/>
          <w:bCs/>
        </w:rPr>
        <w:t xml:space="preserve">International Energy Agency (IEA) (2023) </w:t>
      </w:r>
      <w:r w:rsidRPr="00AE612C">
        <w:rPr>
          <w:rFonts w:ascii="Arial" w:hAnsi="Arial" w:cs="Arial"/>
        </w:rPr>
        <w:t xml:space="preserve">Critical Minerals Market Review 2023. IEA. Available at: </w:t>
      </w:r>
      <w:hyperlink r:id="rId22" w:history="1">
        <w:r w:rsidRPr="00AE612C">
          <w:rPr>
            <w:rStyle w:val="Hyperlink"/>
            <w:rFonts w:ascii="Arial" w:hAnsi="Arial" w:cs="Arial"/>
          </w:rPr>
          <w:t>https://www.iea.org/reports/critical-minerals-market-review-2023</w:t>
        </w:r>
      </w:hyperlink>
      <w:r w:rsidRPr="00AE612C">
        <w:rPr>
          <w:rFonts w:ascii="Arial" w:hAnsi="Arial" w:cs="Arial"/>
        </w:rPr>
        <w:t xml:space="preserve">  </w:t>
      </w:r>
      <w:r w:rsidRPr="00AE612C">
        <w:rPr>
          <w:rFonts w:ascii="Arial" w:hAnsi="Arial" w:cs="Arial"/>
          <w:color w:val="000000"/>
        </w:rPr>
        <w:t>[Accessed 23 July 2026]</w:t>
      </w:r>
      <w:r w:rsidRPr="00AE612C">
        <w:rPr>
          <w:rFonts w:ascii="Arial" w:hAnsi="Arial" w:cs="Arial"/>
        </w:rPr>
        <w:t>.</w:t>
      </w:r>
    </w:p>
    <w:p w14:paraId="5D2ED54F" w14:textId="77777777" w:rsidR="004D7953" w:rsidRPr="00AE612C" w:rsidRDefault="004D7953" w:rsidP="00AE612C">
      <w:pPr>
        <w:pStyle w:val="NormalWeb"/>
        <w:spacing w:before="240" w:beforeAutospacing="0" w:after="240" w:afterAutospacing="0" w:line="360" w:lineRule="auto"/>
        <w:jc w:val="both"/>
        <w:rPr>
          <w:rFonts w:ascii="Arial" w:hAnsi="Arial" w:cs="Arial"/>
        </w:rPr>
      </w:pPr>
      <w:r w:rsidRPr="00AE612C">
        <w:rPr>
          <w:rFonts w:ascii="Arial" w:hAnsi="Arial" w:cs="Arial"/>
          <w:color w:val="000000"/>
        </w:rPr>
        <w:t>‌</w:t>
      </w:r>
      <w:proofErr w:type="spellStart"/>
      <w:r w:rsidRPr="00AE612C">
        <w:rPr>
          <w:rFonts w:ascii="Arial" w:hAnsi="Arial" w:cs="Arial"/>
          <w:color w:val="222222"/>
          <w:shd w:val="clear" w:color="auto" w:fill="FFFFFF"/>
        </w:rPr>
        <w:t>Kshetri</w:t>
      </w:r>
      <w:proofErr w:type="spellEnd"/>
      <w:r w:rsidRPr="00AE612C">
        <w:rPr>
          <w:rFonts w:ascii="Arial" w:hAnsi="Arial" w:cs="Arial"/>
          <w:color w:val="222222"/>
          <w:shd w:val="clear" w:color="auto" w:fill="FFFFFF"/>
        </w:rPr>
        <w:t xml:space="preserve">, N., Hughes, L., </w:t>
      </w:r>
      <w:proofErr w:type="spellStart"/>
      <w:r w:rsidRPr="00AE612C">
        <w:rPr>
          <w:rFonts w:ascii="Arial" w:hAnsi="Arial" w:cs="Arial"/>
          <w:color w:val="222222"/>
          <w:shd w:val="clear" w:color="auto" w:fill="FFFFFF"/>
        </w:rPr>
        <w:t>louise</w:t>
      </w:r>
      <w:proofErr w:type="spellEnd"/>
      <w:r w:rsidRPr="00AE612C">
        <w:rPr>
          <w:rFonts w:ascii="Arial" w:hAnsi="Arial" w:cs="Arial"/>
          <w:color w:val="222222"/>
          <w:shd w:val="clear" w:color="auto" w:fill="FFFFFF"/>
        </w:rPr>
        <w:t xml:space="preserve"> Slade, E., Jeyaraj, A., </w:t>
      </w:r>
      <w:proofErr w:type="spellStart"/>
      <w:r w:rsidRPr="00AE612C">
        <w:rPr>
          <w:rFonts w:ascii="Arial" w:hAnsi="Arial" w:cs="Arial"/>
          <w:color w:val="222222"/>
          <w:shd w:val="clear" w:color="auto" w:fill="FFFFFF"/>
        </w:rPr>
        <w:t>kumar</w:t>
      </w:r>
      <w:proofErr w:type="spellEnd"/>
      <w:r w:rsidRPr="00AE612C">
        <w:rPr>
          <w:rFonts w:ascii="Arial" w:hAnsi="Arial" w:cs="Arial"/>
          <w:color w:val="222222"/>
          <w:shd w:val="clear" w:color="auto" w:fill="FFFFFF"/>
        </w:rPr>
        <w:t xml:space="preserve"> Kar, A., </w:t>
      </w:r>
      <w:proofErr w:type="spellStart"/>
      <w:r w:rsidRPr="00AE612C">
        <w:rPr>
          <w:rFonts w:ascii="Arial" w:hAnsi="Arial" w:cs="Arial"/>
          <w:color w:val="222222"/>
          <w:shd w:val="clear" w:color="auto" w:fill="FFFFFF"/>
        </w:rPr>
        <w:t>Koohang</w:t>
      </w:r>
      <w:proofErr w:type="spellEnd"/>
      <w:r w:rsidRPr="00AE612C">
        <w:rPr>
          <w:rFonts w:ascii="Arial" w:hAnsi="Arial" w:cs="Arial"/>
          <w:color w:val="222222"/>
          <w:shd w:val="clear" w:color="auto" w:fill="FFFFFF"/>
        </w:rPr>
        <w:t xml:space="preserve">, A., Raghavan, V., Ahuja, M., Albanna, H., </w:t>
      </w:r>
      <w:proofErr w:type="spellStart"/>
      <w:r w:rsidRPr="00AE612C">
        <w:rPr>
          <w:rFonts w:ascii="Arial" w:hAnsi="Arial" w:cs="Arial"/>
          <w:color w:val="222222"/>
          <w:shd w:val="clear" w:color="auto" w:fill="FFFFFF"/>
        </w:rPr>
        <w:t>ahmad</w:t>
      </w:r>
      <w:proofErr w:type="spellEnd"/>
      <w:r w:rsidRPr="00AE612C">
        <w:rPr>
          <w:rFonts w:ascii="Arial" w:hAnsi="Arial" w:cs="Arial"/>
          <w:color w:val="222222"/>
          <w:shd w:val="clear" w:color="auto" w:fill="FFFFFF"/>
        </w:rPr>
        <w:t xml:space="preserve"> Albashrawi, M. and Balakrishnan, J., 2023. “So what if ChatGPT wrote it?” Multidisciplinary perspectives on opportunities, challenges and implications of generative conversational AI for research, practice and policy. </w:t>
      </w:r>
      <w:r w:rsidRPr="00AE612C">
        <w:rPr>
          <w:rFonts w:ascii="Arial" w:hAnsi="Arial" w:cs="Arial"/>
          <w:i/>
          <w:iCs/>
          <w:color w:val="222222"/>
          <w:shd w:val="clear" w:color="auto" w:fill="FFFFFF"/>
        </w:rPr>
        <w:t>International Journal of Information Management</w:t>
      </w:r>
      <w:r w:rsidRPr="00AE612C">
        <w:rPr>
          <w:rFonts w:ascii="Arial" w:hAnsi="Arial" w:cs="Arial"/>
          <w:color w:val="222222"/>
          <w:shd w:val="clear" w:color="auto" w:fill="FFFFFF"/>
        </w:rPr>
        <w:t xml:space="preserve">, </w:t>
      </w:r>
      <w:r w:rsidRPr="00AE612C">
        <w:rPr>
          <w:rFonts w:ascii="Arial" w:hAnsi="Arial" w:cs="Arial"/>
          <w:i/>
          <w:iCs/>
          <w:color w:val="222222"/>
          <w:shd w:val="clear" w:color="auto" w:fill="FFFFFF"/>
        </w:rPr>
        <w:t>71</w:t>
      </w:r>
      <w:r w:rsidRPr="00AE612C">
        <w:rPr>
          <w:rFonts w:ascii="Arial" w:hAnsi="Arial" w:cs="Arial"/>
          <w:color w:val="222222"/>
          <w:shd w:val="clear" w:color="auto" w:fill="FFFFFF"/>
        </w:rPr>
        <w:t>, p.102642.</w:t>
      </w:r>
      <w:r w:rsidRPr="00AE612C">
        <w:rPr>
          <w:rFonts w:ascii="Arial" w:hAnsi="Arial" w:cs="Arial"/>
          <w:color w:val="000000"/>
        </w:rPr>
        <w:t xml:space="preserve">  </w:t>
      </w:r>
      <w:hyperlink r:id="rId23" w:history="1">
        <w:r w:rsidRPr="00AE612C">
          <w:rPr>
            <w:rStyle w:val="Hyperlink"/>
            <w:rFonts w:ascii="Arial" w:hAnsi="Arial" w:cs="Arial"/>
            <w:color w:val="1155CC"/>
          </w:rPr>
          <w:t>https://researchportal.port.ac.uk/en/publications/so-what-if-chatgpt-wrote-it-multidisciplinary-perspectives-on-opp/</w:t>
        </w:r>
      </w:hyperlink>
      <w:r w:rsidRPr="00AE612C">
        <w:rPr>
          <w:rFonts w:ascii="Arial" w:hAnsi="Arial" w:cs="Arial"/>
          <w:color w:val="000000"/>
        </w:rPr>
        <w:t> </w:t>
      </w:r>
    </w:p>
    <w:p w14:paraId="68BA2E4F" w14:textId="77777777" w:rsidR="004D7953" w:rsidRPr="00AE612C" w:rsidRDefault="004D7953" w:rsidP="00AE612C">
      <w:pPr>
        <w:spacing w:before="100" w:after="100" w:line="360" w:lineRule="auto"/>
        <w:jc w:val="both"/>
        <w:rPr>
          <w:rFonts w:ascii="Arial" w:hAnsi="Arial" w:cs="Arial"/>
        </w:rPr>
      </w:pPr>
      <w:r w:rsidRPr="00AE612C">
        <w:rPr>
          <w:rFonts w:ascii="Arial" w:hAnsi="Arial" w:cs="Arial"/>
          <w:bCs/>
        </w:rPr>
        <w:t xml:space="preserve">Liu, J., Hull, V., Godfray, H.C.J., Tilman, D., Gleick, P., Hoff, H., Pahl-Wostl, C., Xu, Z., Chung, M.G., Sun, J. and Li, S. (2018) </w:t>
      </w:r>
      <w:r w:rsidRPr="00AE612C">
        <w:rPr>
          <w:rFonts w:ascii="Arial" w:hAnsi="Arial" w:cs="Arial"/>
        </w:rPr>
        <w:t xml:space="preserve">Nexus approaches to global sustainable development. </w:t>
      </w:r>
      <w:r w:rsidRPr="00AE612C">
        <w:rPr>
          <w:rFonts w:ascii="Arial" w:hAnsi="Arial" w:cs="Arial"/>
          <w:i/>
          <w:iCs/>
        </w:rPr>
        <w:t>Nature Sustainability</w:t>
      </w:r>
      <w:r w:rsidRPr="00AE612C">
        <w:rPr>
          <w:rFonts w:ascii="Arial" w:hAnsi="Arial" w:cs="Arial"/>
        </w:rPr>
        <w:t xml:space="preserve">, 1(9), pp.466–476. Available at: </w:t>
      </w:r>
      <w:hyperlink r:id="rId24" w:history="1">
        <w:r w:rsidRPr="00AE612C">
          <w:rPr>
            <w:rStyle w:val="Hyperlink"/>
            <w:rFonts w:ascii="Arial" w:hAnsi="Arial" w:cs="Arial"/>
          </w:rPr>
          <w:t>https://doi.org/10.1038/s41893-022-00898-5</w:t>
        </w:r>
      </w:hyperlink>
      <w:r w:rsidRPr="00AE612C">
        <w:rPr>
          <w:rFonts w:ascii="Arial" w:hAnsi="Arial" w:cs="Arial"/>
        </w:rPr>
        <w:t xml:space="preserve"> </w:t>
      </w:r>
      <w:r w:rsidRPr="00AE612C">
        <w:rPr>
          <w:rFonts w:ascii="Arial" w:hAnsi="Arial" w:cs="Arial"/>
          <w:color w:val="000000"/>
        </w:rPr>
        <w:t>[Accessed 23 July 2026]</w:t>
      </w:r>
    </w:p>
    <w:p w14:paraId="498F7B25" w14:textId="77777777" w:rsidR="004D7953" w:rsidRPr="00AE612C" w:rsidRDefault="004D7953" w:rsidP="00AE612C">
      <w:pPr>
        <w:pStyle w:val="NormalWeb"/>
        <w:spacing w:before="240" w:beforeAutospacing="0" w:after="240" w:afterAutospacing="0" w:line="360" w:lineRule="auto"/>
        <w:jc w:val="both"/>
        <w:rPr>
          <w:rFonts w:ascii="Arial" w:hAnsi="Arial" w:cs="Arial"/>
        </w:rPr>
      </w:pPr>
      <w:r w:rsidRPr="00AE612C">
        <w:rPr>
          <w:rFonts w:ascii="Arial" w:hAnsi="Arial" w:cs="Arial"/>
          <w:color w:val="222222"/>
          <w:shd w:val="clear" w:color="auto" w:fill="FFFFFF"/>
        </w:rPr>
        <w:t xml:space="preserve">Liu, J., Hull, V., Godfray, H.C.J., Tilman, D., Gleick, P., Hoff, H., Pahl-Wostl, C., Xu, Z., Chung, M.G., Sun, J. and Li, S., 2018. Nexus approaches to global sustainable development. </w:t>
      </w:r>
      <w:r w:rsidRPr="00AE612C">
        <w:rPr>
          <w:rFonts w:ascii="Arial" w:hAnsi="Arial" w:cs="Arial"/>
          <w:i/>
          <w:iCs/>
          <w:color w:val="222222"/>
          <w:shd w:val="clear" w:color="auto" w:fill="FFFFFF"/>
        </w:rPr>
        <w:t>Nature sustainability</w:t>
      </w:r>
      <w:r w:rsidRPr="00AE612C">
        <w:rPr>
          <w:rFonts w:ascii="Arial" w:hAnsi="Arial" w:cs="Arial"/>
          <w:color w:val="222222"/>
          <w:shd w:val="clear" w:color="auto" w:fill="FFFFFF"/>
        </w:rPr>
        <w:t xml:space="preserve">, </w:t>
      </w:r>
      <w:r w:rsidRPr="00AE612C">
        <w:rPr>
          <w:rFonts w:ascii="Arial" w:hAnsi="Arial" w:cs="Arial"/>
          <w:i/>
          <w:iCs/>
          <w:color w:val="222222"/>
          <w:shd w:val="clear" w:color="auto" w:fill="FFFFFF"/>
        </w:rPr>
        <w:t>1</w:t>
      </w:r>
      <w:r w:rsidRPr="00AE612C">
        <w:rPr>
          <w:rFonts w:ascii="Arial" w:hAnsi="Arial" w:cs="Arial"/>
          <w:color w:val="222222"/>
          <w:shd w:val="clear" w:color="auto" w:fill="FFFFFF"/>
        </w:rPr>
        <w:t>(9), pp.466-476.</w:t>
      </w:r>
      <w:r w:rsidRPr="00AE612C">
        <w:rPr>
          <w:rFonts w:ascii="Arial" w:hAnsi="Arial" w:cs="Arial"/>
          <w:color w:val="000000"/>
        </w:rPr>
        <w:t xml:space="preserve"> </w:t>
      </w:r>
      <w:hyperlink r:id="rId25" w:history="1">
        <w:r w:rsidRPr="00AE612C">
          <w:rPr>
            <w:rStyle w:val="Hyperlink"/>
            <w:rFonts w:ascii="Arial" w:hAnsi="Arial" w:cs="Arial"/>
            <w:color w:val="1155CC"/>
          </w:rPr>
          <w:t>https://ora.ox.ac.uk/objects/uuid:702224af-7aec-4d1b-887a-c324cb570962/download_file?safe_filename=Liu_2018_nexus_approaches_to_global.pdf&amp;file_format=application%2Fpdf&amp;type_of_work=Journal+article</w:t>
        </w:r>
      </w:hyperlink>
      <w:r w:rsidRPr="00AE612C">
        <w:rPr>
          <w:rFonts w:ascii="Arial" w:hAnsi="Arial" w:cs="Arial"/>
          <w:color w:val="000000"/>
        </w:rPr>
        <w:t> </w:t>
      </w:r>
    </w:p>
    <w:p w14:paraId="20740A3E" w14:textId="77777777" w:rsidR="004D7953" w:rsidRPr="00AE612C" w:rsidRDefault="004D7953" w:rsidP="00AE612C">
      <w:pPr>
        <w:pStyle w:val="NormalWeb"/>
        <w:spacing w:before="0" w:beforeAutospacing="0" w:after="240" w:afterAutospacing="0" w:line="360" w:lineRule="auto"/>
        <w:jc w:val="both"/>
        <w:rPr>
          <w:rFonts w:ascii="Arial" w:hAnsi="Arial" w:cs="Arial"/>
        </w:rPr>
      </w:pPr>
      <w:r w:rsidRPr="00AE612C">
        <w:rPr>
          <w:rFonts w:ascii="Arial" w:hAnsi="Arial" w:cs="Arial"/>
          <w:color w:val="000000"/>
        </w:rPr>
        <w:lastRenderedPageBreak/>
        <w:t xml:space="preserve">lme.com (2025). </w:t>
      </w:r>
      <w:r w:rsidRPr="00AE612C">
        <w:rPr>
          <w:rFonts w:ascii="Arial" w:hAnsi="Arial" w:cs="Arial"/>
          <w:i/>
          <w:iCs/>
          <w:color w:val="000000"/>
        </w:rPr>
        <w:t>Responsible sourcing | London Metal Exchange</w:t>
      </w:r>
      <w:r w:rsidRPr="00AE612C">
        <w:rPr>
          <w:rFonts w:ascii="Arial" w:hAnsi="Arial" w:cs="Arial"/>
          <w:color w:val="000000"/>
        </w:rPr>
        <w:t xml:space="preserve">. [online] </w:t>
      </w:r>
      <w:proofErr w:type="spellStart"/>
      <w:r w:rsidRPr="00AE612C">
        <w:rPr>
          <w:rFonts w:ascii="Arial" w:hAnsi="Arial" w:cs="Arial"/>
          <w:color w:val="000000"/>
        </w:rPr>
        <w:t>Lme</w:t>
      </w:r>
      <w:proofErr w:type="spellEnd"/>
      <w:r w:rsidRPr="00AE612C">
        <w:rPr>
          <w:rFonts w:ascii="Arial" w:hAnsi="Arial" w:cs="Arial"/>
          <w:color w:val="000000"/>
        </w:rPr>
        <w:t xml:space="preserve">. Available at: </w:t>
      </w:r>
      <w:hyperlink r:id="rId26" w:history="1">
        <w:r w:rsidRPr="00AE612C">
          <w:rPr>
            <w:rStyle w:val="Hyperlink"/>
            <w:rFonts w:ascii="Arial" w:hAnsi="Arial" w:cs="Arial"/>
            <w:color w:val="1155CC"/>
          </w:rPr>
          <w:t>https://www.lme.com/sustainability-and-physical-markets/sustainability/responsible-sourcing</w:t>
        </w:r>
      </w:hyperlink>
      <w:r w:rsidRPr="00AE612C">
        <w:rPr>
          <w:rFonts w:ascii="Arial" w:hAnsi="Arial" w:cs="Arial"/>
          <w:color w:val="000000"/>
        </w:rPr>
        <w:t>  [Accessed 23 July 2026].</w:t>
      </w:r>
    </w:p>
    <w:p w14:paraId="1EB9B129" w14:textId="77777777" w:rsidR="004D7953" w:rsidRPr="00AE612C" w:rsidRDefault="004D7953" w:rsidP="00AE612C">
      <w:pPr>
        <w:pStyle w:val="NormalWeb"/>
        <w:spacing w:before="0" w:beforeAutospacing="0" w:after="240" w:afterAutospacing="0" w:line="360" w:lineRule="auto"/>
        <w:jc w:val="both"/>
        <w:rPr>
          <w:rFonts w:ascii="Arial" w:hAnsi="Arial" w:cs="Arial"/>
          <w:color w:val="000000"/>
        </w:rPr>
      </w:pPr>
      <w:r w:rsidRPr="00AE612C">
        <w:rPr>
          <w:rFonts w:ascii="Arial" w:hAnsi="Arial" w:cs="Arial"/>
          <w:color w:val="000000"/>
        </w:rPr>
        <w:t xml:space="preserve">mch.cl 2024. Analysis of Codelco-SQM's MoU for jointly operating Salar de Atacama. Available at: </w:t>
      </w:r>
      <w:hyperlink r:id="rId27" w:history="1">
        <w:r w:rsidRPr="00AE612C">
          <w:rPr>
            <w:rStyle w:val="Hyperlink"/>
            <w:rFonts w:ascii="Arial" w:hAnsi="Arial" w:cs="Arial"/>
            <w:color w:val="1155CC"/>
          </w:rPr>
          <w:t>https://www.mch.cl/wp-content/uploads/2024/04/MoU-Analysis-03.04.2024-1.pdf</w:t>
        </w:r>
      </w:hyperlink>
      <w:r w:rsidRPr="00AE612C">
        <w:rPr>
          <w:rFonts w:ascii="Arial" w:hAnsi="Arial" w:cs="Arial"/>
          <w:color w:val="000000"/>
        </w:rPr>
        <w:t>  [Accessed 23 July 2026]</w:t>
      </w:r>
    </w:p>
    <w:p w14:paraId="54CE340E" w14:textId="77777777" w:rsidR="004D7953" w:rsidRPr="00AE612C" w:rsidRDefault="004D7953" w:rsidP="00AE612C">
      <w:pPr>
        <w:spacing w:before="100" w:after="100" w:line="360" w:lineRule="auto"/>
        <w:jc w:val="both"/>
        <w:rPr>
          <w:rFonts w:ascii="Arial" w:hAnsi="Arial" w:cs="Arial"/>
        </w:rPr>
      </w:pPr>
      <w:proofErr w:type="spellStart"/>
      <w:r w:rsidRPr="00AE612C">
        <w:rPr>
          <w:rFonts w:ascii="Arial" w:hAnsi="Arial" w:cs="Arial"/>
          <w:bCs/>
        </w:rPr>
        <w:t>Ministerio</w:t>
      </w:r>
      <w:proofErr w:type="spellEnd"/>
      <w:r w:rsidRPr="00AE612C">
        <w:rPr>
          <w:rFonts w:ascii="Arial" w:hAnsi="Arial" w:cs="Arial"/>
          <w:bCs/>
        </w:rPr>
        <w:t xml:space="preserve"> de </w:t>
      </w:r>
      <w:proofErr w:type="spellStart"/>
      <w:r w:rsidRPr="00AE612C">
        <w:rPr>
          <w:rFonts w:ascii="Arial" w:hAnsi="Arial" w:cs="Arial"/>
          <w:bCs/>
        </w:rPr>
        <w:t>Relaciones</w:t>
      </w:r>
      <w:proofErr w:type="spellEnd"/>
      <w:r w:rsidRPr="00AE612C">
        <w:rPr>
          <w:rFonts w:ascii="Arial" w:hAnsi="Arial" w:cs="Arial"/>
          <w:bCs/>
        </w:rPr>
        <w:t xml:space="preserve"> </w:t>
      </w:r>
      <w:proofErr w:type="spellStart"/>
      <w:r w:rsidRPr="00AE612C">
        <w:rPr>
          <w:rFonts w:ascii="Arial" w:hAnsi="Arial" w:cs="Arial"/>
          <w:bCs/>
        </w:rPr>
        <w:t>Exteriores</w:t>
      </w:r>
      <w:proofErr w:type="spellEnd"/>
      <w:r w:rsidRPr="00AE612C">
        <w:rPr>
          <w:rFonts w:ascii="Arial" w:hAnsi="Arial" w:cs="Arial"/>
          <w:bCs/>
        </w:rPr>
        <w:t xml:space="preserve">, Chile (2023) </w:t>
      </w:r>
      <w:r w:rsidRPr="00AE612C">
        <w:rPr>
          <w:rFonts w:ascii="Arial" w:hAnsi="Arial" w:cs="Arial"/>
        </w:rPr>
        <w:t xml:space="preserve">EU-Chile Advanced Framework Agreement: Sustainability Provisions. Available at: </w:t>
      </w:r>
      <w:hyperlink r:id="rId28" w:history="1">
        <w:r w:rsidRPr="00AE612C">
          <w:rPr>
            <w:rStyle w:val="Hyperlink"/>
            <w:rFonts w:ascii="Arial" w:hAnsi="Arial" w:cs="Arial"/>
          </w:rPr>
          <w:t>https://www.minrel.gob.cl/acuerdo-avanzado-ue-chile</w:t>
        </w:r>
      </w:hyperlink>
      <w:r w:rsidRPr="00AE612C">
        <w:rPr>
          <w:rFonts w:ascii="Arial" w:hAnsi="Arial" w:cs="Arial"/>
        </w:rPr>
        <w:t xml:space="preserve">  </w:t>
      </w:r>
      <w:r w:rsidRPr="00AE612C">
        <w:rPr>
          <w:rFonts w:ascii="Arial" w:hAnsi="Arial" w:cs="Arial"/>
          <w:color w:val="000000"/>
        </w:rPr>
        <w:t>[Accessed 23 July 2026]</w:t>
      </w:r>
      <w:r w:rsidRPr="00AE612C">
        <w:rPr>
          <w:rFonts w:ascii="Arial" w:hAnsi="Arial" w:cs="Arial"/>
        </w:rPr>
        <w:t>.</w:t>
      </w:r>
    </w:p>
    <w:p w14:paraId="47FB2E55" w14:textId="77777777" w:rsidR="00A77FF1" w:rsidRPr="00AE612C" w:rsidRDefault="00A77FF1" w:rsidP="00AE612C">
      <w:pPr>
        <w:pStyle w:val="NormalWeb"/>
        <w:spacing w:before="0" w:beforeAutospacing="0" w:after="240" w:afterAutospacing="0" w:line="360" w:lineRule="auto"/>
        <w:jc w:val="both"/>
        <w:rPr>
          <w:rFonts w:ascii="Arial" w:hAnsi="Arial" w:cs="Arial"/>
        </w:rPr>
      </w:pPr>
    </w:p>
    <w:sectPr w:rsidR="00A77FF1" w:rsidRPr="00AE612C" w:rsidSect="000735A4">
      <w:footerReference w:type="default" r:id="rId29"/>
      <w:pgSz w:w="11906" w:h="16838"/>
      <w:pgMar w:top="1440" w:right="1440" w:bottom="1440" w:left="180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FD27A" w14:textId="77777777" w:rsidR="00015B36" w:rsidRDefault="00015B36" w:rsidP="000735A4">
      <w:r>
        <w:separator/>
      </w:r>
    </w:p>
  </w:endnote>
  <w:endnote w:type="continuationSeparator" w:id="0">
    <w:p w14:paraId="1164F56A" w14:textId="77777777" w:rsidR="00015B36" w:rsidRDefault="00015B36" w:rsidP="00073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3104542"/>
      <w:docPartObj>
        <w:docPartGallery w:val="Page Numbers (Bottom of Page)"/>
        <w:docPartUnique/>
      </w:docPartObj>
    </w:sdtPr>
    <w:sdtEndPr>
      <w:rPr>
        <w:noProof/>
        <w:sz w:val="20"/>
        <w:szCs w:val="20"/>
      </w:rPr>
    </w:sdtEndPr>
    <w:sdtContent>
      <w:p w14:paraId="5EC6F208" w14:textId="7D48F508" w:rsidR="000735A4" w:rsidRPr="000735A4" w:rsidRDefault="000735A4">
        <w:pPr>
          <w:pStyle w:val="Footer"/>
          <w:jc w:val="right"/>
          <w:rPr>
            <w:sz w:val="20"/>
            <w:szCs w:val="20"/>
          </w:rPr>
        </w:pPr>
        <w:r w:rsidRPr="000735A4">
          <w:rPr>
            <w:sz w:val="20"/>
            <w:szCs w:val="20"/>
          </w:rPr>
          <w:fldChar w:fldCharType="begin"/>
        </w:r>
        <w:r w:rsidRPr="000735A4">
          <w:rPr>
            <w:sz w:val="20"/>
            <w:szCs w:val="20"/>
          </w:rPr>
          <w:instrText xml:space="preserve"> PAGE   \* MERGEFORMAT </w:instrText>
        </w:r>
        <w:r w:rsidRPr="000735A4">
          <w:rPr>
            <w:sz w:val="20"/>
            <w:szCs w:val="20"/>
          </w:rPr>
          <w:fldChar w:fldCharType="separate"/>
        </w:r>
        <w:r w:rsidR="00A22635">
          <w:rPr>
            <w:noProof/>
            <w:sz w:val="20"/>
            <w:szCs w:val="20"/>
          </w:rPr>
          <w:t>17</w:t>
        </w:r>
        <w:r w:rsidRPr="000735A4">
          <w:rPr>
            <w:noProof/>
            <w:sz w:val="20"/>
            <w:szCs w:val="20"/>
          </w:rPr>
          <w:fldChar w:fldCharType="end"/>
        </w:r>
      </w:p>
    </w:sdtContent>
  </w:sdt>
  <w:p w14:paraId="1DBAFEE5" w14:textId="77777777" w:rsidR="000735A4" w:rsidRDefault="00073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DBE6F" w14:textId="77777777" w:rsidR="00015B36" w:rsidRDefault="00015B36" w:rsidP="000735A4">
      <w:r>
        <w:separator/>
      </w:r>
    </w:p>
  </w:footnote>
  <w:footnote w:type="continuationSeparator" w:id="0">
    <w:p w14:paraId="464A5C37" w14:textId="77777777" w:rsidR="00015B36" w:rsidRDefault="00015B36" w:rsidP="000735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966"/>
    <w:rsid w:val="00003A65"/>
    <w:rsid w:val="00015B36"/>
    <w:rsid w:val="000735A4"/>
    <w:rsid w:val="000A72A1"/>
    <w:rsid w:val="00205B9E"/>
    <w:rsid w:val="00257A98"/>
    <w:rsid w:val="0030399D"/>
    <w:rsid w:val="00420276"/>
    <w:rsid w:val="004716FB"/>
    <w:rsid w:val="00481752"/>
    <w:rsid w:val="004D7953"/>
    <w:rsid w:val="00663F5E"/>
    <w:rsid w:val="006A614E"/>
    <w:rsid w:val="00721D97"/>
    <w:rsid w:val="00843E53"/>
    <w:rsid w:val="00867966"/>
    <w:rsid w:val="00917AC8"/>
    <w:rsid w:val="009448E0"/>
    <w:rsid w:val="00A22635"/>
    <w:rsid w:val="00A77FF1"/>
    <w:rsid w:val="00A848B4"/>
    <w:rsid w:val="00A86028"/>
    <w:rsid w:val="00AE612C"/>
    <w:rsid w:val="00BB5D22"/>
    <w:rsid w:val="00D71763"/>
    <w:rsid w:val="00DE763C"/>
    <w:rsid w:val="00FF719B"/>
    <w:rsid w:val="43920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4DA30"/>
  <w15:docId w15:val="{33886C6D-73AB-4F2D-9832-4D24DAD21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semiHidden="1" w:uiPriority="99" w:unhideWhenUsed="1" w:qFormat="1"/>
    <w:lsdException w:name="footer" w:uiPriority="99"/>
    <w:lsdException w:name="caption" w:semiHidden="1" w:unhideWhenUsed="1" w:qFormat="1"/>
    <w:lsdException w:name="footnote reference" w:semiHidden="1" w:uiPriority="99" w:unhideWhenUsed="1" w:qFormat="1"/>
    <w:lsdException w:name="endnote reference" w:semiHidden="1" w:uiPriority="99" w:unhideWhenUsed="1" w:qFormat="1"/>
    <w:lsdException w:name="endnote text"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next w:val="Normal"/>
    <w:pPr>
      <w:spacing w:before="320" w:after="160" w:line="360" w:lineRule="auto"/>
      <w:outlineLvl w:val="0"/>
    </w:pPr>
    <w:rPr>
      <w:b/>
      <w:bCs/>
      <w:color w:val="1F3864"/>
      <w:sz w:val="28"/>
      <w:szCs w:val="28"/>
    </w:rPr>
  </w:style>
  <w:style w:type="paragraph" w:styleId="Heading2">
    <w:name w:val="heading 2"/>
    <w:next w:val="Normal"/>
    <w:link w:val="Heading2Char"/>
    <w:uiPriority w:val="99"/>
    <w:qFormat/>
    <w:pPr>
      <w:spacing w:before="240" w:after="120" w:line="360" w:lineRule="auto"/>
      <w:outlineLvl w:val="1"/>
    </w:pPr>
    <w:rPr>
      <w:b/>
      <w:bCs/>
      <w:color w:val="2E4C8A"/>
      <w:sz w:val="26"/>
      <w:szCs w:val="26"/>
    </w:rPr>
  </w:style>
  <w:style w:type="paragraph" w:styleId="Heading3">
    <w:name w:val="heading 3"/>
    <w:next w:val="Normal"/>
    <w:qFormat/>
    <w:pPr>
      <w:spacing w:before="200" w:after="100" w:line="360" w:lineRule="auto"/>
      <w:outlineLvl w:val="2"/>
    </w:pPr>
    <w:rPr>
      <w:b/>
      <w:bCs/>
      <w:color w:val="1F3864"/>
      <w:sz w:val="24"/>
      <w:szCs w:val="24"/>
    </w:rPr>
  </w:style>
  <w:style w:type="paragraph" w:styleId="Heading4">
    <w:name w:val="heading 4"/>
    <w:next w:val="Normal"/>
    <w:qFormat/>
    <w:pPr>
      <w:spacing w:line="360" w:lineRule="auto"/>
      <w:outlineLvl w:val="3"/>
    </w:pPr>
    <w:rPr>
      <w:i/>
      <w:iCs/>
      <w:color w:val="2E74B5"/>
      <w:sz w:val="24"/>
      <w:szCs w:val="24"/>
    </w:rPr>
  </w:style>
  <w:style w:type="paragraph" w:styleId="Heading5">
    <w:name w:val="heading 5"/>
    <w:next w:val="Normal"/>
    <w:qFormat/>
    <w:pPr>
      <w:spacing w:line="360" w:lineRule="auto"/>
      <w:outlineLvl w:val="4"/>
    </w:pPr>
    <w:rPr>
      <w:color w:val="2E74B5"/>
      <w:sz w:val="24"/>
      <w:szCs w:val="24"/>
    </w:rPr>
  </w:style>
  <w:style w:type="paragraph" w:styleId="Heading6">
    <w:name w:val="heading 6"/>
    <w:next w:val="Normal"/>
    <w:qFormat/>
    <w:pPr>
      <w:spacing w:line="360" w:lineRule="auto"/>
      <w:outlineLvl w:val="5"/>
    </w:pPr>
    <w:rPr>
      <w:color w:val="1F4D7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uiPriority w:val="99"/>
    <w:semiHidden/>
    <w:unhideWhenUsed/>
    <w:qFormat/>
    <w:rPr>
      <w:vertAlign w:val="superscript"/>
    </w:rPr>
  </w:style>
  <w:style w:type="paragraph" w:styleId="EndnoteText">
    <w:name w:val="endnote text"/>
    <w:link w:val="EndnoteTextChar"/>
    <w:uiPriority w:val="99"/>
    <w:semiHidden/>
    <w:unhideWhenUsed/>
    <w:qFormat/>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qFormat/>
  </w:style>
  <w:style w:type="character" w:styleId="Hyperlink">
    <w:name w:val="Hyperlink"/>
    <w:uiPriority w:val="99"/>
    <w:unhideWhenUsed/>
    <w:qFormat/>
    <w:rPr>
      <w:color w:val="0563C1"/>
      <w:u w:val="single"/>
    </w:rPr>
  </w:style>
  <w:style w:type="paragraph" w:styleId="Title">
    <w:name w:val="Title"/>
    <w:qFormat/>
    <w:pPr>
      <w:spacing w:line="360" w:lineRule="auto"/>
    </w:pPr>
    <w:rPr>
      <w:sz w:val="56"/>
      <w:szCs w:val="56"/>
    </w:rPr>
  </w:style>
  <w:style w:type="paragraph" w:styleId="ListParagraph">
    <w:name w:val="List Paragraph"/>
    <w:qFormat/>
    <w:pPr>
      <w:spacing w:line="360" w:lineRule="auto"/>
    </w:pPr>
    <w:rPr>
      <w:sz w:val="24"/>
      <w:szCs w:val="24"/>
    </w:rPr>
  </w:style>
  <w:style w:type="character" w:customStyle="1" w:styleId="FootnoteTextChar">
    <w:name w:val="Footnote Text Char"/>
    <w:link w:val="FootnoteText"/>
    <w:uiPriority w:val="99"/>
    <w:semiHidden/>
    <w:unhideWhenUsed/>
    <w:qFormat/>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2Char">
    <w:name w:val="Heading 2 Char"/>
    <w:basedOn w:val="DefaultParagraphFont"/>
    <w:link w:val="Heading2"/>
    <w:uiPriority w:val="99"/>
    <w:rsid w:val="00481752"/>
    <w:rPr>
      <w:b/>
      <w:bCs/>
      <w:color w:val="2E4C8A"/>
      <w:sz w:val="26"/>
      <w:szCs w:val="26"/>
    </w:rPr>
  </w:style>
  <w:style w:type="paragraph" w:styleId="NormalWeb">
    <w:name w:val="Normal (Web)"/>
    <w:basedOn w:val="Normal"/>
    <w:uiPriority w:val="99"/>
    <w:unhideWhenUsed/>
    <w:rsid w:val="00721D97"/>
    <w:pPr>
      <w:spacing w:before="100" w:beforeAutospacing="1" w:after="100" w:afterAutospacing="1"/>
    </w:pPr>
  </w:style>
  <w:style w:type="paragraph" w:styleId="TOCHeading">
    <w:name w:val="TOC Heading"/>
    <w:basedOn w:val="Heading1"/>
    <w:next w:val="Normal"/>
    <w:uiPriority w:val="39"/>
    <w:unhideWhenUsed/>
    <w:qFormat/>
    <w:rsid w:val="000735A4"/>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rsid w:val="000735A4"/>
    <w:pPr>
      <w:spacing w:after="100"/>
    </w:pPr>
  </w:style>
  <w:style w:type="paragraph" w:styleId="TOC2">
    <w:name w:val="toc 2"/>
    <w:basedOn w:val="Normal"/>
    <w:next w:val="Normal"/>
    <w:autoRedefine/>
    <w:uiPriority w:val="39"/>
    <w:rsid w:val="000735A4"/>
    <w:pPr>
      <w:spacing w:after="100"/>
      <w:ind w:left="240"/>
    </w:pPr>
  </w:style>
  <w:style w:type="paragraph" w:styleId="TOC3">
    <w:name w:val="toc 3"/>
    <w:basedOn w:val="Normal"/>
    <w:next w:val="Normal"/>
    <w:autoRedefine/>
    <w:uiPriority w:val="39"/>
    <w:rsid w:val="000735A4"/>
    <w:pPr>
      <w:spacing w:after="100"/>
      <w:ind w:left="480"/>
    </w:pPr>
  </w:style>
  <w:style w:type="paragraph" w:styleId="Header">
    <w:name w:val="header"/>
    <w:basedOn w:val="Normal"/>
    <w:link w:val="HeaderChar"/>
    <w:rsid w:val="000735A4"/>
    <w:pPr>
      <w:tabs>
        <w:tab w:val="center" w:pos="4513"/>
        <w:tab w:val="right" w:pos="9026"/>
      </w:tabs>
    </w:pPr>
  </w:style>
  <w:style w:type="character" w:customStyle="1" w:styleId="HeaderChar">
    <w:name w:val="Header Char"/>
    <w:basedOn w:val="DefaultParagraphFont"/>
    <w:link w:val="Header"/>
    <w:rsid w:val="000735A4"/>
    <w:rPr>
      <w:sz w:val="24"/>
      <w:szCs w:val="24"/>
    </w:rPr>
  </w:style>
  <w:style w:type="paragraph" w:styleId="Footer">
    <w:name w:val="footer"/>
    <w:basedOn w:val="Normal"/>
    <w:link w:val="FooterChar"/>
    <w:uiPriority w:val="99"/>
    <w:rsid w:val="000735A4"/>
    <w:pPr>
      <w:tabs>
        <w:tab w:val="center" w:pos="4513"/>
        <w:tab w:val="right" w:pos="9026"/>
      </w:tabs>
    </w:pPr>
  </w:style>
  <w:style w:type="character" w:customStyle="1" w:styleId="FooterChar">
    <w:name w:val="Footer Char"/>
    <w:basedOn w:val="DefaultParagraphFont"/>
    <w:link w:val="Footer"/>
    <w:uiPriority w:val="99"/>
    <w:rsid w:val="000735A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890043">
      <w:bodyDiv w:val="1"/>
      <w:marLeft w:val="0"/>
      <w:marRight w:val="0"/>
      <w:marTop w:val="0"/>
      <w:marBottom w:val="0"/>
      <w:divBdr>
        <w:top w:val="none" w:sz="0" w:space="0" w:color="auto"/>
        <w:left w:val="none" w:sz="0" w:space="0" w:color="auto"/>
        <w:bottom w:val="none" w:sz="0" w:space="0" w:color="auto"/>
        <w:right w:val="none" w:sz="0" w:space="0" w:color="auto"/>
      </w:divBdr>
    </w:div>
    <w:div w:id="920790983">
      <w:bodyDiv w:val="1"/>
      <w:marLeft w:val="0"/>
      <w:marRight w:val="0"/>
      <w:marTop w:val="0"/>
      <w:marBottom w:val="0"/>
      <w:divBdr>
        <w:top w:val="none" w:sz="0" w:space="0" w:color="auto"/>
        <w:left w:val="none" w:sz="0" w:space="0" w:color="auto"/>
        <w:bottom w:val="none" w:sz="0" w:space="0" w:color="auto"/>
        <w:right w:val="none" w:sz="0" w:space="0" w:color="auto"/>
      </w:divBdr>
    </w:div>
    <w:div w:id="1135683199">
      <w:bodyDiv w:val="1"/>
      <w:marLeft w:val="0"/>
      <w:marRight w:val="0"/>
      <w:marTop w:val="0"/>
      <w:marBottom w:val="0"/>
      <w:divBdr>
        <w:top w:val="none" w:sz="0" w:space="0" w:color="auto"/>
        <w:left w:val="none" w:sz="0" w:space="0" w:color="auto"/>
        <w:bottom w:val="none" w:sz="0" w:space="0" w:color="auto"/>
        <w:right w:val="none" w:sz="0" w:space="0" w:color="auto"/>
      </w:divBdr>
    </w:div>
    <w:div w:id="1713191237">
      <w:bodyDiv w:val="1"/>
      <w:marLeft w:val="0"/>
      <w:marRight w:val="0"/>
      <w:marTop w:val="0"/>
      <w:marBottom w:val="0"/>
      <w:divBdr>
        <w:top w:val="none" w:sz="0" w:space="0" w:color="auto"/>
        <w:left w:val="none" w:sz="0" w:space="0" w:color="auto"/>
        <w:bottom w:val="none" w:sz="0" w:space="0" w:color="auto"/>
        <w:right w:val="none" w:sz="0" w:space="0" w:color="auto"/>
      </w:divBdr>
    </w:div>
    <w:div w:id="2145466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delco.com/sustainability-commitments-by-2030" TargetMode="External"/><Relationship Id="rId18" Type="http://schemas.openxmlformats.org/officeDocument/2006/relationships/hyperlink" Target="https://doi.org/10.1007/s11948-020-00213-5" TargetMode="External"/><Relationship Id="rId26" Type="http://schemas.openxmlformats.org/officeDocument/2006/relationships/hyperlink" Target="https://www.lme.com/sustainability-and-physical-markets/sustainability/responsible-sourcing" TargetMode="External"/><Relationship Id="rId3" Type="http://schemas.openxmlformats.org/officeDocument/2006/relationships/settings" Target="settings.xml"/><Relationship Id="rId21" Type="http://schemas.openxmlformats.org/officeDocument/2006/relationships/hyperlink" Target="https://discoveryalert.com.au/structural-copper-deficit-market-implications-2025/" TargetMode="External"/><Relationship Id="rId7" Type="http://schemas.openxmlformats.org/officeDocument/2006/relationships/image" Target="media/image1.png"/><Relationship Id="rId12" Type="http://schemas.openxmlformats.org/officeDocument/2006/relationships/hyperlink" Target="https://www.bhp.com/sustainability/climate-change" TargetMode="External"/><Relationship Id="rId17" Type="http://schemas.openxmlformats.org/officeDocument/2006/relationships/hyperlink" Target="https://eur-lex.europa.eu/legal-content/EN/TXT/?uri=OJ:L_202401257" TargetMode="External"/><Relationship Id="rId25" Type="http://schemas.openxmlformats.org/officeDocument/2006/relationships/hyperlink" Target="https://ora.ox.ac.uk/objects/uuid:702224af-7aec-4d1b-887a-c324cb570962/download_file?safe_filename=Liu_2018_nexus_approaches_to_global.pdf&amp;file_format=application%2Fpdf&amp;type_of_work=Journal+article" TargetMode="External"/><Relationship Id="rId2" Type="http://schemas.openxmlformats.org/officeDocument/2006/relationships/styles" Target="styles.xml"/><Relationship Id="rId16" Type="http://schemas.openxmlformats.org/officeDocument/2006/relationships/hyperlink" Target="https://www.codelco.com/en/prensa/2026/codelco-afianza-su-posicion-global-en-la-produccion-de-renio" TargetMode="External"/><Relationship Id="rId20" Type="http://schemas.openxmlformats.org/officeDocument/2006/relationships/hyperlink" Target="https://www.globalreporting.org/standard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lliedoffsets.com/wp-content/uploads/2025/10/State-and-Trends-of-Carbon-Pricing-2025-2.pdf" TargetMode="External"/><Relationship Id="rId24" Type="http://schemas.openxmlformats.org/officeDocument/2006/relationships/hyperlink" Target="https://doi.org/10.1038/s41893-022-00898-5" TargetMode="External"/><Relationship Id="rId5" Type="http://schemas.openxmlformats.org/officeDocument/2006/relationships/footnotes" Target="footnotes.xml"/><Relationship Id="rId15" Type="http://schemas.openxmlformats.org/officeDocument/2006/relationships/hyperlink" Target="https://www.codelco.com/sites/site/docs/20250428/20250428185356/operational_and_financial_report_december_31_2025_production_restated.pdf" TargetMode="External"/><Relationship Id="rId23" Type="http://schemas.openxmlformats.org/officeDocument/2006/relationships/hyperlink" Target="https://researchportal.port.ac.uk/en/publications/so-what-if-chatgpt-wrote-it-multidisciplinary-perspectives-on-opp/" TargetMode="External"/><Relationship Id="rId28" Type="http://schemas.openxmlformats.org/officeDocument/2006/relationships/hyperlink" Target="https://www.minrel.gob.cl/acuerdo-avanzado-ue-chile" TargetMode="External"/><Relationship Id="rId10" Type="http://schemas.openxmlformats.org/officeDocument/2006/relationships/image" Target="media/image4.png"/><Relationship Id="rId19" Type="http://schemas.openxmlformats.org/officeDocument/2006/relationships/hyperlink" Target="https://projects.gbreports.com/chile-mining-2021/codelco-going-underground"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delco.com/prontus_codelco/site/docs/20240404/20240404191040/24jun_codelco_annual_report.pdf" TargetMode="External"/><Relationship Id="rId22" Type="http://schemas.openxmlformats.org/officeDocument/2006/relationships/hyperlink" Target="https://www.iea.org/reports/critical-minerals-market-review-2023" TargetMode="External"/><Relationship Id="rId27" Type="http://schemas.openxmlformats.org/officeDocument/2006/relationships/hyperlink" Target="https://www.mch.cl/wp-content/uploads/2024/04/MoU-Analysis-03.04.2024-1.pdf" TargetMode="Externa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0DD82-EAE4-48CB-9C21-1555C01FB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3764</Words>
  <Characters>23793</Characters>
  <Application>Microsoft Office Word</Application>
  <DocSecurity>0</DocSecurity>
  <Lines>440</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Harshil Ghanshyambhai Beladiya (2543506)</cp:lastModifiedBy>
  <cp:revision>2</cp:revision>
  <dcterms:created xsi:type="dcterms:W3CDTF">2026-07-24T08:23:00Z</dcterms:created>
  <dcterms:modified xsi:type="dcterms:W3CDTF">2026-07-24T08:23:00Z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eyJoZGlkIjoiZGI3ODk1NDdmY2NmZWQwM2VmNTJhMjE5Mzk0NDMxMTIifQ==</vt:lpwstr>
  </property>
  <property fmtid="{D5CDD505-2E9C-101B-9397-08002B2CF9AE}" pid="3" name="KSOProductBuildVer">
    <vt:lpwstr>1033-12.1.0.27458</vt:lpwstr>
  </property>
  <property fmtid="{D5CDD505-2E9C-101B-9397-08002B2CF9AE}" pid="4" name="ICV">
    <vt:lpwstr>E3A82B9B79F24DF7A8AE11684B305A5D_13</vt:lpwstr>
  </property>
</Properties>
</file>