
<file path=[Content_Types].xml><?xml version="1.0" encoding="utf-8"?>
<Types xmlns="http://schemas.openxmlformats.org/package/2006/content-types">
  <Default Extension="xml" ContentType="application/xml"/>
  <Default Extension="xlsx" ContentType="application/vnd.openxmlformats-officedocument.spreadsheetml.sheet"/>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olors1.xml" ContentType="application/vnd.ms-office.chartcolorstyle+xml"/>
  <Override PartName="/word/charts/style1.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00" w:beforeAutospacing="1" w:after="100" w:afterAutospacing="1" w:line="360" w:lineRule="auto"/>
        <w:jc w:val="both"/>
      </w:pPr>
      <w:bookmarkStart w:id="14" w:name="_GoBack"/>
      <w:bookmarkEnd w:id="14"/>
      <w:r>
        <w:drawing>
          <wp:inline distT="0" distB="0" distL="0" distR="0">
            <wp:extent cx="6213475" cy="3495040"/>
            <wp:effectExtent l="19050" t="0" r="15875" b="1000760"/>
            <wp:docPr id="1" name="图片 1" descr="图片包含 红色, 室内, 蛋糕&#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片包含 红色, 室内, 蛋糕&#10;&#10;描述已自动生成"/>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6228196" cy="3503267"/>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pPr>
        <w:pStyle w:val="18"/>
        <w:spacing w:before="100" w:beforeAutospacing="1" w:after="100" w:afterAutospacing="1" w:line="360" w:lineRule="auto"/>
        <w:jc w:val="both"/>
        <w:rPr>
          <w:sz w:val="72"/>
        </w:rPr>
      </w:pPr>
      <w:r>
        <w:rPr>
          <w:rFonts w:hint="eastAsia"/>
          <w:sz w:val="72"/>
        </w:rPr>
        <w:t>C</w:t>
      </w:r>
      <w:r>
        <w:rPr>
          <w:sz w:val="72"/>
        </w:rPr>
        <w:t>onquer</w:t>
      </w:r>
      <w:r>
        <w:rPr>
          <w:rFonts w:hint="eastAsia"/>
          <w:sz w:val="72"/>
        </w:rPr>
        <w:t>ing</w:t>
      </w:r>
      <w:r>
        <w:rPr>
          <w:sz w:val="72"/>
        </w:rPr>
        <w:t xml:space="preserve"> the Chinese </w:t>
      </w:r>
      <w:r>
        <w:rPr>
          <w:rFonts w:hint="eastAsia"/>
          <w:sz w:val="72"/>
        </w:rPr>
        <w:t>Market</w:t>
      </w:r>
      <w:r>
        <w:rPr>
          <w:sz w:val="72"/>
        </w:rPr>
        <w:t>:</w:t>
      </w:r>
    </w:p>
    <w:p>
      <w:pPr>
        <w:pStyle w:val="18"/>
        <w:spacing w:before="100" w:beforeAutospacing="1" w:after="100" w:afterAutospacing="1" w:line="360" w:lineRule="auto"/>
        <w:jc w:val="both"/>
        <w:rPr>
          <w:sz w:val="48"/>
        </w:rPr>
      </w:pPr>
      <w:r>
        <w:rPr>
          <w:sz w:val="48"/>
        </w:rPr>
        <w:t xml:space="preserve">Marketing </w:t>
      </w:r>
      <w:r>
        <w:rPr>
          <w:rFonts w:hint="eastAsia"/>
          <w:sz w:val="48"/>
        </w:rPr>
        <w:t xml:space="preserve">Plan </w:t>
      </w:r>
      <w:r>
        <w:rPr>
          <w:sz w:val="48"/>
        </w:rPr>
        <w:t>for Tesla in China</w:t>
      </w:r>
    </w:p>
    <w:p>
      <w:pPr>
        <w:spacing w:before="100" w:beforeAutospacing="1" w:after="100" w:afterAutospacing="1" w:line="360" w:lineRule="auto"/>
        <w:jc w:val="both"/>
        <w:rPr>
          <w:rFonts w:asciiTheme="majorHAnsi" w:hAnsiTheme="majorHAnsi" w:eastAsiaTheme="majorEastAsia" w:cstheme="majorBidi"/>
          <w:color w:val="B53513" w:themeColor="accent1" w:themeShade="BF"/>
          <w:spacing w:val="-7"/>
          <w:sz w:val="48"/>
          <w:szCs w:val="80"/>
        </w:rPr>
      </w:pPr>
      <w:r>
        <w:rPr>
          <w:sz w:val="48"/>
        </w:rPr>
        <w:br w:type="page"/>
      </w:r>
    </w:p>
    <w:p>
      <w:pPr>
        <w:pStyle w:val="2"/>
        <w:spacing w:before="100" w:beforeAutospacing="1" w:after="100" w:afterAutospacing="1" w:line="360" w:lineRule="auto"/>
        <w:jc w:val="both"/>
      </w:pPr>
      <w:bookmarkStart w:id="0" w:name="_Toc8393195"/>
      <w:r>
        <w:rPr>
          <w:rFonts w:hint="eastAsia"/>
        </w:rPr>
        <w:t>Ex</w:t>
      </w:r>
      <w:r>
        <w:t>ecutive Summary</w:t>
      </w:r>
      <w:bookmarkEnd w:id="0"/>
    </w:p>
    <w:p>
      <w:pPr>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With the rapid rise of the new energy automobile industry in the world, the research on the marketing strategy of new energy vehicles has naturally become a hot spot in current research. As a pioneer in new energy pure electric vehicles, Tesla Motors has created a modern car concept and has also opened up a new automotive segment. It can be said that to study the marketing model of the new energy vehicle market, Tesla Motors is an object of study that cannot be ignored.</w:t>
      </w:r>
    </w:p>
    <w:p>
      <w:pPr>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This report uses case analysis method to conduct research. Firstly, the background information of Tesla will be introduced. Secondly, the internal marketing environment and external marketing environment of Tesla Automobile were analysed by means of PEST analysis and SWOT analysis. Based on this, the STP strategy was studied. Finally, the 6Ps theory is used to study its marketing strategy, and its countermeasures and measures are proposed. For Chinese auto companies intending to enter the new energy vehicle market, Tesla's successful experience in the Chinese market is very worth learning, and the difficulties it encounters need to be faced. Therefore, this paper hopes that through the research on Tesla's automobile marketing strategy, it can find some experiences that Chinese auto companies can learn from so that they can gain a competitive advantage in the future Chinese new energy auto market.</w:t>
      </w:r>
    </w:p>
    <w:p>
      <w:pPr>
        <w:spacing w:before="100" w:beforeAutospacing="1" w:after="100" w:afterAutospacing="1" w:line="360" w:lineRule="auto"/>
        <w:jc w:val="both"/>
        <w:rPr>
          <w:lang w:val="en-GB"/>
        </w:rPr>
      </w:pPr>
      <w:r>
        <w:rPr>
          <w:lang w:val="en-GB"/>
        </w:rPr>
        <w:br w:type="page"/>
      </w:r>
    </w:p>
    <w:sdt>
      <w:sdtPr>
        <w:rPr>
          <w:rFonts w:asciiTheme="minorHAnsi" w:hAnsiTheme="minorHAnsi" w:eastAsiaTheme="minorEastAsia" w:cstheme="minorBidi"/>
          <w:color w:val="auto"/>
          <w:sz w:val="21"/>
          <w:szCs w:val="21"/>
          <w:lang w:val="zh-CN"/>
        </w:rPr>
        <w:id w:val="-522165164"/>
        <w:docPartObj>
          <w:docPartGallery w:val="Table of Contents"/>
          <w:docPartUnique/>
        </w:docPartObj>
      </w:sdtPr>
      <w:sdtEndPr>
        <w:rPr>
          <w:rFonts w:asciiTheme="minorHAnsi" w:hAnsiTheme="minorHAnsi" w:eastAsiaTheme="minorEastAsia" w:cstheme="minorBidi"/>
          <w:b/>
          <w:bCs/>
          <w:color w:val="auto"/>
          <w:sz w:val="21"/>
          <w:szCs w:val="21"/>
          <w:lang w:val="zh-CN"/>
        </w:rPr>
      </w:sdtEndPr>
      <w:sdtContent>
        <w:p>
          <w:pPr>
            <w:pStyle w:val="48"/>
            <w:spacing w:before="100" w:beforeAutospacing="1" w:after="100" w:afterAutospacing="1" w:line="360" w:lineRule="auto"/>
            <w:jc w:val="both"/>
          </w:pPr>
          <w:r>
            <w:rPr>
              <w:rFonts w:hint="eastAsia"/>
              <w:lang w:val="zh-CN"/>
            </w:rPr>
            <w:t>T</w:t>
          </w:r>
          <w:r>
            <w:rPr>
              <w:lang w:val="zh-CN"/>
            </w:rPr>
            <w:t>able of Contents</w:t>
          </w:r>
        </w:p>
        <w:p>
          <w:pPr>
            <w:pStyle w:val="14"/>
            <w:tabs>
              <w:tab w:val="right" w:leader="dot" w:pos="9736"/>
            </w:tabs>
            <w:rPr>
              <w:rFonts w:ascii="Times New Roman" w:hAnsi="Times New Roman" w:cs="Times New Roman"/>
              <w:kern w:val="2"/>
              <w:sz w:val="24"/>
              <w:szCs w:val="28"/>
            </w:rPr>
          </w:pPr>
          <w:r>
            <w:rPr>
              <w:rFonts w:ascii="Times New Roman" w:hAnsi="Times New Roman" w:cs="Times New Roman"/>
              <w:sz w:val="32"/>
            </w:rPr>
            <w:fldChar w:fldCharType="begin"/>
          </w:r>
          <w:r>
            <w:rPr>
              <w:rFonts w:ascii="Times New Roman" w:hAnsi="Times New Roman" w:cs="Times New Roman"/>
              <w:sz w:val="32"/>
            </w:rPr>
            <w:instrText xml:space="preserve"> TOC \o "1-3" \h \z \u </w:instrText>
          </w:r>
          <w:r>
            <w:rPr>
              <w:rFonts w:ascii="Times New Roman" w:hAnsi="Times New Roman" w:cs="Times New Roman"/>
              <w:sz w:val="32"/>
            </w:rPr>
            <w:fldChar w:fldCharType="separate"/>
          </w:r>
          <w:r>
            <w:fldChar w:fldCharType="begin"/>
          </w:r>
          <w:r>
            <w:instrText xml:space="preserve"> HYPERLINK \l "_Toc8393195" </w:instrText>
          </w:r>
          <w:r>
            <w:fldChar w:fldCharType="separate"/>
          </w:r>
          <w:r>
            <w:rPr>
              <w:rStyle w:val="23"/>
              <w:rFonts w:ascii="Times New Roman" w:hAnsi="Times New Roman" w:cs="Times New Roman"/>
              <w:sz w:val="24"/>
              <w:szCs w:val="28"/>
            </w:rPr>
            <w:t>Executive Summary</w:t>
          </w:r>
          <w:r>
            <w:rPr>
              <w:rFonts w:ascii="Times New Roman" w:hAnsi="Times New Roman" w:cs="Times New Roman"/>
              <w:sz w:val="24"/>
              <w:szCs w:val="28"/>
            </w:rPr>
            <w:tab/>
          </w:r>
          <w:r>
            <w:rPr>
              <w:rFonts w:ascii="Times New Roman" w:hAnsi="Times New Roman" w:cs="Times New Roman"/>
              <w:sz w:val="24"/>
              <w:szCs w:val="28"/>
            </w:rPr>
            <w:fldChar w:fldCharType="begin"/>
          </w:r>
          <w:r>
            <w:rPr>
              <w:rFonts w:ascii="Times New Roman" w:hAnsi="Times New Roman" w:cs="Times New Roman"/>
              <w:sz w:val="24"/>
              <w:szCs w:val="28"/>
            </w:rPr>
            <w:instrText xml:space="preserve"> PAGEREF _Toc8393195 \h </w:instrText>
          </w:r>
          <w:r>
            <w:rPr>
              <w:rFonts w:ascii="Times New Roman" w:hAnsi="Times New Roman" w:cs="Times New Roman"/>
              <w:sz w:val="24"/>
              <w:szCs w:val="28"/>
            </w:rPr>
            <w:fldChar w:fldCharType="separate"/>
          </w:r>
          <w:r>
            <w:rPr>
              <w:rFonts w:ascii="Times New Roman" w:hAnsi="Times New Roman" w:cs="Times New Roman"/>
              <w:sz w:val="24"/>
              <w:szCs w:val="28"/>
            </w:rPr>
            <w:t>2</w:t>
          </w:r>
          <w:r>
            <w:rPr>
              <w:rFonts w:ascii="Times New Roman" w:hAnsi="Times New Roman" w:cs="Times New Roman"/>
              <w:sz w:val="24"/>
              <w:szCs w:val="28"/>
            </w:rPr>
            <w:fldChar w:fldCharType="end"/>
          </w:r>
          <w:r>
            <w:rPr>
              <w:rFonts w:ascii="Times New Roman" w:hAnsi="Times New Roman" w:cs="Times New Roman"/>
              <w:sz w:val="24"/>
              <w:szCs w:val="28"/>
            </w:rPr>
            <w:fldChar w:fldCharType="end"/>
          </w:r>
        </w:p>
        <w:p>
          <w:pPr>
            <w:pStyle w:val="14"/>
            <w:tabs>
              <w:tab w:val="left" w:pos="420"/>
              <w:tab w:val="right" w:leader="dot" w:pos="9736"/>
            </w:tabs>
            <w:rPr>
              <w:rFonts w:ascii="Times New Roman" w:hAnsi="Times New Roman" w:cs="Times New Roman"/>
              <w:kern w:val="2"/>
              <w:sz w:val="24"/>
              <w:szCs w:val="28"/>
            </w:rPr>
          </w:pPr>
          <w:r>
            <w:fldChar w:fldCharType="begin"/>
          </w:r>
          <w:r>
            <w:instrText xml:space="preserve"> HYPERLINK \l "_Toc8393196" </w:instrText>
          </w:r>
          <w:r>
            <w:fldChar w:fldCharType="separate"/>
          </w:r>
          <w:r>
            <w:rPr>
              <w:rStyle w:val="23"/>
              <w:rFonts w:ascii="Times New Roman" w:hAnsi="Times New Roman" w:cs="Times New Roman"/>
              <w:sz w:val="24"/>
              <w:szCs w:val="28"/>
              <w:lang w:val="en-GB"/>
            </w:rPr>
            <w:t>1.</w:t>
          </w:r>
          <w:r>
            <w:rPr>
              <w:rFonts w:ascii="Times New Roman" w:hAnsi="Times New Roman" w:cs="Times New Roman"/>
              <w:kern w:val="2"/>
              <w:sz w:val="24"/>
              <w:szCs w:val="28"/>
            </w:rPr>
            <w:tab/>
          </w:r>
          <w:r>
            <w:rPr>
              <w:rStyle w:val="23"/>
              <w:rFonts w:ascii="Times New Roman" w:hAnsi="Times New Roman" w:cs="Times New Roman"/>
              <w:sz w:val="24"/>
              <w:szCs w:val="28"/>
              <w:lang w:val="en-GB"/>
            </w:rPr>
            <w:t>Introduction-About Tesla</w:t>
          </w:r>
          <w:r>
            <w:rPr>
              <w:rFonts w:ascii="Times New Roman" w:hAnsi="Times New Roman" w:cs="Times New Roman"/>
              <w:sz w:val="24"/>
              <w:szCs w:val="28"/>
            </w:rPr>
            <w:tab/>
          </w:r>
          <w:r>
            <w:rPr>
              <w:rFonts w:ascii="Times New Roman" w:hAnsi="Times New Roman" w:cs="Times New Roman"/>
              <w:sz w:val="24"/>
              <w:szCs w:val="28"/>
            </w:rPr>
            <w:fldChar w:fldCharType="begin"/>
          </w:r>
          <w:r>
            <w:rPr>
              <w:rFonts w:ascii="Times New Roman" w:hAnsi="Times New Roman" w:cs="Times New Roman"/>
              <w:sz w:val="24"/>
              <w:szCs w:val="28"/>
            </w:rPr>
            <w:instrText xml:space="preserve"> PAGEREF _Toc8393196 \h </w:instrText>
          </w:r>
          <w:r>
            <w:rPr>
              <w:rFonts w:ascii="Times New Roman" w:hAnsi="Times New Roman" w:cs="Times New Roman"/>
              <w:sz w:val="24"/>
              <w:szCs w:val="28"/>
            </w:rPr>
            <w:fldChar w:fldCharType="separate"/>
          </w:r>
          <w:r>
            <w:rPr>
              <w:rFonts w:ascii="Times New Roman" w:hAnsi="Times New Roman" w:cs="Times New Roman"/>
              <w:sz w:val="24"/>
              <w:szCs w:val="28"/>
            </w:rPr>
            <w:t>1</w:t>
          </w:r>
          <w:r>
            <w:rPr>
              <w:rFonts w:ascii="Times New Roman" w:hAnsi="Times New Roman" w:cs="Times New Roman"/>
              <w:sz w:val="24"/>
              <w:szCs w:val="28"/>
            </w:rPr>
            <w:fldChar w:fldCharType="end"/>
          </w:r>
          <w:r>
            <w:rPr>
              <w:rFonts w:ascii="Times New Roman" w:hAnsi="Times New Roman" w:cs="Times New Roman"/>
              <w:sz w:val="24"/>
              <w:szCs w:val="28"/>
            </w:rPr>
            <w:fldChar w:fldCharType="end"/>
          </w:r>
        </w:p>
        <w:p>
          <w:pPr>
            <w:pStyle w:val="14"/>
            <w:tabs>
              <w:tab w:val="left" w:pos="420"/>
              <w:tab w:val="right" w:leader="dot" w:pos="9736"/>
            </w:tabs>
            <w:rPr>
              <w:rFonts w:ascii="Times New Roman" w:hAnsi="Times New Roman" w:cs="Times New Roman"/>
              <w:kern w:val="2"/>
              <w:sz w:val="24"/>
              <w:szCs w:val="28"/>
            </w:rPr>
          </w:pPr>
          <w:r>
            <w:fldChar w:fldCharType="begin"/>
          </w:r>
          <w:r>
            <w:instrText xml:space="preserve"> HYPERLINK \l "_Toc8393197" </w:instrText>
          </w:r>
          <w:r>
            <w:fldChar w:fldCharType="separate"/>
          </w:r>
          <w:r>
            <w:rPr>
              <w:rStyle w:val="23"/>
              <w:rFonts w:ascii="Times New Roman" w:hAnsi="Times New Roman" w:cs="Times New Roman"/>
              <w:sz w:val="24"/>
              <w:szCs w:val="28"/>
              <w:lang w:val="en-GB"/>
            </w:rPr>
            <w:t>2.</w:t>
          </w:r>
          <w:r>
            <w:rPr>
              <w:rFonts w:ascii="Times New Roman" w:hAnsi="Times New Roman" w:cs="Times New Roman"/>
              <w:kern w:val="2"/>
              <w:sz w:val="24"/>
              <w:szCs w:val="28"/>
            </w:rPr>
            <w:tab/>
          </w:r>
          <w:r>
            <w:rPr>
              <w:rStyle w:val="23"/>
              <w:rFonts w:ascii="Times New Roman" w:hAnsi="Times New Roman" w:cs="Times New Roman"/>
              <w:sz w:val="24"/>
              <w:szCs w:val="28"/>
              <w:lang w:val="en-GB"/>
            </w:rPr>
            <w:t>The Situation Analysis of Tesla in China</w:t>
          </w:r>
          <w:r>
            <w:rPr>
              <w:rFonts w:ascii="Times New Roman" w:hAnsi="Times New Roman" w:cs="Times New Roman"/>
              <w:sz w:val="24"/>
              <w:szCs w:val="28"/>
            </w:rPr>
            <w:tab/>
          </w:r>
          <w:r>
            <w:rPr>
              <w:rFonts w:ascii="Times New Roman" w:hAnsi="Times New Roman" w:cs="Times New Roman"/>
              <w:sz w:val="24"/>
              <w:szCs w:val="28"/>
            </w:rPr>
            <w:fldChar w:fldCharType="begin"/>
          </w:r>
          <w:r>
            <w:rPr>
              <w:rFonts w:ascii="Times New Roman" w:hAnsi="Times New Roman" w:cs="Times New Roman"/>
              <w:sz w:val="24"/>
              <w:szCs w:val="28"/>
            </w:rPr>
            <w:instrText xml:space="preserve"> PAGEREF _Toc8393197 \h </w:instrText>
          </w:r>
          <w:r>
            <w:rPr>
              <w:rFonts w:ascii="Times New Roman" w:hAnsi="Times New Roman" w:cs="Times New Roman"/>
              <w:sz w:val="24"/>
              <w:szCs w:val="28"/>
            </w:rPr>
            <w:fldChar w:fldCharType="separate"/>
          </w:r>
          <w:r>
            <w:rPr>
              <w:rFonts w:ascii="Times New Roman" w:hAnsi="Times New Roman" w:cs="Times New Roman"/>
              <w:sz w:val="24"/>
              <w:szCs w:val="28"/>
            </w:rPr>
            <w:t>2</w:t>
          </w:r>
          <w:r>
            <w:rPr>
              <w:rFonts w:ascii="Times New Roman" w:hAnsi="Times New Roman" w:cs="Times New Roman"/>
              <w:sz w:val="24"/>
              <w:szCs w:val="28"/>
            </w:rPr>
            <w:fldChar w:fldCharType="end"/>
          </w:r>
          <w:r>
            <w:rPr>
              <w:rFonts w:ascii="Times New Roman" w:hAnsi="Times New Roman" w:cs="Times New Roman"/>
              <w:sz w:val="24"/>
              <w:szCs w:val="28"/>
            </w:rPr>
            <w:fldChar w:fldCharType="end"/>
          </w:r>
        </w:p>
        <w:p>
          <w:pPr>
            <w:pStyle w:val="17"/>
            <w:tabs>
              <w:tab w:val="left" w:pos="1050"/>
              <w:tab w:val="right" w:leader="dot" w:pos="9736"/>
            </w:tabs>
            <w:rPr>
              <w:rFonts w:ascii="Times New Roman" w:hAnsi="Times New Roman" w:cs="Times New Roman"/>
              <w:kern w:val="2"/>
              <w:sz w:val="24"/>
              <w:szCs w:val="28"/>
            </w:rPr>
          </w:pPr>
          <w:r>
            <w:fldChar w:fldCharType="begin"/>
          </w:r>
          <w:r>
            <w:instrText xml:space="preserve"> HYPERLINK \l "_Toc8393198" </w:instrText>
          </w:r>
          <w:r>
            <w:fldChar w:fldCharType="separate"/>
          </w:r>
          <w:r>
            <w:rPr>
              <w:rStyle w:val="23"/>
              <w:rFonts w:ascii="Times New Roman" w:hAnsi="Times New Roman" w:cs="Times New Roman"/>
              <w:sz w:val="24"/>
              <w:szCs w:val="28"/>
              <w:lang w:val="en-GB"/>
            </w:rPr>
            <w:t>2.1</w:t>
          </w:r>
          <w:r>
            <w:rPr>
              <w:rFonts w:ascii="Times New Roman" w:hAnsi="Times New Roman" w:cs="Times New Roman"/>
              <w:kern w:val="2"/>
              <w:sz w:val="24"/>
              <w:szCs w:val="28"/>
            </w:rPr>
            <w:tab/>
          </w:r>
          <w:r>
            <w:rPr>
              <w:rStyle w:val="23"/>
              <w:rFonts w:ascii="Times New Roman" w:hAnsi="Times New Roman" w:cs="Times New Roman"/>
              <w:sz w:val="24"/>
              <w:szCs w:val="28"/>
              <w:lang w:val="en-GB"/>
            </w:rPr>
            <w:t>The Analysis of Macro-environment-PEST</w:t>
          </w:r>
          <w:r>
            <w:rPr>
              <w:rFonts w:ascii="Times New Roman" w:hAnsi="Times New Roman" w:cs="Times New Roman"/>
              <w:sz w:val="24"/>
              <w:szCs w:val="28"/>
            </w:rPr>
            <w:tab/>
          </w:r>
          <w:r>
            <w:rPr>
              <w:rFonts w:ascii="Times New Roman" w:hAnsi="Times New Roman" w:cs="Times New Roman"/>
              <w:sz w:val="24"/>
              <w:szCs w:val="28"/>
            </w:rPr>
            <w:fldChar w:fldCharType="begin"/>
          </w:r>
          <w:r>
            <w:rPr>
              <w:rFonts w:ascii="Times New Roman" w:hAnsi="Times New Roman" w:cs="Times New Roman"/>
              <w:sz w:val="24"/>
              <w:szCs w:val="28"/>
            </w:rPr>
            <w:instrText xml:space="preserve"> PAGEREF _Toc8393198 \h </w:instrText>
          </w:r>
          <w:r>
            <w:rPr>
              <w:rFonts w:ascii="Times New Roman" w:hAnsi="Times New Roman" w:cs="Times New Roman"/>
              <w:sz w:val="24"/>
              <w:szCs w:val="28"/>
            </w:rPr>
            <w:fldChar w:fldCharType="separate"/>
          </w:r>
          <w:r>
            <w:rPr>
              <w:rFonts w:ascii="Times New Roman" w:hAnsi="Times New Roman" w:cs="Times New Roman"/>
              <w:sz w:val="24"/>
              <w:szCs w:val="28"/>
            </w:rPr>
            <w:t>2</w:t>
          </w:r>
          <w:r>
            <w:rPr>
              <w:rFonts w:ascii="Times New Roman" w:hAnsi="Times New Roman" w:cs="Times New Roman"/>
              <w:sz w:val="24"/>
              <w:szCs w:val="28"/>
            </w:rPr>
            <w:fldChar w:fldCharType="end"/>
          </w:r>
          <w:r>
            <w:rPr>
              <w:rFonts w:ascii="Times New Roman" w:hAnsi="Times New Roman" w:cs="Times New Roman"/>
              <w:sz w:val="24"/>
              <w:szCs w:val="28"/>
            </w:rPr>
            <w:fldChar w:fldCharType="end"/>
          </w:r>
        </w:p>
        <w:p>
          <w:pPr>
            <w:pStyle w:val="17"/>
            <w:tabs>
              <w:tab w:val="left" w:pos="1050"/>
              <w:tab w:val="right" w:leader="dot" w:pos="9736"/>
            </w:tabs>
            <w:rPr>
              <w:rFonts w:ascii="Times New Roman" w:hAnsi="Times New Roman" w:cs="Times New Roman"/>
              <w:kern w:val="2"/>
              <w:sz w:val="24"/>
              <w:szCs w:val="28"/>
            </w:rPr>
          </w:pPr>
          <w:r>
            <w:fldChar w:fldCharType="begin"/>
          </w:r>
          <w:r>
            <w:instrText xml:space="preserve"> HYPERLINK \l "_Toc8393199" </w:instrText>
          </w:r>
          <w:r>
            <w:fldChar w:fldCharType="separate"/>
          </w:r>
          <w:r>
            <w:rPr>
              <w:rStyle w:val="23"/>
              <w:rFonts w:ascii="Times New Roman" w:hAnsi="Times New Roman" w:cs="Times New Roman"/>
              <w:sz w:val="24"/>
              <w:szCs w:val="28"/>
              <w:lang w:val="en-GB"/>
            </w:rPr>
            <w:t>2.2</w:t>
          </w:r>
          <w:r>
            <w:rPr>
              <w:rFonts w:ascii="Times New Roman" w:hAnsi="Times New Roman" w:cs="Times New Roman"/>
              <w:kern w:val="2"/>
              <w:sz w:val="24"/>
              <w:szCs w:val="28"/>
            </w:rPr>
            <w:tab/>
          </w:r>
          <w:r>
            <w:rPr>
              <w:rStyle w:val="23"/>
              <w:rFonts w:ascii="Times New Roman" w:hAnsi="Times New Roman" w:cs="Times New Roman"/>
              <w:sz w:val="24"/>
              <w:szCs w:val="28"/>
              <w:lang w:val="en-GB"/>
            </w:rPr>
            <w:t>The Analysis of Micro-environment- Porter’s Five Forces</w:t>
          </w:r>
          <w:r>
            <w:rPr>
              <w:rFonts w:ascii="Times New Roman" w:hAnsi="Times New Roman" w:cs="Times New Roman"/>
              <w:sz w:val="24"/>
              <w:szCs w:val="28"/>
            </w:rPr>
            <w:tab/>
          </w:r>
          <w:r>
            <w:rPr>
              <w:rFonts w:ascii="Times New Roman" w:hAnsi="Times New Roman" w:cs="Times New Roman"/>
              <w:sz w:val="24"/>
              <w:szCs w:val="28"/>
            </w:rPr>
            <w:fldChar w:fldCharType="begin"/>
          </w:r>
          <w:r>
            <w:rPr>
              <w:rFonts w:ascii="Times New Roman" w:hAnsi="Times New Roman" w:cs="Times New Roman"/>
              <w:sz w:val="24"/>
              <w:szCs w:val="28"/>
            </w:rPr>
            <w:instrText xml:space="preserve"> PAGEREF _Toc8393199 \h </w:instrText>
          </w:r>
          <w:r>
            <w:rPr>
              <w:rFonts w:ascii="Times New Roman" w:hAnsi="Times New Roman" w:cs="Times New Roman"/>
              <w:sz w:val="24"/>
              <w:szCs w:val="28"/>
            </w:rPr>
            <w:fldChar w:fldCharType="separate"/>
          </w:r>
          <w:r>
            <w:rPr>
              <w:rFonts w:ascii="Times New Roman" w:hAnsi="Times New Roman" w:cs="Times New Roman"/>
              <w:sz w:val="24"/>
              <w:szCs w:val="28"/>
            </w:rPr>
            <w:t>5</w:t>
          </w:r>
          <w:r>
            <w:rPr>
              <w:rFonts w:ascii="Times New Roman" w:hAnsi="Times New Roman" w:cs="Times New Roman"/>
              <w:sz w:val="24"/>
              <w:szCs w:val="28"/>
            </w:rPr>
            <w:fldChar w:fldCharType="end"/>
          </w:r>
          <w:r>
            <w:rPr>
              <w:rFonts w:ascii="Times New Roman" w:hAnsi="Times New Roman" w:cs="Times New Roman"/>
              <w:sz w:val="24"/>
              <w:szCs w:val="28"/>
            </w:rPr>
            <w:fldChar w:fldCharType="end"/>
          </w:r>
        </w:p>
        <w:p>
          <w:pPr>
            <w:pStyle w:val="17"/>
            <w:tabs>
              <w:tab w:val="left" w:pos="1050"/>
              <w:tab w:val="right" w:leader="dot" w:pos="9736"/>
            </w:tabs>
            <w:rPr>
              <w:rFonts w:ascii="Times New Roman" w:hAnsi="Times New Roman" w:cs="Times New Roman"/>
              <w:kern w:val="2"/>
              <w:sz w:val="24"/>
              <w:szCs w:val="28"/>
            </w:rPr>
          </w:pPr>
          <w:r>
            <w:fldChar w:fldCharType="begin"/>
          </w:r>
          <w:r>
            <w:instrText xml:space="preserve"> HYPERLINK \l "_Toc8393200" </w:instrText>
          </w:r>
          <w:r>
            <w:fldChar w:fldCharType="separate"/>
          </w:r>
          <w:r>
            <w:rPr>
              <w:rStyle w:val="23"/>
              <w:rFonts w:ascii="Times New Roman" w:hAnsi="Times New Roman" w:cs="Times New Roman"/>
              <w:sz w:val="24"/>
              <w:szCs w:val="28"/>
              <w:lang w:val="en-GB"/>
            </w:rPr>
            <w:t>2.3</w:t>
          </w:r>
          <w:r>
            <w:rPr>
              <w:rFonts w:ascii="Times New Roman" w:hAnsi="Times New Roman" w:cs="Times New Roman"/>
              <w:kern w:val="2"/>
              <w:sz w:val="24"/>
              <w:szCs w:val="28"/>
            </w:rPr>
            <w:tab/>
          </w:r>
          <w:r>
            <w:rPr>
              <w:rStyle w:val="23"/>
              <w:rFonts w:ascii="Times New Roman" w:hAnsi="Times New Roman" w:cs="Times New Roman"/>
              <w:sz w:val="24"/>
              <w:szCs w:val="28"/>
              <w:lang w:val="en-GB"/>
            </w:rPr>
            <w:t>The Analysis of Internal Environment-VRIO</w:t>
          </w:r>
          <w:r>
            <w:rPr>
              <w:rFonts w:ascii="Times New Roman" w:hAnsi="Times New Roman" w:cs="Times New Roman"/>
              <w:sz w:val="24"/>
              <w:szCs w:val="28"/>
            </w:rPr>
            <w:tab/>
          </w:r>
          <w:r>
            <w:rPr>
              <w:rFonts w:ascii="Times New Roman" w:hAnsi="Times New Roman" w:cs="Times New Roman"/>
              <w:sz w:val="24"/>
              <w:szCs w:val="28"/>
            </w:rPr>
            <w:fldChar w:fldCharType="begin"/>
          </w:r>
          <w:r>
            <w:rPr>
              <w:rFonts w:ascii="Times New Roman" w:hAnsi="Times New Roman" w:cs="Times New Roman"/>
              <w:sz w:val="24"/>
              <w:szCs w:val="28"/>
            </w:rPr>
            <w:instrText xml:space="preserve"> PAGEREF _Toc8393200 \h </w:instrText>
          </w:r>
          <w:r>
            <w:rPr>
              <w:rFonts w:ascii="Times New Roman" w:hAnsi="Times New Roman" w:cs="Times New Roman"/>
              <w:sz w:val="24"/>
              <w:szCs w:val="28"/>
            </w:rPr>
            <w:fldChar w:fldCharType="separate"/>
          </w:r>
          <w:r>
            <w:rPr>
              <w:rFonts w:ascii="Times New Roman" w:hAnsi="Times New Roman" w:cs="Times New Roman"/>
              <w:sz w:val="24"/>
              <w:szCs w:val="28"/>
            </w:rPr>
            <w:t>7</w:t>
          </w:r>
          <w:r>
            <w:rPr>
              <w:rFonts w:ascii="Times New Roman" w:hAnsi="Times New Roman" w:cs="Times New Roman"/>
              <w:sz w:val="24"/>
              <w:szCs w:val="28"/>
            </w:rPr>
            <w:fldChar w:fldCharType="end"/>
          </w:r>
          <w:r>
            <w:rPr>
              <w:rFonts w:ascii="Times New Roman" w:hAnsi="Times New Roman" w:cs="Times New Roman"/>
              <w:sz w:val="24"/>
              <w:szCs w:val="28"/>
            </w:rPr>
            <w:fldChar w:fldCharType="end"/>
          </w:r>
        </w:p>
        <w:p>
          <w:pPr>
            <w:pStyle w:val="17"/>
            <w:tabs>
              <w:tab w:val="left" w:pos="1050"/>
              <w:tab w:val="right" w:leader="dot" w:pos="9736"/>
            </w:tabs>
            <w:rPr>
              <w:rFonts w:ascii="Times New Roman" w:hAnsi="Times New Roman" w:cs="Times New Roman"/>
              <w:kern w:val="2"/>
              <w:sz w:val="24"/>
              <w:szCs w:val="28"/>
            </w:rPr>
          </w:pPr>
          <w:r>
            <w:fldChar w:fldCharType="begin"/>
          </w:r>
          <w:r>
            <w:instrText xml:space="preserve"> HYPERLINK \l "_Toc8393201" </w:instrText>
          </w:r>
          <w:r>
            <w:fldChar w:fldCharType="separate"/>
          </w:r>
          <w:r>
            <w:rPr>
              <w:rStyle w:val="23"/>
              <w:rFonts w:ascii="Times New Roman" w:hAnsi="Times New Roman" w:cs="Times New Roman"/>
              <w:sz w:val="24"/>
              <w:szCs w:val="28"/>
              <w:lang w:val="en-GB"/>
            </w:rPr>
            <w:t>2.4</w:t>
          </w:r>
          <w:r>
            <w:rPr>
              <w:rFonts w:ascii="Times New Roman" w:hAnsi="Times New Roman" w:cs="Times New Roman"/>
              <w:kern w:val="2"/>
              <w:sz w:val="24"/>
              <w:szCs w:val="28"/>
            </w:rPr>
            <w:tab/>
          </w:r>
          <w:r>
            <w:rPr>
              <w:rStyle w:val="23"/>
              <w:rFonts w:ascii="Times New Roman" w:hAnsi="Times New Roman" w:cs="Times New Roman"/>
              <w:sz w:val="24"/>
              <w:szCs w:val="28"/>
              <w:lang w:val="en-GB"/>
            </w:rPr>
            <w:t>Recap of Situation Analysis – SWOT</w:t>
          </w:r>
          <w:r>
            <w:rPr>
              <w:rFonts w:ascii="Times New Roman" w:hAnsi="Times New Roman" w:cs="Times New Roman"/>
              <w:sz w:val="24"/>
              <w:szCs w:val="28"/>
            </w:rPr>
            <w:tab/>
          </w:r>
          <w:r>
            <w:rPr>
              <w:rFonts w:ascii="Times New Roman" w:hAnsi="Times New Roman" w:cs="Times New Roman"/>
              <w:sz w:val="24"/>
              <w:szCs w:val="28"/>
            </w:rPr>
            <w:fldChar w:fldCharType="begin"/>
          </w:r>
          <w:r>
            <w:rPr>
              <w:rFonts w:ascii="Times New Roman" w:hAnsi="Times New Roman" w:cs="Times New Roman"/>
              <w:sz w:val="24"/>
              <w:szCs w:val="28"/>
            </w:rPr>
            <w:instrText xml:space="preserve"> PAGEREF _Toc8393201 \h </w:instrText>
          </w:r>
          <w:r>
            <w:rPr>
              <w:rFonts w:ascii="Times New Roman" w:hAnsi="Times New Roman" w:cs="Times New Roman"/>
              <w:sz w:val="24"/>
              <w:szCs w:val="28"/>
            </w:rPr>
            <w:fldChar w:fldCharType="separate"/>
          </w:r>
          <w:r>
            <w:rPr>
              <w:rFonts w:ascii="Times New Roman" w:hAnsi="Times New Roman" w:cs="Times New Roman"/>
              <w:sz w:val="24"/>
              <w:szCs w:val="28"/>
            </w:rPr>
            <w:t>8</w:t>
          </w:r>
          <w:r>
            <w:rPr>
              <w:rFonts w:ascii="Times New Roman" w:hAnsi="Times New Roman" w:cs="Times New Roman"/>
              <w:sz w:val="24"/>
              <w:szCs w:val="28"/>
            </w:rPr>
            <w:fldChar w:fldCharType="end"/>
          </w:r>
          <w:r>
            <w:rPr>
              <w:rFonts w:ascii="Times New Roman" w:hAnsi="Times New Roman" w:cs="Times New Roman"/>
              <w:sz w:val="24"/>
              <w:szCs w:val="28"/>
            </w:rPr>
            <w:fldChar w:fldCharType="end"/>
          </w:r>
        </w:p>
        <w:p>
          <w:pPr>
            <w:pStyle w:val="14"/>
            <w:tabs>
              <w:tab w:val="left" w:pos="420"/>
              <w:tab w:val="right" w:leader="dot" w:pos="9736"/>
            </w:tabs>
            <w:rPr>
              <w:rFonts w:ascii="Times New Roman" w:hAnsi="Times New Roman" w:cs="Times New Roman"/>
              <w:kern w:val="2"/>
              <w:sz w:val="24"/>
              <w:szCs w:val="28"/>
            </w:rPr>
          </w:pPr>
          <w:r>
            <w:fldChar w:fldCharType="begin"/>
          </w:r>
          <w:r>
            <w:instrText xml:space="preserve"> HYPERLINK \l "_Toc8393202" </w:instrText>
          </w:r>
          <w:r>
            <w:fldChar w:fldCharType="separate"/>
          </w:r>
          <w:r>
            <w:rPr>
              <w:rStyle w:val="23"/>
              <w:rFonts w:ascii="Times New Roman" w:hAnsi="Times New Roman" w:cs="Times New Roman"/>
              <w:sz w:val="24"/>
              <w:szCs w:val="28"/>
              <w:lang w:val="en-GB"/>
            </w:rPr>
            <w:t>3.</w:t>
          </w:r>
          <w:r>
            <w:rPr>
              <w:rFonts w:ascii="Times New Roman" w:hAnsi="Times New Roman" w:cs="Times New Roman"/>
              <w:kern w:val="2"/>
              <w:sz w:val="24"/>
              <w:szCs w:val="28"/>
            </w:rPr>
            <w:tab/>
          </w:r>
          <w:r>
            <w:rPr>
              <w:rStyle w:val="23"/>
              <w:rFonts w:ascii="Times New Roman" w:hAnsi="Times New Roman" w:cs="Times New Roman"/>
              <w:sz w:val="24"/>
              <w:szCs w:val="28"/>
              <w:lang w:val="en-GB"/>
            </w:rPr>
            <w:t>Strategic Intent of Tesla in China</w:t>
          </w:r>
          <w:r>
            <w:rPr>
              <w:rFonts w:ascii="Times New Roman" w:hAnsi="Times New Roman" w:cs="Times New Roman"/>
              <w:sz w:val="24"/>
              <w:szCs w:val="28"/>
            </w:rPr>
            <w:tab/>
          </w:r>
          <w:r>
            <w:rPr>
              <w:rFonts w:ascii="Times New Roman" w:hAnsi="Times New Roman" w:cs="Times New Roman"/>
              <w:sz w:val="24"/>
              <w:szCs w:val="28"/>
            </w:rPr>
            <w:fldChar w:fldCharType="begin"/>
          </w:r>
          <w:r>
            <w:rPr>
              <w:rFonts w:ascii="Times New Roman" w:hAnsi="Times New Roman" w:cs="Times New Roman"/>
              <w:sz w:val="24"/>
              <w:szCs w:val="28"/>
            </w:rPr>
            <w:instrText xml:space="preserve"> PAGEREF _Toc8393202 \h </w:instrText>
          </w:r>
          <w:r>
            <w:rPr>
              <w:rFonts w:ascii="Times New Roman" w:hAnsi="Times New Roman" w:cs="Times New Roman"/>
              <w:sz w:val="24"/>
              <w:szCs w:val="28"/>
            </w:rPr>
            <w:fldChar w:fldCharType="separate"/>
          </w:r>
          <w:r>
            <w:rPr>
              <w:rFonts w:ascii="Times New Roman" w:hAnsi="Times New Roman" w:cs="Times New Roman"/>
              <w:sz w:val="24"/>
              <w:szCs w:val="28"/>
            </w:rPr>
            <w:t>9</w:t>
          </w:r>
          <w:r>
            <w:rPr>
              <w:rFonts w:ascii="Times New Roman" w:hAnsi="Times New Roman" w:cs="Times New Roman"/>
              <w:sz w:val="24"/>
              <w:szCs w:val="28"/>
            </w:rPr>
            <w:fldChar w:fldCharType="end"/>
          </w:r>
          <w:r>
            <w:rPr>
              <w:rFonts w:ascii="Times New Roman" w:hAnsi="Times New Roman" w:cs="Times New Roman"/>
              <w:sz w:val="24"/>
              <w:szCs w:val="28"/>
            </w:rPr>
            <w:fldChar w:fldCharType="end"/>
          </w:r>
        </w:p>
        <w:p>
          <w:pPr>
            <w:pStyle w:val="14"/>
            <w:tabs>
              <w:tab w:val="left" w:pos="420"/>
              <w:tab w:val="right" w:leader="dot" w:pos="9736"/>
            </w:tabs>
            <w:rPr>
              <w:rFonts w:ascii="Times New Roman" w:hAnsi="Times New Roman" w:cs="Times New Roman"/>
              <w:kern w:val="2"/>
              <w:sz w:val="24"/>
              <w:szCs w:val="28"/>
            </w:rPr>
          </w:pPr>
          <w:r>
            <w:fldChar w:fldCharType="begin"/>
          </w:r>
          <w:r>
            <w:instrText xml:space="preserve"> HYPERLINK \l "_Toc8393203" </w:instrText>
          </w:r>
          <w:r>
            <w:fldChar w:fldCharType="separate"/>
          </w:r>
          <w:r>
            <w:rPr>
              <w:rStyle w:val="23"/>
              <w:rFonts w:ascii="Times New Roman" w:hAnsi="Times New Roman" w:cs="Times New Roman"/>
              <w:sz w:val="24"/>
              <w:szCs w:val="28"/>
              <w:lang w:val="en-GB"/>
            </w:rPr>
            <w:t>4.</w:t>
          </w:r>
          <w:r>
            <w:rPr>
              <w:rFonts w:ascii="Times New Roman" w:hAnsi="Times New Roman" w:cs="Times New Roman"/>
              <w:kern w:val="2"/>
              <w:sz w:val="24"/>
              <w:szCs w:val="28"/>
            </w:rPr>
            <w:tab/>
          </w:r>
          <w:r>
            <w:rPr>
              <w:rStyle w:val="23"/>
              <w:rFonts w:ascii="Times New Roman" w:hAnsi="Times New Roman" w:cs="Times New Roman"/>
              <w:sz w:val="24"/>
              <w:szCs w:val="28"/>
              <w:lang w:val="en-GB"/>
            </w:rPr>
            <w:t>Segmentation, Targeting, and Positioning</w:t>
          </w:r>
          <w:r>
            <w:rPr>
              <w:rFonts w:ascii="Times New Roman" w:hAnsi="Times New Roman" w:cs="Times New Roman"/>
              <w:sz w:val="24"/>
              <w:szCs w:val="28"/>
            </w:rPr>
            <w:tab/>
          </w:r>
          <w:r>
            <w:rPr>
              <w:rFonts w:ascii="Times New Roman" w:hAnsi="Times New Roman" w:cs="Times New Roman"/>
              <w:sz w:val="24"/>
              <w:szCs w:val="28"/>
            </w:rPr>
            <w:fldChar w:fldCharType="begin"/>
          </w:r>
          <w:r>
            <w:rPr>
              <w:rFonts w:ascii="Times New Roman" w:hAnsi="Times New Roman" w:cs="Times New Roman"/>
              <w:sz w:val="24"/>
              <w:szCs w:val="28"/>
            </w:rPr>
            <w:instrText xml:space="preserve"> PAGEREF _Toc8393203 \h </w:instrText>
          </w:r>
          <w:r>
            <w:rPr>
              <w:rFonts w:ascii="Times New Roman" w:hAnsi="Times New Roman" w:cs="Times New Roman"/>
              <w:sz w:val="24"/>
              <w:szCs w:val="28"/>
            </w:rPr>
            <w:fldChar w:fldCharType="separate"/>
          </w:r>
          <w:r>
            <w:rPr>
              <w:rFonts w:ascii="Times New Roman" w:hAnsi="Times New Roman" w:cs="Times New Roman"/>
              <w:sz w:val="24"/>
              <w:szCs w:val="28"/>
            </w:rPr>
            <w:t>9</w:t>
          </w:r>
          <w:r>
            <w:rPr>
              <w:rFonts w:ascii="Times New Roman" w:hAnsi="Times New Roman" w:cs="Times New Roman"/>
              <w:sz w:val="24"/>
              <w:szCs w:val="28"/>
            </w:rPr>
            <w:fldChar w:fldCharType="end"/>
          </w:r>
          <w:r>
            <w:rPr>
              <w:rFonts w:ascii="Times New Roman" w:hAnsi="Times New Roman" w:cs="Times New Roman"/>
              <w:sz w:val="24"/>
              <w:szCs w:val="28"/>
            </w:rPr>
            <w:fldChar w:fldCharType="end"/>
          </w:r>
        </w:p>
        <w:p>
          <w:pPr>
            <w:pStyle w:val="14"/>
            <w:tabs>
              <w:tab w:val="left" w:pos="420"/>
              <w:tab w:val="right" w:leader="dot" w:pos="9736"/>
            </w:tabs>
            <w:rPr>
              <w:rFonts w:ascii="Times New Roman" w:hAnsi="Times New Roman" w:cs="Times New Roman"/>
              <w:kern w:val="2"/>
              <w:sz w:val="24"/>
              <w:szCs w:val="28"/>
            </w:rPr>
          </w:pPr>
          <w:r>
            <w:fldChar w:fldCharType="begin"/>
          </w:r>
          <w:r>
            <w:instrText xml:space="preserve"> HYPERLINK \l "_Toc8393204" </w:instrText>
          </w:r>
          <w:r>
            <w:fldChar w:fldCharType="separate"/>
          </w:r>
          <w:r>
            <w:rPr>
              <w:rStyle w:val="23"/>
              <w:rFonts w:ascii="Times New Roman" w:hAnsi="Times New Roman" w:cs="Times New Roman"/>
              <w:sz w:val="24"/>
              <w:szCs w:val="28"/>
              <w:lang w:val="en-GB"/>
            </w:rPr>
            <w:t>5.</w:t>
          </w:r>
          <w:r>
            <w:rPr>
              <w:rFonts w:ascii="Times New Roman" w:hAnsi="Times New Roman" w:cs="Times New Roman"/>
              <w:kern w:val="2"/>
              <w:sz w:val="24"/>
              <w:szCs w:val="28"/>
            </w:rPr>
            <w:tab/>
          </w:r>
          <w:r>
            <w:rPr>
              <w:rStyle w:val="23"/>
              <w:rFonts w:ascii="Times New Roman" w:hAnsi="Times New Roman" w:cs="Times New Roman"/>
              <w:sz w:val="24"/>
              <w:szCs w:val="28"/>
              <w:lang w:val="en-GB"/>
            </w:rPr>
            <w:t>Strategy Formulation</w:t>
          </w:r>
          <w:r>
            <w:rPr>
              <w:rFonts w:ascii="Times New Roman" w:hAnsi="Times New Roman" w:cs="Times New Roman"/>
              <w:sz w:val="24"/>
              <w:szCs w:val="28"/>
            </w:rPr>
            <w:tab/>
          </w:r>
          <w:r>
            <w:rPr>
              <w:rFonts w:ascii="Times New Roman" w:hAnsi="Times New Roman" w:cs="Times New Roman"/>
              <w:sz w:val="24"/>
              <w:szCs w:val="28"/>
            </w:rPr>
            <w:fldChar w:fldCharType="begin"/>
          </w:r>
          <w:r>
            <w:rPr>
              <w:rFonts w:ascii="Times New Roman" w:hAnsi="Times New Roman" w:cs="Times New Roman"/>
              <w:sz w:val="24"/>
              <w:szCs w:val="28"/>
            </w:rPr>
            <w:instrText xml:space="preserve"> PAGEREF _Toc8393204 \h </w:instrText>
          </w:r>
          <w:r>
            <w:rPr>
              <w:rFonts w:ascii="Times New Roman" w:hAnsi="Times New Roman" w:cs="Times New Roman"/>
              <w:sz w:val="24"/>
              <w:szCs w:val="28"/>
            </w:rPr>
            <w:fldChar w:fldCharType="separate"/>
          </w:r>
          <w:r>
            <w:rPr>
              <w:rFonts w:ascii="Times New Roman" w:hAnsi="Times New Roman" w:cs="Times New Roman"/>
              <w:sz w:val="24"/>
              <w:szCs w:val="28"/>
            </w:rPr>
            <w:t>10</w:t>
          </w:r>
          <w:r>
            <w:rPr>
              <w:rFonts w:ascii="Times New Roman" w:hAnsi="Times New Roman" w:cs="Times New Roman"/>
              <w:sz w:val="24"/>
              <w:szCs w:val="28"/>
            </w:rPr>
            <w:fldChar w:fldCharType="end"/>
          </w:r>
          <w:r>
            <w:rPr>
              <w:rFonts w:ascii="Times New Roman" w:hAnsi="Times New Roman" w:cs="Times New Roman"/>
              <w:sz w:val="24"/>
              <w:szCs w:val="28"/>
            </w:rPr>
            <w:fldChar w:fldCharType="end"/>
          </w:r>
        </w:p>
        <w:p>
          <w:pPr>
            <w:pStyle w:val="14"/>
            <w:tabs>
              <w:tab w:val="left" w:pos="420"/>
              <w:tab w:val="right" w:leader="dot" w:pos="9736"/>
            </w:tabs>
            <w:rPr>
              <w:rFonts w:ascii="Times New Roman" w:hAnsi="Times New Roman" w:cs="Times New Roman"/>
              <w:kern w:val="2"/>
              <w:sz w:val="24"/>
              <w:szCs w:val="28"/>
            </w:rPr>
          </w:pPr>
          <w:r>
            <w:fldChar w:fldCharType="begin"/>
          </w:r>
          <w:r>
            <w:instrText xml:space="preserve"> HYPERLINK \l "_Toc8393205" </w:instrText>
          </w:r>
          <w:r>
            <w:fldChar w:fldCharType="separate"/>
          </w:r>
          <w:r>
            <w:rPr>
              <w:rStyle w:val="23"/>
              <w:rFonts w:ascii="Times New Roman" w:hAnsi="Times New Roman" w:cs="Times New Roman"/>
              <w:sz w:val="24"/>
              <w:szCs w:val="28"/>
              <w:lang w:val="en-GB"/>
            </w:rPr>
            <w:t>6.</w:t>
          </w:r>
          <w:r>
            <w:rPr>
              <w:rFonts w:ascii="Times New Roman" w:hAnsi="Times New Roman" w:cs="Times New Roman"/>
              <w:kern w:val="2"/>
              <w:sz w:val="24"/>
              <w:szCs w:val="28"/>
            </w:rPr>
            <w:tab/>
          </w:r>
          <w:r>
            <w:rPr>
              <w:rStyle w:val="23"/>
              <w:rFonts w:ascii="Times New Roman" w:hAnsi="Times New Roman" w:cs="Times New Roman"/>
              <w:sz w:val="24"/>
              <w:szCs w:val="28"/>
              <w:lang w:val="en-GB"/>
            </w:rPr>
            <w:t>Tactics</w:t>
          </w:r>
          <w:r>
            <w:rPr>
              <w:rFonts w:ascii="Times New Roman" w:hAnsi="Times New Roman" w:cs="Times New Roman"/>
              <w:sz w:val="24"/>
              <w:szCs w:val="28"/>
            </w:rPr>
            <w:tab/>
          </w:r>
          <w:r>
            <w:rPr>
              <w:rFonts w:ascii="Times New Roman" w:hAnsi="Times New Roman" w:cs="Times New Roman"/>
              <w:sz w:val="24"/>
              <w:szCs w:val="28"/>
            </w:rPr>
            <w:fldChar w:fldCharType="begin"/>
          </w:r>
          <w:r>
            <w:rPr>
              <w:rFonts w:ascii="Times New Roman" w:hAnsi="Times New Roman" w:cs="Times New Roman"/>
              <w:sz w:val="24"/>
              <w:szCs w:val="28"/>
            </w:rPr>
            <w:instrText xml:space="preserve"> PAGEREF _Toc8393205 \h </w:instrText>
          </w:r>
          <w:r>
            <w:rPr>
              <w:rFonts w:ascii="Times New Roman" w:hAnsi="Times New Roman" w:cs="Times New Roman"/>
              <w:sz w:val="24"/>
              <w:szCs w:val="28"/>
            </w:rPr>
            <w:fldChar w:fldCharType="separate"/>
          </w:r>
          <w:r>
            <w:rPr>
              <w:rFonts w:ascii="Times New Roman" w:hAnsi="Times New Roman" w:cs="Times New Roman"/>
              <w:sz w:val="24"/>
              <w:szCs w:val="28"/>
            </w:rPr>
            <w:t>11</w:t>
          </w:r>
          <w:r>
            <w:rPr>
              <w:rFonts w:ascii="Times New Roman" w:hAnsi="Times New Roman" w:cs="Times New Roman"/>
              <w:sz w:val="24"/>
              <w:szCs w:val="28"/>
            </w:rPr>
            <w:fldChar w:fldCharType="end"/>
          </w:r>
          <w:r>
            <w:rPr>
              <w:rFonts w:ascii="Times New Roman" w:hAnsi="Times New Roman" w:cs="Times New Roman"/>
              <w:sz w:val="24"/>
              <w:szCs w:val="28"/>
            </w:rPr>
            <w:fldChar w:fldCharType="end"/>
          </w:r>
        </w:p>
        <w:p>
          <w:pPr>
            <w:pStyle w:val="14"/>
            <w:tabs>
              <w:tab w:val="left" w:pos="420"/>
              <w:tab w:val="right" w:leader="dot" w:pos="9736"/>
            </w:tabs>
            <w:rPr>
              <w:rFonts w:ascii="Times New Roman" w:hAnsi="Times New Roman" w:cs="Times New Roman"/>
              <w:kern w:val="2"/>
              <w:sz w:val="24"/>
              <w:szCs w:val="28"/>
            </w:rPr>
          </w:pPr>
          <w:r>
            <w:fldChar w:fldCharType="begin"/>
          </w:r>
          <w:r>
            <w:instrText xml:space="preserve"> HYPERLINK \l "_Toc8393206" </w:instrText>
          </w:r>
          <w:r>
            <w:fldChar w:fldCharType="separate"/>
          </w:r>
          <w:r>
            <w:rPr>
              <w:rStyle w:val="23"/>
              <w:rFonts w:ascii="Times New Roman" w:hAnsi="Times New Roman" w:cs="Times New Roman"/>
              <w:sz w:val="24"/>
              <w:szCs w:val="28"/>
              <w:lang w:val="en-GB"/>
            </w:rPr>
            <w:t>7.</w:t>
          </w:r>
          <w:r>
            <w:rPr>
              <w:rFonts w:ascii="Times New Roman" w:hAnsi="Times New Roman" w:cs="Times New Roman"/>
              <w:kern w:val="2"/>
              <w:sz w:val="24"/>
              <w:szCs w:val="28"/>
            </w:rPr>
            <w:tab/>
          </w:r>
          <w:r>
            <w:rPr>
              <w:rStyle w:val="23"/>
              <w:rFonts w:ascii="Times New Roman" w:hAnsi="Times New Roman" w:cs="Times New Roman"/>
              <w:sz w:val="24"/>
              <w:szCs w:val="28"/>
              <w:lang w:val="en-GB"/>
            </w:rPr>
            <w:t>Evaluation and Control</w:t>
          </w:r>
          <w:r>
            <w:rPr>
              <w:rFonts w:ascii="Times New Roman" w:hAnsi="Times New Roman" w:cs="Times New Roman"/>
              <w:sz w:val="24"/>
              <w:szCs w:val="28"/>
            </w:rPr>
            <w:tab/>
          </w:r>
          <w:r>
            <w:rPr>
              <w:rFonts w:ascii="Times New Roman" w:hAnsi="Times New Roman" w:cs="Times New Roman"/>
              <w:sz w:val="24"/>
              <w:szCs w:val="28"/>
            </w:rPr>
            <w:fldChar w:fldCharType="begin"/>
          </w:r>
          <w:r>
            <w:rPr>
              <w:rFonts w:ascii="Times New Roman" w:hAnsi="Times New Roman" w:cs="Times New Roman"/>
              <w:sz w:val="24"/>
              <w:szCs w:val="28"/>
            </w:rPr>
            <w:instrText xml:space="preserve"> PAGEREF _Toc8393206 \h </w:instrText>
          </w:r>
          <w:r>
            <w:rPr>
              <w:rFonts w:ascii="Times New Roman" w:hAnsi="Times New Roman" w:cs="Times New Roman"/>
              <w:sz w:val="24"/>
              <w:szCs w:val="28"/>
            </w:rPr>
            <w:fldChar w:fldCharType="separate"/>
          </w:r>
          <w:r>
            <w:rPr>
              <w:rFonts w:ascii="Times New Roman" w:hAnsi="Times New Roman" w:cs="Times New Roman"/>
              <w:sz w:val="24"/>
              <w:szCs w:val="28"/>
            </w:rPr>
            <w:t>13</w:t>
          </w:r>
          <w:r>
            <w:rPr>
              <w:rFonts w:ascii="Times New Roman" w:hAnsi="Times New Roman" w:cs="Times New Roman"/>
              <w:sz w:val="24"/>
              <w:szCs w:val="28"/>
            </w:rPr>
            <w:fldChar w:fldCharType="end"/>
          </w:r>
          <w:r>
            <w:rPr>
              <w:rFonts w:ascii="Times New Roman" w:hAnsi="Times New Roman" w:cs="Times New Roman"/>
              <w:sz w:val="24"/>
              <w:szCs w:val="28"/>
            </w:rPr>
            <w:fldChar w:fldCharType="end"/>
          </w:r>
        </w:p>
        <w:p>
          <w:pPr>
            <w:pStyle w:val="14"/>
            <w:tabs>
              <w:tab w:val="left" w:pos="420"/>
              <w:tab w:val="right" w:leader="dot" w:pos="9736"/>
            </w:tabs>
            <w:rPr>
              <w:rFonts w:ascii="Times New Roman" w:hAnsi="Times New Roman" w:cs="Times New Roman"/>
              <w:kern w:val="2"/>
              <w:sz w:val="24"/>
              <w:szCs w:val="28"/>
            </w:rPr>
          </w:pPr>
          <w:r>
            <w:fldChar w:fldCharType="begin"/>
          </w:r>
          <w:r>
            <w:instrText xml:space="preserve"> HYPERLINK \l "_Toc8393207" </w:instrText>
          </w:r>
          <w:r>
            <w:fldChar w:fldCharType="separate"/>
          </w:r>
          <w:r>
            <w:rPr>
              <w:rStyle w:val="23"/>
              <w:rFonts w:ascii="Times New Roman" w:hAnsi="Times New Roman" w:cs="Times New Roman"/>
              <w:sz w:val="24"/>
              <w:szCs w:val="28"/>
              <w:lang w:val="en-GB"/>
            </w:rPr>
            <w:t>8.</w:t>
          </w:r>
          <w:r>
            <w:rPr>
              <w:rFonts w:ascii="Times New Roman" w:hAnsi="Times New Roman" w:cs="Times New Roman"/>
              <w:kern w:val="2"/>
              <w:sz w:val="24"/>
              <w:szCs w:val="28"/>
            </w:rPr>
            <w:tab/>
          </w:r>
          <w:r>
            <w:rPr>
              <w:rStyle w:val="23"/>
              <w:rFonts w:ascii="Times New Roman" w:hAnsi="Times New Roman" w:cs="Times New Roman"/>
              <w:sz w:val="24"/>
              <w:szCs w:val="28"/>
              <w:lang w:val="en-GB"/>
            </w:rPr>
            <w:t>Conclusion</w:t>
          </w:r>
          <w:r>
            <w:rPr>
              <w:rFonts w:ascii="Times New Roman" w:hAnsi="Times New Roman" w:cs="Times New Roman"/>
              <w:sz w:val="24"/>
              <w:szCs w:val="28"/>
            </w:rPr>
            <w:tab/>
          </w:r>
          <w:r>
            <w:rPr>
              <w:rFonts w:ascii="Times New Roman" w:hAnsi="Times New Roman" w:cs="Times New Roman"/>
              <w:sz w:val="24"/>
              <w:szCs w:val="28"/>
            </w:rPr>
            <w:fldChar w:fldCharType="begin"/>
          </w:r>
          <w:r>
            <w:rPr>
              <w:rFonts w:ascii="Times New Roman" w:hAnsi="Times New Roman" w:cs="Times New Roman"/>
              <w:sz w:val="24"/>
              <w:szCs w:val="28"/>
            </w:rPr>
            <w:instrText xml:space="preserve"> PAGEREF _Toc8393207 \h </w:instrText>
          </w:r>
          <w:r>
            <w:rPr>
              <w:rFonts w:ascii="Times New Roman" w:hAnsi="Times New Roman" w:cs="Times New Roman"/>
              <w:sz w:val="24"/>
              <w:szCs w:val="28"/>
            </w:rPr>
            <w:fldChar w:fldCharType="separate"/>
          </w:r>
          <w:r>
            <w:rPr>
              <w:rFonts w:ascii="Times New Roman" w:hAnsi="Times New Roman" w:cs="Times New Roman"/>
              <w:sz w:val="24"/>
              <w:szCs w:val="28"/>
            </w:rPr>
            <w:t>13</w:t>
          </w:r>
          <w:r>
            <w:rPr>
              <w:rFonts w:ascii="Times New Roman" w:hAnsi="Times New Roman" w:cs="Times New Roman"/>
              <w:sz w:val="24"/>
              <w:szCs w:val="28"/>
            </w:rPr>
            <w:fldChar w:fldCharType="end"/>
          </w:r>
          <w:r>
            <w:rPr>
              <w:rFonts w:ascii="Times New Roman" w:hAnsi="Times New Roman" w:cs="Times New Roman"/>
              <w:sz w:val="24"/>
              <w:szCs w:val="28"/>
            </w:rPr>
            <w:fldChar w:fldCharType="end"/>
          </w:r>
        </w:p>
        <w:p>
          <w:pPr>
            <w:pStyle w:val="14"/>
            <w:tabs>
              <w:tab w:val="right" w:leader="dot" w:pos="9736"/>
            </w:tabs>
            <w:rPr>
              <w:rFonts w:ascii="Times New Roman" w:hAnsi="Times New Roman" w:cs="Times New Roman"/>
              <w:kern w:val="2"/>
              <w:sz w:val="24"/>
              <w:szCs w:val="22"/>
            </w:rPr>
          </w:pPr>
          <w:r>
            <w:fldChar w:fldCharType="begin"/>
          </w:r>
          <w:r>
            <w:instrText xml:space="preserve"> HYPERLINK \l "_Toc8393208" </w:instrText>
          </w:r>
          <w:r>
            <w:fldChar w:fldCharType="separate"/>
          </w:r>
          <w:r>
            <w:rPr>
              <w:rStyle w:val="23"/>
              <w:rFonts w:ascii="Times New Roman" w:hAnsi="Times New Roman" w:cs="Times New Roman"/>
              <w:sz w:val="24"/>
              <w:lang w:val="en-GB"/>
            </w:rPr>
            <w:t>Reference List</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_Toc8393208 \h </w:instrText>
          </w:r>
          <w:r>
            <w:rPr>
              <w:rFonts w:ascii="Times New Roman" w:hAnsi="Times New Roman" w:cs="Times New Roman"/>
              <w:sz w:val="24"/>
            </w:rPr>
            <w:fldChar w:fldCharType="separate"/>
          </w:r>
          <w:r>
            <w:rPr>
              <w:rFonts w:ascii="Times New Roman" w:hAnsi="Times New Roman" w:cs="Times New Roman"/>
              <w:sz w:val="24"/>
            </w:rPr>
            <w:t>14</w:t>
          </w:r>
          <w:r>
            <w:rPr>
              <w:rFonts w:ascii="Times New Roman" w:hAnsi="Times New Roman" w:cs="Times New Roman"/>
              <w:sz w:val="24"/>
            </w:rPr>
            <w:fldChar w:fldCharType="end"/>
          </w:r>
          <w:r>
            <w:rPr>
              <w:rFonts w:ascii="Times New Roman" w:hAnsi="Times New Roman" w:cs="Times New Roman"/>
              <w:sz w:val="24"/>
            </w:rPr>
            <w:fldChar w:fldCharType="end"/>
          </w:r>
        </w:p>
        <w:p>
          <w:pPr>
            <w:spacing w:before="100" w:beforeAutospacing="1" w:after="100" w:afterAutospacing="1" w:line="360" w:lineRule="auto"/>
            <w:jc w:val="both"/>
          </w:pPr>
          <w:r>
            <w:rPr>
              <w:rFonts w:ascii="Times New Roman" w:hAnsi="Times New Roman" w:cs="Times New Roman"/>
              <w:b/>
              <w:bCs/>
              <w:sz w:val="32"/>
              <w:lang w:val="zh-CN"/>
            </w:rPr>
            <w:fldChar w:fldCharType="end"/>
          </w:r>
        </w:p>
      </w:sdtContent>
    </w:sdt>
    <w:p>
      <w:pPr>
        <w:spacing w:before="100" w:beforeAutospacing="1" w:after="100" w:afterAutospacing="1" w:line="360" w:lineRule="auto"/>
        <w:jc w:val="both"/>
        <w:rPr>
          <w:lang w:val="en-GB"/>
        </w:rPr>
      </w:pPr>
      <w:r>
        <w:rPr>
          <w:lang w:val="en-GB"/>
        </w:rPr>
        <w:br w:type="page"/>
      </w:r>
    </w:p>
    <w:p>
      <w:pPr>
        <w:pStyle w:val="2"/>
        <w:numPr>
          <w:ilvl w:val="0"/>
          <w:numId w:val="1"/>
        </w:numPr>
        <w:spacing w:before="100" w:beforeAutospacing="1" w:after="100" w:afterAutospacing="1" w:line="360" w:lineRule="auto"/>
        <w:jc w:val="both"/>
        <w:rPr>
          <w:lang w:val="en-GB"/>
        </w:rPr>
        <w:sectPr>
          <w:footerReference r:id="rId3" w:type="default"/>
          <w:pgSz w:w="11906" w:h="16838"/>
          <w:pgMar w:top="1440" w:right="1080" w:bottom="1440" w:left="1080" w:header="851" w:footer="992" w:gutter="0"/>
          <w:cols w:space="425" w:num="1"/>
          <w:docGrid w:type="lines" w:linePitch="312" w:charSpace="0"/>
        </w:sectPr>
      </w:pPr>
    </w:p>
    <w:p>
      <w:pPr>
        <w:pStyle w:val="2"/>
        <w:numPr>
          <w:ilvl w:val="0"/>
          <w:numId w:val="1"/>
        </w:numPr>
        <w:spacing w:before="100" w:beforeAutospacing="1" w:after="100" w:afterAutospacing="1" w:line="360" w:lineRule="auto"/>
        <w:jc w:val="both"/>
        <w:rPr>
          <w:lang w:val="en-GB"/>
        </w:rPr>
      </w:pPr>
      <w:bookmarkStart w:id="1" w:name="_Toc8393196"/>
      <w:r>
        <w:rPr>
          <w:lang w:val="en-GB"/>
        </w:rPr>
        <w:t>Introduction-About Tesla</w:t>
      </w:r>
      <w:bookmarkEnd w:id="1"/>
    </w:p>
    <w:p>
      <w:pPr>
        <w:spacing w:before="100" w:beforeAutospacing="1" w:after="100" w:afterAutospacing="1" w:line="360" w:lineRule="auto"/>
        <w:jc w:val="both"/>
        <w:rPr>
          <w:rFonts w:ascii="Times New Roman" w:hAnsi="Times New Roman" w:cs="Times New Roman"/>
          <w:sz w:val="24"/>
          <w:lang w:val="en-GB"/>
        </w:rPr>
      </w:pPr>
      <w:r>
        <w:rPr>
          <w:rFonts w:ascii="Times New Roman" w:hAnsi="Times New Roman" w:cs="Times New Roman"/>
          <w:sz w:val="24"/>
          <w:lang w:val="en-GB"/>
        </w:rPr>
        <w:t xml:space="preserve">Tesla Motors is a Nasdaq-listed </w:t>
      </w:r>
      <w:r>
        <w:rPr>
          <w:rFonts w:hint="eastAsia" w:ascii="Times New Roman" w:hAnsi="Times New Roman" w:cs="Times New Roman"/>
          <w:sz w:val="24"/>
          <w:lang w:val="en-GB"/>
        </w:rPr>
        <w:t>enter</w:t>
      </w:r>
      <w:r>
        <w:rPr>
          <w:rFonts w:ascii="Times New Roman" w:hAnsi="Times New Roman" w:cs="Times New Roman"/>
          <w:sz w:val="24"/>
          <w:lang w:val="en-GB"/>
        </w:rPr>
        <w:t xml:space="preserve">prise that manufacturers and distributes high-end electric vehicles and components. The first car it produced was a pure electric car, the Tesla Roadster </w:t>
      </w:r>
      <w:r>
        <w:rPr>
          <w:rFonts w:ascii="Times New Roman" w:hAnsi="Times New Roman" w:cs="Times New Roman"/>
          <w:sz w:val="24"/>
          <w:lang w:val="en-GB"/>
        </w:rPr>
        <w:fldChar w:fldCharType="begin" w:fldLock="1"/>
      </w:r>
      <w:r>
        <w:rPr>
          <w:rFonts w:ascii="Times New Roman" w:hAnsi="Times New Roman" w:cs="Times New Roman"/>
          <w:sz w:val="24"/>
          <w:lang w:val="en-GB"/>
        </w:rPr>
        <w:instrText xml:space="preserve">ADDIN CSL_CITATION {"citationItems":[{"id":"ITEM-1","itemData":{"URL":"https://www.tesla.com/about?redirect=no","accessed":{"date-parts":[["2019","5","9"]]},"author":[{"dropping-particle":"","family":"Tesla","given":"","non-dropping-particle":"","parse-names":false,"suffix":""}],"id":"ITEM-1","issued":{"date-parts":[["2018"]]},"title":"About Tesla","type":"webpage"},"uris":["http://www.mendeley.com/documents/?uuid=509becd4-40db-3ab1-add4-6b2392adc3f9"]}],"mendeley":{"formattedCitation":"(Tesla, 2018a)","plainTextFormattedCitation":"(Tesla, 2018a)","previouslyFormattedCitation":"(Tesla, 2018a)"},"properties":{"noteIndex":0},"schema":"https://github.com/citation-style-language/schema/raw/master/csl-citation.json"}</w:instrText>
      </w:r>
      <w:r>
        <w:rPr>
          <w:rFonts w:ascii="Times New Roman" w:hAnsi="Times New Roman" w:cs="Times New Roman"/>
          <w:sz w:val="24"/>
          <w:lang w:val="en-GB"/>
        </w:rPr>
        <w:fldChar w:fldCharType="separate"/>
      </w:r>
      <w:r>
        <w:rPr>
          <w:rFonts w:ascii="Times New Roman" w:hAnsi="Times New Roman" w:cs="Times New Roman"/>
          <w:sz w:val="24"/>
          <w:lang w:val="en-GB"/>
        </w:rPr>
        <w:t>(Tesla, 2018a)</w:t>
      </w:r>
      <w:r>
        <w:rPr>
          <w:rFonts w:ascii="Times New Roman" w:hAnsi="Times New Roman" w:cs="Times New Roman"/>
          <w:sz w:val="24"/>
          <w:lang w:val="en-GB"/>
        </w:rPr>
        <w:fldChar w:fldCharType="end"/>
      </w:r>
      <w:r>
        <w:rPr>
          <w:rFonts w:ascii="Times New Roman" w:hAnsi="Times New Roman" w:cs="Times New Roman"/>
          <w:sz w:val="24"/>
          <w:lang w:val="en-GB"/>
        </w:rPr>
        <w:t xml:space="preserve">. The car was the earliest car to be powered by a lithium-ion battery and realize an endurance of more than 200 miles </w:t>
      </w:r>
      <w:r>
        <w:rPr>
          <w:rFonts w:ascii="Times New Roman" w:hAnsi="Times New Roman" w:cs="Times New Roman"/>
          <w:sz w:val="24"/>
          <w:lang w:val="en-GB"/>
        </w:rPr>
        <w:fldChar w:fldCharType="begin" w:fldLock="1"/>
      </w:r>
      <w:r>
        <w:rPr>
          <w:rFonts w:ascii="Times New Roman" w:hAnsi="Times New Roman" w:cs="Times New Roman"/>
          <w:sz w:val="24"/>
          <w:lang w:val="en-GB"/>
        </w:rPr>
        <w:instrText xml:space="preserve">ADDIN CSL_CITATION {"citationItems":[{"id":"ITEM-1","itemData":{"URL":"https://www.tesla.com/roadster","accessed":{"date-parts":[["2019","5","9"]]},"author":[{"dropping-particle":"","family":"Tesla","given":"","non-dropping-particle":"","parse-names":false,"suffix":""}],"id":"ITEM-1","issued":{"date-parts":[["2018"]]},"title":"Roadster","type":"webpage"},"uris":["http://www.mendeley.com/documents/?uuid=ecd89e50-d73f-32c4-8a01-5a664a4cc421"]}],"mendeley":{"formattedCitation":"(Tesla, 2018c)","plainTextFormattedCitation":"(Tesla, 2018c)","previouslyFormattedCitation":"(Tesla, 2018c)"},"properties":{"noteIndex":0},"schema":"https://github.com/citation-style-language/schema/raw/master/csl-citation.json"}</w:instrText>
      </w:r>
      <w:r>
        <w:rPr>
          <w:rFonts w:ascii="Times New Roman" w:hAnsi="Times New Roman" w:cs="Times New Roman"/>
          <w:sz w:val="24"/>
          <w:lang w:val="en-GB"/>
        </w:rPr>
        <w:fldChar w:fldCharType="separate"/>
      </w:r>
      <w:r>
        <w:rPr>
          <w:rFonts w:ascii="Times New Roman" w:hAnsi="Times New Roman" w:cs="Times New Roman"/>
          <w:sz w:val="24"/>
          <w:lang w:val="en-GB"/>
        </w:rPr>
        <w:t>(Tesla, 2018c)</w:t>
      </w:r>
      <w:r>
        <w:rPr>
          <w:rFonts w:ascii="Times New Roman" w:hAnsi="Times New Roman" w:cs="Times New Roman"/>
          <w:sz w:val="24"/>
          <w:lang w:val="en-GB"/>
        </w:rPr>
        <w:fldChar w:fldCharType="end"/>
      </w:r>
      <w:r>
        <w:rPr>
          <w:rFonts w:ascii="Times New Roman" w:hAnsi="Times New Roman" w:cs="Times New Roman"/>
          <w:sz w:val="24"/>
          <w:lang w:val="en-GB"/>
        </w:rPr>
        <w:t>. Between 2008 and 2012, Tesla Roadsters was widely sold with a volume of 2250 in 31 countries, gaining worldwide attention to pure electric vehicles.</w:t>
      </w:r>
    </w:p>
    <w:p>
      <w:pPr>
        <w:spacing w:before="100" w:beforeAutospacing="1" w:after="100" w:afterAutospacing="1" w:line="360" w:lineRule="auto"/>
        <w:jc w:val="both"/>
        <w:rPr>
          <w:rFonts w:ascii="Times New Roman" w:hAnsi="Times New Roman" w:cs="Times New Roman"/>
          <w:sz w:val="24"/>
          <w:lang w:val="en-GB"/>
        </w:rPr>
      </w:pPr>
      <w:r>
        <w:rPr>
          <w:rFonts w:ascii="Times New Roman" w:hAnsi="Times New Roman" w:cs="Times New Roman"/>
          <w:sz w:val="24"/>
          <w:lang w:val="en-GB"/>
        </w:rPr>
        <w:t xml:space="preserve">Tesla Motors subsequently produced its second car, the Tesla Model S. In 2012, its energy endurance increased to 265 miles (about 430 km) due to the increased capacity of its battery pack and the heavy use of aluminium alloy parts </w:t>
      </w:r>
      <w:r>
        <w:rPr>
          <w:rFonts w:ascii="Times New Roman" w:hAnsi="Times New Roman" w:cs="Times New Roman"/>
          <w:sz w:val="24"/>
          <w:lang w:val="en-GB"/>
        </w:rPr>
        <w:fldChar w:fldCharType="begin" w:fldLock="1"/>
      </w:r>
      <w:r>
        <w:rPr>
          <w:rFonts w:ascii="Times New Roman" w:hAnsi="Times New Roman" w:cs="Times New Roman"/>
          <w:sz w:val="24"/>
          <w:lang w:val="en-GB"/>
        </w:rPr>
        <w:instrText xml:space="preserve">ADDIN CSL_CITATION {"citationItems":[{"id":"ITEM-1","itemData":{"URL":"https://www.tesla.com/models","accessed":{"date-parts":[["2019","5","9"]]},"author":[{"dropping-particle":"","family":"Tesla","given":"","non-dropping-particle":"","parse-names":false,"suffix":""}],"id":"ITEM-1","issued":{"date-parts":[["2018"]]},"title":"Model S","type":"webpage"},"uris":["http://www.mendeley.com/documents/?uuid=6e21cc14-43a2-3f6d-a424-7906504f7b98"]}],"mendeley":{"formattedCitation":"(Tesla, 2018b)","plainTextFormattedCitation":"(Tesla, 2018b)","previouslyFormattedCitation":"(Tesla, 2018b)"},"properties":{"noteIndex":0},"schema":"https://github.com/citation-style-language/schema/raw/master/csl-citation.json"}</w:instrText>
      </w:r>
      <w:r>
        <w:rPr>
          <w:rFonts w:ascii="Times New Roman" w:hAnsi="Times New Roman" w:cs="Times New Roman"/>
          <w:sz w:val="24"/>
          <w:lang w:val="en-GB"/>
        </w:rPr>
        <w:fldChar w:fldCharType="separate"/>
      </w:r>
      <w:r>
        <w:rPr>
          <w:rFonts w:ascii="Times New Roman" w:hAnsi="Times New Roman" w:cs="Times New Roman"/>
          <w:sz w:val="24"/>
          <w:lang w:val="en-GB"/>
        </w:rPr>
        <w:t>(Tesla, 2018b)</w:t>
      </w:r>
      <w:r>
        <w:rPr>
          <w:rFonts w:ascii="Times New Roman" w:hAnsi="Times New Roman" w:cs="Times New Roman"/>
          <w:sz w:val="24"/>
          <w:lang w:val="en-GB"/>
        </w:rPr>
        <w:fldChar w:fldCharType="end"/>
      </w:r>
      <w:r>
        <w:rPr>
          <w:rFonts w:ascii="Times New Roman" w:hAnsi="Times New Roman" w:cs="Times New Roman"/>
          <w:sz w:val="24"/>
          <w:lang w:val="en-GB"/>
        </w:rPr>
        <w:t xml:space="preserve">. It reached the sales milestone of 100,000 units in December 2015, which is the best-selling plug-in pure electric vehicle in the world </w:t>
      </w:r>
      <w:r>
        <w:rPr>
          <w:rFonts w:ascii="Times New Roman" w:hAnsi="Times New Roman" w:cs="Times New Roman"/>
          <w:sz w:val="24"/>
          <w:lang w:val="en-GB"/>
        </w:rPr>
        <w:fldChar w:fldCharType="begin" w:fldLock="1"/>
      </w:r>
      <w:r>
        <w:rPr>
          <w:rFonts w:ascii="Times New Roman" w:hAnsi="Times New Roman" w:cs="Times New Roman"/>
          <w:sz w:val="24"/>
          <w:lang w:val="en-GB"/>
        </w:rPr>
        <w:instrText xml:space="preserve">ADDIN CSL_CITATION {"citationItems":[{"id":"ITEM-1","itemData":{"URL":"https://www.businessinsider.com/tesla-model-s-and-x-are-core-business-and-sales-are-strong-2019-1?r=US&amp;IR=T","accessed":{"date-parts":[["2019","5","9"]]},"author":[{"dropping-particle":"","family":"Business Insider","given":"","non-dropping-particle":"","parse-names":false,"suffix":""}],"id":"ITEM-1","issued":{"date-parts":[["2019"]]},"title":"Tesla Model S and X are core business and sales are strong - Business Insider","type":"webpage"},"uris":["http://www.mendeley.com/documents/?uuid=d12f9983-9faf-3acb-909f-b198a255d61e"]}],"mendeley":{"formattedCitation":"(Business Insider, 2019)","plainTextFormattedCitation":"(Business Insider, 2019)","previouslyFormattedCitation":"(Business Insider, 2019)"},"properties":{"noteIndex":0},"schema":"https://github.com/citation-style-language/schema/raw/master/csl-citation.json"}</w:instrText>
      </w:r>
      <w:r>
        <w:rPr>
          <w:rFonts w:ascii="Times New Roman" w:hAnsi="Times New Roman" w:cs="Times New Roman"/>
          <w:sz w:val="24"/>
          <w:lang w:val="en-GB"/>
        </w:rPr>
        <w:fldChar w:fldCharType="separate"/>
      </w:r>
      <w:r>
        <w:rPr>
          <w:rFonts w:ascii="Times New Roman" w:hAnsi="Times New Roman" w:cs="Times New Roman"/>
          <w:sz w:val="24"/>
          <w:lang w:val="en-GB"/>
        </w:rPr>
        <w:t>(Business Insider, 2019)</w:t>
      </w:r>
      <w:r>
        <w:rPr>
          <w:rFonts w:ascii="Times New Roman" w:hAnsi="Times New Roman" w:cs="Times New Roman"/>
          <w:sz w:val="24"/>
          <w:lang w:val="en-GB"/>
        </w:rPr>
        <w:fldChar w:fldCharType="end"/>
      </w:r>
      <w:r>
        <w:rPr>
          <w:rFonts w:ascii="Times New Roman" w:hAnsi="Times New Roman" w:cs="Times New Roman"/>
          <w:sz w:val="24"/>
          <w:lang w:val="en-GB"/>
        </w:rPr>
        <w:t xml:space="preserve">. To broaden the portfolio furtherly, Tesla Model X also released and became the world's most accelerated SUV </w:t>
      </w:r>
      <w:r>
        <w:rPr>
          <w:rFonts w:ascii="Times New Roman" w:hAnsi="Times New Roman" w:cs="Times New Roman"/>
          <w:sz w:val="24"/>
          <w:lang w:val="en-GB"/>
        </w:rPr>
        <w:fldChar w:fldCharType="begin" w:fldLock="1"/>
      </w:r>
      <w:r>
        <w:rPr>
          <w:rFonts w:ascii="Times New Roman" w:hAnsi="Times New Roman" w:cs="Times New Roman"/>
          <w:sz w:val="24"/>
          <w:lang w:val="en-GB"/>
        </w:rPr>
        <w:instrText xml:space="preserve">ADDIN CSL_CITATION {"citationItems":[{"id":"ITEM-1","itemData":{"URL":"https://cars.usnews.com/cars-trucks/tesla/model-x/performance","accessed":{"date-parts":[["2019","5","9"]]},"author":[{"dropping-particle":"","family":"U.S. News &amp; World Report","given":"","non-dropping-particle":"","parse-names":false,"suffix":""}],"id":"ITEM-1","issued":{"date-parts":[["2019"]]},"title":"2019 Tesla Model X Performance","type":"webpage"},"uris":["http://www.mendeley.com/documents/?uuid=82a351a2-1138-3b94-9ba6-301462621258"]}],"mendeley":{"formattedCitation":"(U.S. News &amp; World Report, 2019)","plainTextFormattedCitation":"(U.S. News &amp; World Report, 2019)","previouslyFormattedCitation":"(U.S. News &amp; World Report, 2019)"},"properties":{"noteIndex":0},"schema":"https://github.com/citation-style-language/schema/raw/master/csl-citation.json"}</w:instrText>
      </w:r>
      <w:r>
        <w:rPr>
          <w:rFonts w:ascii="Times New Roman" w:hAnsi="Times New Roman" w:cs="Times New Roman"/>
          <w:sz w:val="24"/>
          <w:lang w:val="en-GB"/>
        </w:rPr>
        <w:fldChar w:fldCharType="separate"/>
      </w:r>
      <w:r>
        <w:rPr>
          <w:rFonts w:ascii="Times New Roman" w:hAnsi="Times New Roman" w:cs="Times New Roman"/>
          <w:sz w:val="24"/>
          <w:lang w:val="en-GB"/>
        </w:rPr>
        <w:t>(U.S. News &amp; World Report, 2019)</w:t>
      </w:r>
      <w:r>
        <w:rPr>
          <w:rFonts w:ascii="Times New Roman" w:hAnsi="Times New Roman" w:cs="Times New Roman"/>
          <w:sz w:val="24"/>
          <w:lang w:val="en-GB"/>
        </w:rPr>
        <w:fldChar w:fldCharType="end"/>
      </w:r>
      <w:r>
        <w:rPr>
          <w:rFonts w:ascii="Times New Roman" w:hAnsi="Times New Roman" w:cs="Times New Roman"/>
          <w:sz w:val="24"/>
          <w:lang w:val="en-GB"/>
        </w:rPr>
        <w:t>. The Tesla Model 3, which is cheaper for all types of B-class luxury sports cars (such as Cadillac ATS, BMW 3 Series, etc.), was rolled out in 2016 and has been updated to enhance its efficacy. Elon Musk, the CEO of Tesla, said that he would try his best to localize and sell all types of Tesla in China simultaneously with the other markets.</w:t>
      </w:r>
    </w:p>
    <w:p>
      <w:pPr>
        <w:spacing w:before="100" w:beforeAutospacing="1" w:after="100" w:afterAutospacing="1" w:line="360" w:lineRule="auto"/>
        <w:jc w:val="both"/>
        <w:rPr>
          <w:rFonts w:ascii="Times New Roman" w:hAnsi="Times New Roman" w:cs="Times New Roman"/>
          <w:sz w:val="24"/>
          <w:lang w:val="en-GB"/>
        </w:rPr>
      </w:pPr>
      <w:r>
        <w:rPr>
          <w:rFonts w:ascii="Times New Roman" w:hAnsi="Times New Roman" w:cs="Times New Roman"/>
          <w:sz w:val="24"/>
          <w:lang w:val="en-GB"/>
        </w:rPr>
        <w:t xml:space="preserve">While the company designs and produces electric vehicles, it is actively promoting the construction of supercharging stations as a promoter of electric vehicles. In this supercharging station, Tesla owners can charge the car for free and can charge 50% of the power in 20 minutes, which provides a reliable guarantee for long-distance driving </w:t>
      </w:r>
      <w:r>
        <w:rPr>
          <w:rFonts w:ascii="Times New Roman" w:hAnsi="Times New Roman" w:cs="Times New Roman"/>
          <w:sz w:val="24"/>
          <w:lang w:val="en-GB"/>
        </w:rPr>
        <w:fldChar w:fldCharType="begin" w:fldLock="1"/>
      </w:r>
      <w:r>
        <w:rPr>
          <w:rFonts w:ascii="Times New Roman" w:hAnsi="Times New Roman" w:cs="Times New Roman"/>
          <w:sz w:val="24"/>
          <w:lang w:val="en-GB"/>
        </w:rPr>
        <w:instrText xml:space="preserve">ADDIN CSL_CITATION {"citationItems":[{"id":"ITEM-1","itemData":{"URL":"https://www.energysage.com/electric-vehicles/charging-your-ev/charging-a-tesla/","accessed":{"date-parts":[["2019","5","9"]]},"author":[{"dropping-particle":"","family":"energysage","given":"","non-dropping-particle":"","parse-names":false,"suffix":""}],"id":"ITEM-1","issued":{"date-parts":[["2019"]]},"title":"Tesla Charging Stations: What to Know in 2019 | EnergySage","type":"webpage"},"uris":["http://www.mendeley.com/documents/?uuid=ead2d7ad-349b-3927-bc07-4099d298c73f"]}],"mendeley":{"formattedCitation":"(energysage, 2019)","plainTextFormattedCitation":"(energysage, 2019)","previouslyFormattedCitation":"(energysage, 2019)"},"properties":{"noteIndex":0},"schema":"https://github.com/citation-style-language/schema/raw/master/csl-citation.json"}</w:instrText>
      </w:r>
      <w:r>
        <w:rPr>
          <w:rFonts w:ascii="Times New Roman" w:hAnsi="Times New Roman" w:cs="Times New Roman"/>
          <w:sz w:val="24"/>
          <w:lang w:val="en-GB"/>
        </w:rPr>
        <w:fldChar w:fldCharType="separate"/>
      </w:r>
      <w:r>
        <w:rPr>
          <w:rFonts w:ascii="Times New Roman" w:hAnsi="Times New Roman" w:cs="Times New Roman"/>
          <w:sz w:val="24"/>
          <w:lang w:val="en-GB"/>
        </w:rPr>
        <w:t>(energysage, 2019)</w:t>
      </w:r>
      <w:r>
        <w:rPr>
          <w:rFonts w:ascii="Times New Roman" w:hAnsi="Times New Roman" w:cs="Times New Roman"/>
          <w:sz w:val="24"/>
          <w:lang w:val="en-GB"/>
        </w:rPr>
        <w:fldChar w:fldCharType="end"/>
      </w:r>
      <w:r>
        <w:rPr>
          <w:rFonts w:ascii="Times New Roman" w:hAnsi="Times New Roman" w:cs="Times New Roman"/>
          <w:sz w:val="24"/>
          <w:lang w:val="en-GB"/>
        </w:rPr>
        <w:t>. Currently, Tesla has more than 400 charging stations covering all essential regions including North American, the Asian Pacific, and Europe.</w:t>
      </w:r>
      <w:r>
        <w:rPr>
          <w:rFonts w:hint="eastAsia" w:ascii="Times New Roman" w:hAnsi="Times New Roman" w:cs="Times New Roman"/>
          <w:sz w:val="24"/>
          <w:lang w:val="en-GB"/>
        </w:rPr>
        <w:t xml:space="preserve"> </w:t>
      </w:r>
      <w:r>
        <w:rPr>
          <w:rFonts w:ascii="Times New Roman" w:hAnsi="Times New Roman" w:cs="Times New Roman"/>
          <w:sz w:val="24"/>
          <w:lang w:val="en-GB"/>
        </w:rPr>
        <w:t xml:space="preserve">At the same time, Tesla Motors officially announced its entry into the Chinese market. In the Asia-Pacific region, the number of Tesla supercharging stations has also officially exceeded 100, most of which are deployed in China </w:t>
      </w:r>
      <w:r>
        <w:rPr>
          <w:rFonts w:ascii="Times New Roman" w:hAnsi="Times New Roman" w:cs="Times New Roman"/>
          <w:sz w:val="24"/>
          <w:lang w:val="en-GB"/>
        </w:rPr>
        <w:fldChar w:fldCharType="begin" w:fldLock="1"/>
      </w:r>
      <w:r>
        <w:rPr>
          <w:rFonts w:ascii="Times New Roman" w:hAnsi="Times New Roman" w:cs="Times New Roman"/>
          <w:sz w:val="24"/>
          <w:lang w:val="en-GB"/>
        </w:rPr>
        <w:instrText xml:space="preserve">ADDIN CSL_CITATION {"citationItems":[{"id":"ITEM-1","itemData":{"URL":"https://cleantechnica.com/2019/01/20/tesla-supercharger-development-in-china-5-year-review-the-future/","accessed":{"date-parts":[["2019","5","9"]]},"author":[{"dropping-particle":"","family":"CleanTechnica","given":"","non-dropping-particle":"","parse-names":false,"suffix":""}],"id":"ITEM-1","issued":{"date-parts":[["2019"]]},"title":"Tesla Supercharger development in China","type":"webpage"},"uris":["http://www.mendeley.com/documents/?uuid=47f6a2b2-6941-3086-a3de-20efc60a8a8f"]}],"mendeley":{"formattedCitation":"(CleanTechnica, 2019)","plainTextFormattedCitation":"(CleanTechnica, 2019)","previouslyFormattedCitation":"(CleanTechnica, 2019)"},"properties":{"noteIndex":0},"schema":"https://github.com/citation-style-language/schema/raw/master/csl-citation.json"}</w:instrText>
      </w:r>
      <w:r>
        <w:rPr>
          <w:rFonts w:ascii="Times New Roman" w:hAnsi="Times New Roman" w:cs="Times New Roman"/>
          <w:sz w:val="24"/>
          <w:lang w:val="en-GB"/>
        </w:rPr>
        <w:fldChar w:fldCharType="separate"/>
      </w:r>
      <w:r>
        <w:rPr>
          <w:rFonts w:ascii="Times New Roman" w:hAnsi="Times New Roman" w:cs="Times New Roman"/>
          <w:sz w:val="24"/>
          <w:lang w:val="en-GB"/>
        </w:rPr>
        <w:t>(CleanTechnica, 2019)</w:t>
      </w:r>
      <w:r>
        <w:rPr>
          <w:rFonts w:ascii="Times New Roman" w:hAnsi="Times New Roman" w:cs="Times New Roman"/>
          <w:sz w:val="24"/>
          <w:lang w:val="en-GB"/>
        </w:rPr>
        <w:fldChar w:fldCharType="end"/>
      </w:r>
      <w:r>
        <w:rPr>
          <w:rFonts w:ascii="Times New Roman" w:hAnsi="Times New Roman" w:cs="Times New Roman"/>
          <w:sz w:val="24"/>
          <w:lang w:val="en-GB"/>
        </w:rPr>
        <w:t>.</w:t>
      </w:r>
    </w:p>
    <w:p>
      <w:pPr>
        <w:spacing w:before="100" w:beforeAutospacing="1" w:after="100" w:afterAutospacing="1" w:line="360" w:lineRule="auto"/>
        <w:jc w:val="both"/>
        <w:rPr>
          <w:rFonts w:ascii="Times New Roman" w:hAnsi="Times New Roman" w:cs="Times New Roman"/>
          <w:sz w:val="24"/>
          <w:lang w:val="en-GB"/>
        </w:rPr>
      </w:pPr>
      <w:r>
        <w:rPr>
          <w:rFonts w:ascii="Times New Roman" w:hAnsi="Times New Roman" w:cs="Times New Roman"/>
          <w:sz w:val="24"/>
          <w:lang w:val="en-GB"/>
        </w:rPr>
        <w:t>Through the use of various marketing models to analyse the macro environment and micro-environment the current electric vehicle market, this paper points out that China's current electric vehicle market has great potential. Besides, the author also conducts an internal analysis of Tesla in the hope to develop an appropriate marketing strategy for Tesla. On the basis of clear marketing theory, the study of the competitive environment faced by Tesla Motors lay as a fundamental basis for the author to formulate the market plan for Tesla Motors. Finally, the possible issues and limitations when implementing the marketing plan are taken into account to address relevant risks and uncertainties.</w:t>
      </w:r>
    </w:p>
    <w:p>
      <w:pPr>
        <w:pStyle w:val="2"/>
        <w:numPr>
          <w:ilvl w:val="0"/>
          <w:numId w:val="1"/>
        </w:numPr>
        <w:spacing w:before="100" w:beforeAutospacing="1" w:after="100" w:afterAutospacing="1" w:line="360" w:lineRule="auto"/>
        <w:jc w:val="both"/>
        <w:rPr>
          <w:lang w:val="en-GB"/>
        </w:rPr>
      </w:pPr>
      <w:bookmarkStart w:id="2" w:name="_Toc8393197"/>
      <w:r>
        <w:rPr>
          <w:lang w:val="en-GB"/>
        </w:rPr>
        <w:t>The Situation Analysis of Tesla in China</w:t>
      </w:r>
      <w:bookmarkEnd w:id="2"/>
    </w:p>
    <w:p>
      <w:pPr>
        <w:pStyle w:val="3"/>
        <w:numPr>
          <w:ilvl w:val="1"/>
          <w:numId w:val="1"/>
        </w:numPr>
        <w:spacing w:before="100" w:beforeAutospacing="1" w:after="100" w:afterAutospacing="1" w:line="360" w:lineRule="auto"/>
        <w:jc w:val="both"/>
        <w:rPr>
          <w:lang w:val="en-GB"/>
        </w:rPr>
      </w:pPr>
      <w:bookmarkStart w:id="3" w:name="_Toc8393198"/>
      <w:r>
        <w:rPr>
          <w:lang w:val="en-GB"/>
        </w:rPr>
        <w:t>The Analysis of Macro-environment-PEST</w:t>
      </w:r>
      <w:bookmarkEnd w:id="3"/>
    </w:p>
    <w:p>
      <w:pPr>
        <w:spacing w:before="100" w:beforeAutospacing="1" w:after="100" w:afterAutospacing="1" w:line="360" w:lineRule="auto"/>
        <w:jc w:val="both"/>
        <w:rPr>
          <w:rFonts w:ascii="Times New Roman" w:hAnsi="Times New Roman" w:cs="Times New Roman"/>
          <w:b/>
          <w:sz w:val="28"/>
          <w:lang w:val="en-GB"/>
        </w:rPr>
      </w:pPr>
      <w:r>
        <w:rPr>
          <w:rStyle w:val="21"/>
        </w:rPr>
        <w:t>Political:</w:t>
      </w:r>
      <w:r>
        <w:rPr>
          <w:rFonts w:ascii="Times New Roman" w:hAnsi="Times New Roman" w:cs="Times New Roman"/>
          <w:b/>
          <w:sz w:val="28"/>
          <w:lang w:val="en-GB"/>
        </w:rPr>
        <w:t xml:space="preserve"> </w:t>
      </w:r>
      <w:r>
        <w:rPr>
          <w:rFonts w:hint="eastAsia" w:ascii="Times New Roman" w:hAnsi="Times New Roman" w:cs="Times New Roman"/>
          <w:sz w:val="24"/>
          <w:szCs w:val="24"/>
          <w:lang w:val="en-GB"/>
        </w:rPr>
        <w:t>the</w:t>
      </w:r>
      <w:r>
        <w:rPr>
          <w:rFonts w:ascii="Times New Roman" w:hAnsi="Times New Roman" w:cs="Times New Roman"/>
          <w:sz w:val="24"/>
          <w:szCs w:val="24"/>
          <w:lang w:val="en-GB"/>
        </w:rPr>
        <w:t xml:space="preserve"> concerns over environmental protection and fossil energy scarcity have been at top priority at government agendas in recent years. During the process of economic transformation in China, the development of the electric autos is catching more attention for the benefits of living quality and environment conservation. A string of policies has been introduced by relevant authorities in China to encourage the innovation of electric vehicles. Five specific measure has been passed and amended by the </w:t>
      </w:r>
      <w:r>
        <w:rPr>
          <w:rFonts w:hint="eastAsia" w:ascii="Times New Roman" w:hAnsi="Times New Roman" w:cs="Times New Roman"/>
          <w:sz w:val="24"/>
          <w:szCs w:val="24"/>
          <w:lang w:val="en-GB"/>
        </w:rPr>
        <w:t>Coun</w:t>
      </w:r>
      <w:r>
        <w:rPr>
          <w:rFonts w:ascii="Times New Roman" w:hAnsi="Times New Roman" w:cs="Times New Roman"/>
          <w:sz w:val="24"/>
          <w:szCs w:val="24"/>
          <w:lang w:val="en-GB"/>
        </w:rPr>
        <w:t xml:space="preserve">cil of </w:t>
      </w:r>
      <w:r>
        <w:rPr>
          <w:rFonts w:hint="eastAsia" w:ascii="Times New Roman" w:hAnsi="Times New Roman" w:cs="Times New Roman"/>
          <w:sz w:val="24"/>
          <w:szCs w:val="24"/>
          <w:lang w:val="en-GB"/>
        </w:rPr>
        <w:t>China</w:t>
      </w:r>
      <w:r>
        <w:rPr>
          <w:rFonts w:ascii="Times New Roman" w:hAnsi="Times New Roman" w:cs="Times New Roman"/>
          <w:sz w:val="24"/>
          <w:szCs w:val="24"/>
          <w:lang w:val="en-GB"/>
        </w:rPr>
        <w:t xml:space="preserve"> to </w:t>
      </w:r>
      <w:r>
        <w:rPr>
          <w:rFonts w:hint="eastAsia" w:ascii="Times New Roman" w:hAnsi="Times New Roman" w:cs="Times New Roman"/>
          <w:sz w:val="24"/>
          <w:szCs w:val="24"/>
          <w:lang w:val="en-GB"/>
        </w:rPr>
        <w:t>fu</w:t>
      </w:r>
      <w:r>
        <w:rPr>
          <w:rFonts w:ascii="Times New Roman" w:hAnsi="Times New Roman" w:cs="Times New Roman"/>
          <w:sz w:val="24"/>
          <w:szCs w:val="24"/>
          <w:lang w:val="en-GB"/>
        </w:rPr>
        <w:t xml:space="preserve">rther promote the sector, including accelerate the research and development of power batteries; accelerate the establishment of charging stations, expanding the use of new energy vehicles in public transportation; enhance the quality of new energy vehicles; enhance support regulations to stimulate development </w:t>
      </w:r>
      <w:r>
        <w:rPr>
          <w:rFonts w:ascii="Times New Roman" w:hAnsi="Times New Roman" w:cs="Times New Roman"/>
          <w:sz w:val="24"/>
          <w:szCs w:val="24"/>
          <w:lang w:val="en-GB"/>
        </w:rPr>
        <w:fldChar w:fldCharType="begin" w:fldLock="1"/>
      </w:r>
      <w:r>
        <w:rPr>
          <w:rFonts w:ascii="Times New Roman" w:hAnsi="Times New Roman" w:cs="Times New Roman"/>
          <w:sz w:val="24"/>
          <w:szCs w:val="24"/>
          <w:lang w:val="en-GB"/>
        </w:rPr>
        <w:instrText xml:space="preserve">ADDIN CSL_CITATION {"citationItems":[{"id":"ITEM-1","itemData":{"ISSN":"0965-8564","author":[{"dropping-particle":"","family":"Wang","given":"Shanyong","non-dropping-particle":"","parse-names":false,"suffix":""},{"dropping-particle":"","family":"Li","given":"Jun","non-dropping-particle":"","parse-names":false,"suffix":""},{"dropping-particle":"","family":"Zhao","given":"Dingtao","non-dropping-particle":"","parse-names":false,"suffix":""}],"container-title":"Transportation Research Part A: Policy and Practice","id":"ITEM-1","issued":{"date-parts":[["2017"]]},"page":"14-26","publisher":"Elsevier","title":"The impact of policy measures on consumer intention to adopt electric vehicles: Evidence from China","type":"article-journal","volume":"105"},"uris":["http://www.mendeley.com/documents/?uuid=6dbe81cb-397e-480b-affa-c1652c8a533e"]}],"mendeley":{"formattedCitation":"(Wang, Li and Zhao, 2017)","plainTextFormattedCitation":"(Wang, Li and Zhao, 2017)","previouslyFormattedCitation":"(Wang, Li and Zhao, 2017)"},"properties":{"noteIndex":0},"schema":"https://github.com/citation-style-language/schema/raw/master/csl-citation.json"}</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(Wang, Li and Zhao, 2017)</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t>. it thus can be anticipated that the electric vehicles will a crucial aspect of government work in the coming future.</w:t>
      </w:r>
      <w:r>
        <w:rPr>
          <w:rFonts w:hint="eastAsia" w:ascii="Times New Roman" w:hAnsi="Times New Roman" w:cs="Times New Roman"/>
          <w:b/>
          <w:sz w:val="28"/>
          <w:lang w:val="en-GB"/>
        </w:rPr>
        <w:t xml:space="preserve"> </w:t>
      </w:r>
      <w:r>
        <w:rPr>
          <w:rFonts w:ascii="Times New Roman" w:hAnsi="Times New Roman" w:cs="Times New Roman"/>
          <w:sz w:val="24"/>
          <w:szCs w:val="24"/>
          <w:lang w:val="en-GB"/>
        </w:rPr>
        <w:t xml:space="preserve">Under the support of the Chinese government, the infrastructures of new energy vehicles are constantly improving and expanding, and various unified regulations are also being introduced and adjusted. This will ultimately be resulted in consumers to dispel the consideration that electric vehicles are niche products that still have imperfections so that new energy vehicles such as Tesla will be increasingly welcomed by Chinese consumers </w:t>
      </w:r>
      <w:r>
        <w:rPr>
          <w:rFonts w:ascii="Times New Roman" w:hAnsi="Times New Roman" w:cs="Times New Roman"/>
          <w:sz w:val="24"/>
          <w:szCs w:val="24"/>
          <w:lang w:val="en-GB"/>
        </w:rPr>
        <w:fldChar w:fldCharType="begin" w:fldLock="1"/>
      </w:r>
      <w:r>
        <w:rPr>
          <w:rFonts w:ascii="Times New Roman" w:hAnsi="Times New Roman" w:cs="Times New Roman"/>
          <w:sz w:val="24"/>
          <w:szCs w:val="24"/>
          <w:lang w:val="en-GB"/>
        </w:rPr>
        <w:instrText xml:space="preserve">ADDIN CSL_CITATION {"citationItems":[{"id":"ITEM-1","itemData":{"ISSN":"0301-4215","author":[{"dropping-particle":"","family":"Lin","given":"Boqiang","non-dropping-particle":"","parse-names":false,"suffix":""},{"dropping-particle":"","family":"Wu","given":"Wei","non-dropping-particle":"","parse-names":false,"suffix":""}],"container-title":"Energy Policy","id":"ITEM-1","issued":{"date-parts":[["2018"]]},"page":"233-241","publisher":"Elsevier","title":"Why people want to buy electric vehicle: An empirical study in first-tier cities of China","type":"article-journal","volume":"112"},"uris":["http://www.mendeley.com/documents/?uuid=3f68304c-547b-486d-b108-525756224cc8"]}],"mendeley":{"formattedCitation":"(Lin and Wu, 2018)","plainTextFormattedCitation":"(Lin and Wu, 2018)","previouslyFormattedCitation":"(Lin and Wu, 2018)"},"properties":{"noteIndex":0},"schema":"https://github.com/citation-style-language/schema/raw/master/csl-citation.json"}</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(Lin and Wu, 2018)</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t>. The success implementations of wide-ranging favourable policies have also resulted in more intense competition in the Chinese market.</w:t>
      </w:r>
    </w:p>
    <w:p>
      <w:pPr>
        <w:spacing w:before="100" w:beforeAutospacing="1" w:after="100" w:afterAutospacing="1" w:line="360" w:lineRule="auto"/>
        <w:jc w:val="both"/>
        <w:rPr>
          <w:rFonts w:ascii="Times New Roman" w:hAnsi="Times New Roman" w:cs="Times New Roman"/>
          <w:bCs/>
          <w:sz w:val="24"/>
          <w:szCs w:val="24"/>
          <w:lang w:val="en-GB"/>
        </w:rPr>
      </w:pPr>
      <w:r>
        <w:rPr>
          <w:rStyle w:val="21"/>
          <w:rFonts w:hint="eastAsia"/>
        </w:rPr>
        <w:t>E</w:t>
      </w:r>
      <w:r>
        <w:rPr>
          <w:rStyle w:val="21"/>
        </w:rPr>
        <w:t>conomic:</w:t>
      </w:r>
      <w:r>
        <w:rPr>
          <w:rFonts w:ascii="Times New Roman" w:hAnsi="Times New Roman" w:cs="Times New Roman"/>
          <w:bCs/>
          <w:sz w:val="24"/>
          <w:szCs w:val="24"/>
          <w:lang w:val="en-GB"/>
        </w:rPr>
        <w:t xml:space="preserve"> The demands of the automobile actually follows a similar pattern of economic growth.</w:t>
      </w:r>
      <w:r>
        <w:rPr>
          <w:rFonts w:ascii="Times New Roman" w:hAnsi="Times New Roman" w:cs="Times New Roman"/>
          <w:sz w:val="24"/>
          <w:szCs w:val="24"/>
          <w:lang w:val="en-GB"/>
        </w:rPr>
        <w:t xml:space="preserve"> The pleasant economic growth will result in optimist anticipation of economic prospects. Thus, consumers are more willing to spend to improve their quality of life; the bad economic growth will result in the pessimistic anticipation on the economic outlook, the consumption orientation is also tilted towards rationality </w:t>
      </w:r>
      <w:r>
        <w:rPr>
          <w:rFonts w:ascii="Times New Roman" w:hAnsi="Times New Roman" w:cs="Times New Roman"/>
          <w:sz w:val="24"/>
          <w:szCs w:val="24"/>
          <w:lang w:val="en-GB"/>
        </w:rPr>
        <w:fldChar w:fldCharType="begin" w:fldLock="1"/>
      </w:r>
      <w:r>
        <w:rPr>
          <w:rFonts w:ascii="Times New Roman" w:hAnsi="Times New Roman" w:cs="Times New Roman"/>
          <w:sz w:val="24"/>
          <w:szCs w:val="24"/>
          <w:lang w:val="en-GB"/>
        </w:rPr>
        <w:instrText xml:space="preserve">ADDIN CSL_CITATION {"citationItems":[{"id":"ITEM-1","itemData":{"ISSN":"0301-4215","author":[{"dropping-particle":"","family":"Wang","given":"Yunshi","non-dropping-particle":"","parse-names":false,"suffix":""},{"dropping-particle":"","family":"Sperling","given":"Daniel","non-dropping-particle":"","parse-names":false,"suffix":""},{"dropping-particle":"","family":"Tal","given":"Gil","non-dropping-particle":"","parse-names":false,"suffix":""},{"dropping-particle":"","family":"Fang","given":"Haifeng","non-dropping-particle":"","parse-names":false,"suffix":""}],"container-title":"Energy Policy","id":"ITEM-1","issued":{"date-parts":[["2017"]]},"page":"486-490","publisher":"Elsevier","title":"China's electric car surge","type":"article-journal","volume":"102"},"uris":["http://www.mendeley.com/documents/?uuid=ba4f16ba-3b4f-46e0-b896-c080686baee4"]}],"mendeley":{"formattedCitation":"(Wang &lt;i&gt;et al.&lt;/i&gt;, 2017)","plainTextFormattedCitation":"(Wang et al., 2017)","previouslyFormattedCitation":"(Wang &lt;i&gt;et al.&lt;/i&gt;, 2017)"},"properties":{"noteIndex":0},"schema":"https://github.com/citation-style-language/schema/raw/master/csl-citation.json"}</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 xml:space="preserve">(Wang </w:t>
      </w:r>
      <w:r>
        <w:rPr>
          <w:rFonts w:ascii="Times New Roman" w:hAnsi="Times New Roman" w:cs="Times New Roman"/>
          <w:i/>
          <w:sz w:val="24"/>
          <w:szCs w:val="24"/>
          <w:lang w:val="en-GB"/>
        </w:rPr>
        <w:t>et al.</w:t>
      </w:r>
      <w:r>
        <w:rPr>
          <w:rFonts w:ascii="Times New Roman" w:hAnsi="Times New Roman" w:cs="Times New Roman"/>
          <w:sz w:val="24"/>
          <w:szCs w:val="24"/>
          <w:lang w:val="en-GB"/>
        </w:rPr>
        <w:t>, 2017)</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t xml:space="preserve">. The growth of GDP sustained at 6% in 2016 and 2017, and the annual growth rate for GDP in 2019 and 2020 is projected to trend around 5.60% in 2020 </w:t>
      </w:r>
      <w:r>
        <w:rPr>
          <w:rFonts w:ascii="Times New Roman" w:hAnsi="Times New Roman" w:cs="Times New Roman"/>
          <w:sz w:val="24"/>
          <w:szCs w:val="24"/>
          <w:lang w:val="en-GB"/>
        </w:rPr>
        <w:fldChar w:fldCharType="begin" w:fldLock="1"/>
      </w:r>
      <w:r>
        <w:rPr>
          <w:rFonts w:ascii="Times New Roman" w:hAnsi="Times New Roman" w:cs="Times New Roman"/>
          <w:sz w:val="24"/>
          <w:szCs w:val="24"/>
          <w:lang w:val="en-GB"/>
        </w:rPr>
        <w:instrText xml:space="preserve">ADDIN CSL_CITATION {"citationItems":[{"id":"ITEM-1","itemData":{"URL":"http://www.stats.gov.cn/english/Statisticaldata/nsdp/201508/t20150819_1232260.html","accessed":{"date-parts":[["2019","5","9"]]},"author":[{"dropping-particle":"","family":"National Bureau of Statistics of China","given":"","non-dropping-particle":"","parse-names":false,"suffix":""}],"id":"ITEM-1","issued":{"date-parts":[["2019"]]},"title":"NSDP/SDDS for the People's Republic of China","type":"webpage"},"uris":["http://www.mendeley.com/documents/?uuid=721d0cc8-c8e4-3c23-b2ae-ecc34076654c"]}],"mendeley":{"formattedCitation":"(National Bureau of Statistics of China, 2019)","plainTextFormattedCitation":"(National Bureau of Statistics of China, 2019)","previouslyFormattedCitation":"(National Bureau of Statistics of China, 2019)"},"properties":{"noteIndex":0},"schema":"https://github.com/citation-style-language/schema/raw/master/csl-citation.json"}</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(National Bureau of Statistics of China, 2019)</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t>. The economic growth of China has begun to enter the structural adjustment phase due to economic transformation and will remain relatively lower than in previous years in the future decades. It seems that despite the continuous release of various stimulus policies in the auto market, it is impossible to maintain the double-digit growth trend in previous years.</w:t>
      </w:r>
    </w:p>
    <w:p>
      <w:pPr>
        <w:spacing w:before="100" w:beforeAutospacing="1" w:after="100" w:afterAutospacing="1" w:line="360" w:lineRule="auto"/>
        <w:jc w:val="center"/>
        <w:rPr>
          <w:rFonts w:ascii="Times New Roman" w:hAnsi="Times New Roman" w:cs="Times New Roman"/>
          <w:sz w:val="24"/>
          <w:szCs w:val="24"/>
          <w:lang w:val="en-GB"/>
        </w:rPr>
      </w:pPr>
      <w:r>
        <w:drawing>
          <wp:inline distT="0" distB="0" distL="0" distR="0">
            <wp:extent cx="4267200" cy="1854200"/>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7">
                      <a:duotone>
                        <a:srgbClr val="E84C22">
                          <a:shade val="45000"/>
                          <a:satMod val="135000"/>
                        </a:srgbClr>
                        <a:prstClr val="white"/>
                      </a:duotone>
                      <a:extLst>
                        <a:ext uri="{28A0092B-C50C-407E-A947-70E740481C1C}">
                          <a14:useLocalDpi xmlns:a14="http://schemas.microsoft.com/office/drawing/2010/main" val="0"/>
                        </a:ext>
                      </a:extLst>
                    </a:blip>
                    <a:stretch>
                      <a:fillRect/>
                    </a:stretch>
                  </pic:blipFill>
                  <pic:spPr>
                    <a:xfrm>
                      <a:off x="0" y="0"/>
                      <a:ext cx="4284430" cy="1861744"/>
                    </a:xfrm>
                    <a:prstGeom prst="rect">
                      <a:avLst/>
                    </a:prstGeom>
                  </pic:spPr>
                </pic:pic>
              </a:graphicData>
            </a:graphic>
          </wp:inline>
        </w:drawing>
      </w:r>
    </w:p>
    <w:p>
      <w:pPr>
        <w:spacing w:before="100" w:beforeAutospacing="1" w:after="100" w:afterAutospacing="1" w:line="360" w:lineRule="auto"/>
        <w:jc w:val="center"/>
        <w:rPr>
          <w:rFonts w:ascii="Times New Roman" w:hAnsi="Times New Roman" w:cs="Times New Roman"/>
          <w:sz w:val="24"/>
          <w:szCs w:val="24"/>
          <w:lang w:val="en-GB"/>
        </w:rPr>
      </w:pPr>
      <w:r>
        <w:rPr>
          <w:rFonts w:hint="eastAsia" w:ascii="Times New Roman" w:hAnsi="Times New Roman" w:cs="Times New Roman"/>
          <w:sz w:val="24"/>
          <w:szCs w:val="24"/>
          <w:lang w:val="en-GB"/>
        </w:rPr>
        <w:t>Figure</w:t>
      </w:r>
      <w:r>
        <w:rPr>
          <w:rFonts w:ascii="Times New Roman" w:hAnsi="Times New Roman" w:cs="Times New Roman"/>
          <w:sz w:val="24"/>
          <w:szCs w:val="24"/>
          <w:lang w:val="en-GB"/>
        </w:rPr>
        <w:t xml:space="preserve"> 1. China GDP Annual Growth Rate (Source: National Bureau of Statistics of China)</w:t>
      </w:r>
    </w:p>
    <w:p>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 2018, the exchange rate of Yuan also fluctuated significantly. the central parity rate of the RMB against the US dollar in the inter-bank foreign exchange market on April 4</w:t>
      </w:r>
      <w:r>
        <w:rPr>
          <w:rFonts w:ascii="Times New Roman" w:hAnsi="Times New Roman" w:cs="Times New Roman"/>
          <w:sz w:val="24"/>
          <w:szCs w:val="24"/>
          <w:vertAlign w:val="superscript"/>
          <w:lang w:val="en-GB"/>
        </w:rPr>
        <w:t>th</w:t>
      </w:r>
      <w:r>
        <w:rPr>
          <w:rFonts w:ascii="Times New Roman" w:hAnsi="Times New Roman" w:cs="Times New Roman"/>
          <w:sz w:val="24"/>
          <w:szCs w:val="24"/>
          <w:lang w:val="en-GB"/>
        </w:rPr>
        <w:t xml:space="preserve"> of the same year was 6.2725 yuan, compared with 6.9241 yuan on January 2ed, 2017 </w:t>
      </w:r>
      <w:r>
        <w:rPr>
          <w:rFonts w:ascii="Times New Roman" w:hAnsi="Times New Roman" w:cs="Times New Roman"/>
          <w:sz w:val="24"/>
          <w:szCs w:val="24"/>
          <w:lang w:val="en-GB"/>
        </w:rPr>
        <w:fldChar w:fldCharType="begin" w:fldLock="1"/>
      </w:r>
      <w:r>
        <w:rPr>
          <w:rFonts w:ascii="Times New Roman" w:hAnsi="Times New Roman" w:cs="Times New Roman"/>
          <w:sz w:val="24"/>
          <w:szCs w:val="24"/>
          <w:lang w:val="en-GB"/>
        </w:rPr>
        <w:instrText xml:space="preserve">ADDIN CSL_CITATION {"citationItems":[{"id":"ITEM-1","itemData":{"URL":"https://www.ceicdata.com/en/indicator/exchange-rate-against-usd","accessed":{"date-parts":[["2019","5","9"]]},"author":[{"dropping-particle":"","family":"CEIC","given":"","non-dropping-particle":"","parse-names":false,"suffix":""}],"id":"ITEM-1","issued":{"date-parts":[["2019"]]},"title":"Exchange Rate against USD | Economic Indicators","type":"webpage"},"uris":["http://www.mendeley.com/documents/?uuid=d4989ed8-1990-3622-91c2-1a6776879605"]}],"mendeley":{"formattedCitation":"(CEIC, 2019)","plainTextFormattedCitation":"(CEIC, 2019)","previouslyFormattedCitation":"(CEIC, 2019)"},"properties":{"noteIndex":0},"schema":"https://github.com/citation-style-language/schema/raw/master/csl-citation.json"}</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(CEIC, 2019)</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t xml:space="preserve">. The accumulated depreciation in the year was huge. As of May 2019, the Yuan against dollar remained at a relatively high level of around 6.7346, but many have worried that there will be a depreciation trend due to the Sino-US trade war </w:t>
      </w:r>
      <w:r>
        <w:rPr>
          <w:rFonts w:ascii="Times New Roman" w:hAnsi="Times New Roman" w:cs="Times New Roman"/>
          <w:sz w:val="24"/>
          <w:szCs w:val="24"/>
          <w:lang w:val="en-GB"/>
        </w:rPr>
        <w:fldChar w:fldCharType="begin" w:fldLock="1"/>
      </w:r>
      <w:r>
        <w:rPr>
          <w:rFonts w:ascii="Times New Roman" w:hAnsi="Times New Roman" w:cs="Times New Roman"/>
          <w:sz w:val="24"/>
          <w:szCs w:val="24"/>
          <w:lang w:val="en-GB"/>
        </w:rPr>
        <w:instrText xml:space="preserve">ADDIN CSL_CITATION {"citationItems":[{"id":"ITEM-1","itemData":{"URL":"https://www.scmp.com/economy/china-economy/article/2183044/volatility-expected-chinese-yuan-experts-diverge-2019-outlooks","accessed":{"date-parts":[["2019","5","9"]]},"author":[{"dropping-particle":"","family":"South China Morning Post","given":"","non-dropping-particle":"","parse-names":false,"suffix":""}],"id":"ITEM-1","issued":{"date-parts":[["2019"]]},"title":"Volatility expected for Chinese yuan, as experts diverge on 2019 outlooks | South China Morning Post","type":"webpage"},"uris":["http://www.mendeley.com/documents/?uuid=8905c496-e62b-3aba-967f-eb4dad5f069e"]}],"mendeley":{"formattedCitation":"(South China Morning Post, 2019)","plainTextFormattedCitation":"(South China Morning Post, 2019)","previouslyFormattedCitation":"(South China Morning Post, 2019)"},"properties":{"noteIndex":0},"schema":"https://github.com/citation-style-language/schema/raw/master/csl-citation.json"}</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(South China Morning Post, 2019)</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t>.</w:t>
      </w:r>
    </w:p>
    <w:p>
      <w:pPr>
        <w:spacing w:before="100" w:beforeAutospacing="1" w:after="100" w:afterAutospacing="1" w:line="360" w:lineRule="auto"/>
        <w:jc w:val="center"/>
        <w:rPr>
          <w:rFonts w:ascii="Times New Roman" w:hAnsi="Times New Roman" w:cs="Times New Roman"/>
          <w:sz w:val="24"/>
          <w:szCs w:val="24"/>
          <w:lang w:val="en-GB"/>
        </w:rPr>
      </w:pPr>
      <w:r>
        <w:drawing>
          <wp:inline distT="0" distB="0" distL="0" distR="0">
            <wp:extent cx="3596640" cy="2233295"/>
            <wp:effectExtent l="0" t="0" r="381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pic:cNvPicPr>
                  </pic:nvPicPr>
                  <pic:blipFill>
                    <a:blip r:embed="rId8">
                      <a:duotone>
                        <a:schemeClr val="accent1">
                          <a:shade val="45000"/>
                          <a:satMod val="135000"/>
                        </a:schemeClr>
                        <a:prstClr val="white"/>
                      </a:duotone>
                    </a:blip>
                    <a:stretch>
                      <a:fillRect/>
                    </a:stretch>
                  </pic:blipFill>
                  <pic:spPr>
                    <a:xfrm>
                      <a:off x="0" y="0"/>
                      <a:ext cx="3620979" cy="2248529"/>
                    </a:xfrm>
                    <a:prstGeom prst="rect">
                      <a:avLst/>
                    </a:prstGeom>
                  </pic:spPr>
                </pic:pic>
              </a:graphicData>
            </a:graphic>
          </wp:inline>
        </w:drawing>
      </w:r>
    </w:p>
    <w:p>
      <w:pPr>
        <w:spacing w:before="100" w:beforeAutospacing="1" w:after="100" w:afterAutospacing="1"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Figure 1. Dollar Yuan Exchange Rate (Source: CEIC)</w:t>
      </w:r>
    </w:p>
    <w:p>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Although China is a huge market for other automakers such as Ford, General Motors and Chrysler, these companies have established joint ventures with Chinese companies, protecting them from tariff adjustment due to Sino-US trade wars to a large extent. However, the market entry into the Chinese market still relies on exporting, which indicating Tesla is much more vulnerable to the uncertainties brought by the </w:t>
      </w:r>
      <w:r>
        <w:rPr>
          <w:rFonts w:hint="eastAsia" w:ascii="Times New Roman" w:hAnsi="Times New Roman" w:cs="Times New Roman"/>
          <w:sz w:val="24"/>
          <w:szCs w:val="24"/>
          <w:lang w:val="en-GB"/>
        </w:rPr>
        <w:t>S</w:t>
      </w:r>
      <w:r>
        <w:rPr>
          <w:rFonts w:ascii="Times New Roman" w:hAnsi="Times New Roman" w:cs="Times New Roman"/>
          <w:sz w:val="24"/>
          <w:szCs w:val="24"/>
          <w:lang w:val="en-GB"/>
        </w:rPr>
        <w:t>ino-</w:t>
      </w:r>
      <w:r>
        <w:rPr>
          <w:rFonts w:hint="eastAsia" w:ascii="Times New Roman" w:hAnsi="Times New Roman" w:cs="Times New Roman"/>
          <w:sz w:val="24"/>
          <w:szCs w:val="24"/>
          <w:lang w:val="en-GB"/>
        </w:rPr>
        <w:t>US</w:t>
      </w:r>
      <w:r>
        <w:rPr>
          <w:rFonts w:ascii="Times New Roman" w:hAnsi="Times New Roman" w:cs="Times New Roman"/>
          <w:sz w:val="24"/>
          <w:szCs w:val="24"/>
          <w:lang w:val="en-GB"/>
        </w:rPr>
        <w:t xml:space="preserve"> trade </w:t>
      </w:r>
      <w:r>
        <w:rPr>
          <w:rFonts w:hint="eastAsia" w:ascii="Times New Roman" w:hAnsi="Times New Roman" w:cs="Times New Roman"/>
          <w:sz w:val="24"/>
          <w:szCs w:val="24"/>
          <w:lang w:val="en-GB"/>
        </w:rPr>
        <w:t>war.</w:t>
      </w:r>
    </w:p>
    <w:p>
      <w:pPr>
        <w:spacing w:before="100" w:beforeAutospacing="1" w:after="100" w:afterAutospacing="1" w:line="360" w:lineRule="auto"/>
        <w:jc w:val="both"/>
        <w:rPr>
          <w:rFonts w:ascii="Times New Roman" w:hAnsi="Times New Roman" w:cs="Times New Roman"/>
          <w:sz w:val="24"/>
          <w:szCs w:val="24"/>
          <w:lang w:val="en-GB"/>
        </w:rPr>
      </w:pPr>
      <w:r>
        <w:rPr>
          <w:rStyle w:val="21"/>
        </w:rPr>
        <w:t>S</w:t>
      </w:r>
      <w:r>
        <w:rPr>
          <w:rStyle w:val="21"/>
          <w:rFonts w:hint="eastAsia"/>
        </w:rPr>
        <w:t>ocial：</w:t>
      </w:r>
      <w:r>
        <w:rPr>
          <w:rFonts w:ascii="Times New Roman" w:hAnsi="Times New Roman" w:cs="Times New Roman"/>
          <w:sz w:val="24"/>
          <w:szCs w:val="24"/>
          <w:lang w:val="en-GB"/>
        </w:rPr>
        <w:t>In recent years, the terrible weather caused by environmental pollution that is common in the Beijing-Tianjin-Hebei region has raised the public consciousness towards automobile exhaust</w:t>
      </w:r>
      <w:r>
        <w:rPr>
          <w:rFonts w:hint="eastAsia" w:ascii="Times New Roman" w:hAnsi="Times New Roman" w:cs="Times New Roman"/>
          <w:sz w:val="24"/>
          <w:szCs w:val="24"/>
          <w:lang w:val="en-GB"/>
        </w:rPr>
        <w:t>.</w:t>
      </w:r>
      <w:r>
        <w:rPr>
          <w:rFonts w:ascii="Times New Roman" w:hAnsi="Times New Roman" w:cs="Times New Roman"/>
          <w:sz w:val="24"/>
          <w:szCs w:val="24"/>
          <w:lang w:val="en-GB"/>
        </w:rPr>
        <w:t xml:space="preserve"> In this case, products with environmental protection concepts, have gained more popularity among Chinese people.</w:t>
      </w:r>
      <w:r>
        <w:t xml:space="preserve"> </w:t>
      </w:r>
      <w:r>
        <w:rPr>
          <w:rFonts w:ascii="Times New Roman" w:hAnsi="Times New Roman" w:cs="Times New Roman"/>
          <w:sz w:val="24"/>
          <w:szCs w:val="24"/>
          <w:lang w:val="en-GB"/>
        </w:rPr>
        <w:t xml:space="preserve">As an environmentally friendly automobile with zero-emission, the ideology of Tesla is in line with the value orientation of sustainable development </w:t>
      </w:r>
      <w:r>
        <w:rPr>
          <w:rFonts w:ascii="Times New Roman" w:hAnsi="Times New Roman" w:cs="Times New Roman"/>
          <w:sz w:val="24"/>
          <w:szCs w:val="24"/>
          <w:lang w:val="en-GB"/>
        </w:rPr>
        <w:fldChar w:fldCharType="begin" w:fldLock="1"/>
      </w:r>
      <w:r>
        <w:rPr>
          <w:rFonts w:ascii="Times New Roman" w:hAnsi="Times New Roman" w:cs="Times New Roman"/>
          <w:sz w:val="24"/>
          <w:szCs w:val="24"/>
          <w:lang w:val="en-GB"/>
        </w:rPr>
        <w:instrText xml:space="preserve">ADDIN CSL_CITATION {"citationItems":[{"id":"ITEM-1","itemData":{"ISSN":"0301-4215","author":[{"dropping-particle":"","family":"Lin","given":"Boqiang","non-dropping-particle":"","parse-names":false,"suffix":""},{"dropping-particle":"","family":"Wu","given":"Wei","non-dropping-particle":"","parse-names":false,"suffix":""}],"container-title":"Energy Policy","id":"ITEM-1","issued":{"date-parts":[["2018"]]},"page":"233-241","publisher":"Elsevier","title":"Why people want to buy electric vehicle: An empirical study in first-tier cities of China","type":"article-journal","volume":"112"},"uris":["http://www.mendeley.com/documents/?uuid=3f68304c-547b-486d-b108-525756224cc8"]}],"mendeley":{"formattedCitation":"(Lin and Wu, 2018)","plainTextFormattedCitation":"(Lin and Wu, 2018)","previouslyFormattedCitation":"(Lin and Wu, 2018)"},"properties":{"noteIndex":0},"schema":"https://github.com/citation-style-language/schema/raw/master/csl-citation.json"}</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(Lin and Wu, 2018)</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t xml:space="preserve">. Thus, electric vehicles will gain more recognition and perception among Chinese consumers in the long run. Tesla's models also emphasize the excellent performance and exquisite design, which can be applied to stimulate the purchasing impulse of the young generation </w:t>
      </w:r>
      <w:r>
        <w:rPr>
          <w:rFonts w:ascii="Times New Roman" w:hAnsi="Times New Roman" w:cs="Times New Roman"/>
          <w:sz w:val="24"/>
          <w:szCs w:val="24"/>
          <w:lang w:val="en-GB"/>
        </w:rPr>
        <w:fldChar w:fldCharType="begin" w:fldLock="1"/>
      </w:r>
      <w:r>
        <w:rPr>
          <w:rFonts w:ascii="Times New Roman" w:hAnsi="Times New Roman" w:cs="Times New Roman"/>
          <w:sz w:val="24"/>
          <w:szCs w:val="24"/>
          <w:lang w:val="en-GB"/>
        </w:rPr>
        <w:instrText xml:space="preserve">ADDIN CSL_CITATION {"citationItems":[{"id":"ITEM-1","itemData":{"ISSN":"0967-070X","author":[{"dropping-particle":"","family":"She","given":"Zhen-Yu","non-dropping-particle":"","parse-names":false,"suffix":""},{"dropping-particle":"","family":"Sun","given":"Qing","non-dropping-particle":"","parse-names":false,"suffix":""},{"dropping-particle":"","family":"Ma","given":"Jia-Jun","non-dropping-particle":"","parse-names":false,"suffix":""},{"dropping-particle":"","family":"Xie","given":"Bai-Chen","non-dropping-particle":"","parse-names":false,"suffix":""}],"container-title":"Transport Policy","id":"ITEM-1","issued":{"date-parts":[["2017"]]},"page":"29-40","publisher":"Elsevier","title":"What are the barriers to widespread adoption of battery electric vehicles? A survey of public perception in Tianjin, China","type":"article-journal","volume":"56"},"uris":["http://www.mendeley.com/documents/?uuid=773ec437-66c2-434b-9024-6f9d5bda3060"]}],"mendeley":{"formattedCitation":"(She &lt;i&gt;et al.&lt;/i&gt;, 2017)","plainTextFormattedCitation":"(She et al., 2017)","previouslyFormattedCitation":"(She &lt;i&gt;et al.&lt;/i&gt;, 2017)"},"properties":{"noteIndex":0},"schema":"https://github.com/citation-style-language/schema/raw/master/csl-citation.json"}</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 xml:space="preserve">(She </w:t>
      </w:r>
      <w:r>
        <w:rPr>
          <w:rFonts w:ascii="Times New Roman" w:hAnsi="Times New Roman" w:cs="Times New Roman"/>
          <w:i/>
          <w:sz w:val="24"/>
          <w:szCs w:val="24"/>
          <w:lang w:val="en-GB"/>
        </w:rPr>
        <w:t>et al.</w:t>
      </w:r>
      <w:r>
        <w:rPr>
          <w:rFonts w:ascii="Times New Roman" w:hAnsi="Times New Roman" w:cs="Times New Roman"/>
          <w:sz w:val="24"/>
          <w:szCs w:val="24"/>
          <w:lang w:val="en-GB"/>
        </w:rPr>
        <w:t>, 2017)</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t>.</w:t>
      </w:r>
    </w:p>
    <w:p>
      <w:pPr>
        <w:spacing w:before="100" w:beforeAutospacing="1" w:after="100" w:afterAutospacing="1" w:line="360" w:lineRule="auto"/>
        <w:jc w:val="both"/>
        <w:rPr>
          <w:rFonts w:ascii="Times New Roman" w:hAnsi="Times New Roman" w:cs="Times New Roman"/>
          <w:b/>
          <w:sz w:val="28"/>
          <w:lang w:val="en-GB"/>
        </w:rPr>
      </w:pPr>
      <w:r>
        <w:rPr>
          <w:rStyle w:val="21"/>
        </w:rPr>
        <w:t>Technological:</w:t>
      </w:r>
      <w:r>
        <w:rPr>
          <w:rStyle w:val="21"/>
          <w:rFonts w:hint="eastAsia"/>
          <w:b w:val="0"/>
        </w:rPr>
        <w:t xml:space="preserve"> </w:t>
      </w:r>
      <w:r>
        <w:rPr>
          <w:rFonts w:ascii="Times New Roman" w:hAnsi="Times New Roman" w:cs="Times New Roman"/>
          <w:bCs/>
          <w:sz w:val="24"/>
          <w:szCs w:val="24"/>
          <w:lang w:val="en-GB"/>
        </w:rPr>
        <w:t xml:space="preserve">Although </w:t>
      </w:r>
      <w:r>
        <w:rPr>
          <w:rFonts w:ascii="Times New Roman" w:hAnsi="Times New Roman" w:cs="Times New Roman"/>
          <w:sz w:val="24"/>
          <w:szCs w:val="24"/>
          <w:lang w:val="en-GB"/>
        </w:rPr>
        <w:t xml:space="preserve">China has invented a set of technical standards system and test methods, it still has a certain gap compared with the advanced international level </w:t>
      </w:r>
      <w:r>
        <w:rPr>
          <w:rFonts w:ascii="Times New Roman" w:hAnsi="Times New Roman" w:cs="Times New Roman"/>
          <w:sz w:val="24"/>
          <w:szCs w:val="24"/>
          <w:lang w:val="en-GB"/>
        </w:rPr>
        <w:fldChar w:fldCharType="begin" w:fldLock="1"/>
      </w:r>
      <w:r>
        <w:rPr>
          <w:rFonts w:ascii="Times New Roman" w:hAnsi="Times New Roman" w:cs="Times New Roman"/>
          <w:sz w:val="24"/>
          <w:szCs w:val="24"/>
          <w:lang w:val="en-GB"/>
        </w:rPr>
        <w:instrText xml:space="preserve">ADDIN CSL_CITATION {"citationItems":[{"id":"ITEM-1","itemData":{"ISSN":"0959-6526","author":[{"dropping-particle":"","family":"Li","given":"Ying","non-dropping-particle":"","parse-names":false,"suffix":""},{"dropping-particle":"","family":"Zhan","given":"Changjie","non-dropping-particle":"","parse-names":false,"suffix":""},{"dropping-particle":"","family":"Jong","given":"Martin","non-dropping-particle":"de","parse-names":false,"suffix":""},{"dropping-particle":"","family":"Lukszo","given":"Zofia","non-dropping-particle":"","parse-names":false,"suffix":""}],"container-title":"Journal of cleaner production","id":"ITEM-1","issued":{"date-parts":[["2016"]]},"page":"371-383","publisher":"Elsevier","title":"Business innovation and government regulation for the promotion of electric vehicle use: lessons from Shenzhen, China","type":"article-journal","volume":"134"},"uris":["http://www.mendeley.com/documents/?uuid=b8dbed36-2f83-4464-ab16-37aaf47bc328"]}],"mendeley":{"formattedCitation":"(Li &lt;i&gt;et al.&lt;/i&gt;, 2016)","plainTextFormattedCitation":"(Li et al., 2016)","previouslyFormattedCitation":"(Li &lt;i&gt;et al.&lt;/i&gt;, 2016)"},"properties":{"noteIndex":0},"schema":"https://github.com/citation-style-language/schema/raw/master/csl-citation.json"}</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 xml:space="preserve">(Li </w:t>
      </w:r>
      <w:r>
        <w:rPr>
          <w:rFonts w:ascii="Times New Roman" w:hAnsi="Times New Roman" w:cs="Times New Roman"/>
          <w:i/>
          <w:sz w:val="24"/>
          <w:szCs w:val="24"/>
          <w:lang w:val="en-GB"/>
        </w:rPr>
        <w:t>et al.</w:t>
      </w:r>
      <w:r>
        <w:rPr>
          <w:rFonts w:ascii="Times New Roman" w:hAnsi="Times New Roman" w:cs="Times New Roman"/>
          <w:sz w:val="24"/>
          <w:szCs w:val="24"/>
          <w:lang w:val="en-GB"/>
        </w:rPr>
        <w:t>, 2016)</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t>. First of all, in the core component technology, China's new energy vehicles still have shortcomings. Secondly, the foreign power battery adopts the automatic production mode, while the domestic one is mainly manual and semi-automatic and does not have the mass production capacity. Thirdly, China's basic infrastructures such as charging networks are still underdeveloped. The construction level of the charging station in China is far from meeting the development needs of electric vehicles.</w:t>
      </w:r>
    </w:p>
    <w:p>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Nevertheless, the spurt burst of information technology has had a significant impact on the automobile industry. The automobile is more than a means of transportation, it has also evolved into a platform with the intersection of various information. The concept of "</w:t>
      </w:r>
      <w:r>
        <w:t xml:space="preserve"> </w:t>
      </w:r>
      <w:r>
        <w:rPr>
          <w:rFonts w:ascii="Times New Roman" w:hAnsi="Times New Roman" w:cs="Times New Roman"/>
          <w:sz w:val="24"/>
          <w:szCs w:val="24"/>
          <w:lang w:val="en-GB"/>
        </w:rPr>
        <w:t>Internet of Vehicles" was officially mentioned. The so-called "</w:t>
      </w:r>
      <w:r>
        <w:t xml:space="preserve"> </w:t>
      </w:r>
      <w:r>
        <w:rPr>
          <w:rFonts w:ascii="Times New Roman" w:hAnsi="Times New Roman" w:cs="Times New Roman"/>
          <w:sz w:val="24"/>
          <w:szCs w:val="24"/>
          <w:lang w:val="en-GB"/>
        </w:rPr>
        <w:t>Internet of Vehicles" means a new type of information platform connect and share the information terminals of the passengers in the vehicle with the vehicle as to the through the automobile network</w:t>
      </w:r>
      <w:r>
        <w:t xml:space="preserve"> </w:t>
      </w:r>
      <w:r>
        <w:rPr>
          <w:rFonts w:ascii="Times New Roman" w:hAnsi="Times New Roman" w:cs="Times New Roman"/>
          <w:sz w:val="24"/>
          <w:szCs w:val="24"/>
          <w:lang w:val="en-GB"/>
        </w:rPr>
        <w:t xml:space="preserve">based on the central control system and the wireless network system </w:t>
      </w:r>
      <w:r>
        <w:rPr>
          <w:rFonts w:ascii="Times New Roman" w:hAnsi="Times New Roman" w:cs="Times New Roman"/>
          <w:sz w:val="24"/>
          <w:szCs w:val="24"/>
          <w:lang w:val="en-GB"/>
        </w:rPr>
        <w:fldChar w:fldCharType="begin" w:fldLock="1"/>
      </w:r>
      <w:r>
        <w:rPr>
          <w:rFonts w:ascii="Times New Roman" w:hAnsi="Times New Roman" w:cs="Times New Roman"/>
          <w:sz w:val="24"/>
          <w:szCs w:val="24"/>
          <w:lang w:val="en-GB"/>
        </w:rPr>
        <w:instrText xml:space="preserve">ADDIN CSL_CITATION {"citationItems":[{"id":"ITEM-1","itemData":{"ISSN":"2169-3536","author":[{"dropping-particle":"","family":"Alam","given":"Kazi Masudul","non-dropping-particle":"","parse-names":false,"suffix":""},{"dropping-particle":"","family":"Saini","given":"Mukesh","non-dropping-particle":"","parse-names":false,"suffix":""},{"dropping-particle":"","family":"Saddik","given":"Abdulmotaleb","non-dropping-particle":"El","parse-names":false,"suffix":""}],"container-title":"IEEE access","id":"ITEM-1","issued":{"date-parts":[["2015"]]},"page":"343-357","publisher":"IEEE","title":"Toward social internet of vehicles: Concept, architecture, and applications","type":"article-journal","volume":"3"},"uris":["http://www.mendeley.com/documents/?uuid=afff704a-f7ec-4cb7-b338-2aa11ae8b20e"]}],"mendeley":{"formattedCitation":"(Alam, Saini and El Saddik, 2015)","plainTextFormattedCitation":"(Alam, Saini and El Saddik, 2015)","previouslyFormattedCitation":"(Alam, Saini and El Saddik, 2015)"},"properties":{"noteIndex":0},"schema":"https://github.com/citation-style-language/schema/raw/master/csl-citation.json"}</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(Alam, Saini, and El Saddik, 2015)</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t>. The network can generate and share information ina very broad way, including real-time traffic conditions, accident handling, and medical rescue. With the rapid development in sensing technology, Tesla has expanded its innovation into the autonomous deriving area. The introduction of autonomous driving and extended assisted driving technology into the car is definitely a revolution in the automotive industry. This not only greatly improves driving safety, but also provides an ultimate solution to the city's congested traffic. Tesla is the leading pioneer in the areas of “Internet of Vehicles” and autonomous driving.</w:t>
      </w:r>
    </w:p>
    <w:p>
      <w:pPr>
        <w:pStyle w:val="3"/>
        <w:numPr>
          <w:ilvl w:val="1"/>
          <w:numId w:val="1"/>
        </w:numPr>
        <w:spacing w:before="100" w:beforeAutospacing="1" w:after="100" w:afterAutospacing="1" w:line="360" w:lineRule="auto"/>
        <w:jc w:val="both"/>
        <w:rPr>
          <w:lang w:val="en-GB"/>
        </w:rPr>
      </w:pPr>
      <w:bookmarkStart w:id="4" w:name="_Toc8393199"/>
      <w:r>
        <w:rPr>
          <w:lang w:val="en-GB"/>
        </w:rPr>
        <w:t>The Analysis of Micro-environment- Porter’s Five Forces</w:t>
      </w:r>
      <w:bookmarkEnd w:id="4"/>
    </w:p>
    <w:p>
      <w:pPr>
        <w:spacing w:before="100" w:beforeAutospacing="1" w:after="100" w:afterAutospacing="1" w:line="360" w:lineRule="auto"/>
        <w:jc w:val="both"/>
        <w:rPr>
          <w:rFonts w:ascii="Times New Roman" w:hAnsi="Times New Roman" w:cs="Times New Roman"/>
          <w:b/>
          <w:sz w:val="28"/>
          <w:lang w:val="en-GB"/>
        </w:rPr>
      </w:pPr>
      <w:r>
        <w:rPr>
          <w:rStyle w:val="21"/>
        </w:rPr>
        <w:t>E</w:t>
      </w:r>
      <w:r>
        <w:rPr>
          <w:rStyle w:val="21"/>
          <w:rFonts w:hint="eastAsia"/>
        </w:rPr>
        <w:t>ntry</w:t>
      </w:r>
      <w:r>
        <w:rPr>
          <w:rStyle w:val="21"/>
        </w:rPr>
        <w:t xml:space="preserve"> </w:t>
      </w:r>
      <w:r>
        <w:rPr>
          <w:rStyle w:val="21"/>
          <w:rFonts w:hint="eastAsia"/>
        </w:rPr>
        <w:t>threat：</w:t>
      </w:r>
      <w:r>
        <w:rPr>
          <w:rFonts w:ascii="Times New Roman" w:hAnsi="Times New Roman" w:cs="Times New Roman"/>
          <w:sz w:val="24"/>
          <w:szCs w:val="24"/>
          <w:lang w:val="en-GB"/>
        </w:rPr>
        <w:t xml:space="preserve">In 2009, based on "Automotive Industry Development Policy" and other regulations, the Ministry of Industry and Information Technology formulated the "New Energy Vehicle Manufacturing Enterprise and Product Access Management Rules” </w:t>
      </w:r>
      <w:r>
        <w:rPr>
          <w:rFonts w:ascii="Times New Roman" w:hAnsi="Times New Roman" w:cs="Times New Roman"/>
          <w:sz w:val="24"/>
          <w:szCs w:val="24"/>
          <w:lang w:val="en-GB"/>
        </w:rPr>
        <w:fldChar w:fldCharType="begin" w:fldLock="1"/>
      </w:r>
      <w:r>
        <w:rPr>
          <w:rFonts w:ascii="Times New Roman" w:hAnsi="Times New Roman" w:cs="Times New Roman"/>
          <w:sz w:val="24"/>
          <w:szCs w:val="24"/>
          <w:lang w:val="en-GB"/>
        </w:rPr>
        <w:instrText xml:space="preserve">ADDIN CSL_CITATION {"citationItems":[{"id":"ITEM-1","itemData":{"ISSN":"0301-4215","author":[{"dropping-particle":"","family":"Liu","given":"Zongwei","non-dropping-particle":"","parse-names":false,"suffix":""},{"dropping-particle":"","family":"Hao","given":"Han","non-dropping-particle":"","parse-names":false,"suffix":""},{"dropping-particle":"","family":"Cheng","given":"Xiang","non-dropping-particle":"","parse-names":false,"suffix":""},{"dropping-particle":"","family":"Zhao","given":"Fuquan","non-dropping-particle":"","parse-names":false,"suffix":""}],"container-title":"Energy Policy","id":"ITEM-1","issued":{"date-parts":[["2018"]]},"page":"92-97","publisher":"Elsevier","title":"Critical issues of energy efficient and new energy vehicles development in China","type":"article-journal","volume":"115"},"uris":["http://www.mendeley.com/documents/?uuid=8cf58698-d78a-46d4-9448-ce49f292a3ea"]}],"mendeley":{"formattedCitation":"(Liu &lt;i&gt;et al.&lt;/i&gt;, 2018)","plainTextFormattedCitation":"(Liu et al., 2018)","previouslyFormattedCitation":"(Liu &lt;i&gt;et al.&lt;/i&gt;, 2018)"},"properties":{"noteIndex":0},"schema":"https://github.com/citation-style-language/schema/raw/master/csl-citation.json"}</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 xml:space="preserve">(Liu </w:t>
      </w:r>
      <w:r>
        <w:rPr>
          <w:rFonts w:ascii="Times New Roman" w:hAnsi="Times New Roman" w:cs="Times New Roman"/>
          <w:i/>
          <w:sz w:val="24"/>
          <w:szCs w:val="24"/>
          <w:lang w:val="en-GB"/>
        </w:rPr>
        <w:t>et al.</w:t>
      </w:r>
      <w:r>
        <w:rPr>
          <w:rFonts w:ascii="Times New Roman" w:hAnsi="Times New Roman" w:cs="Times New Roman"/>
          <w:sz w:val="24"/>
          <w:szCs w:val="24"/>
          <w:lang w:val="en-GB"/>
        </w:rPr>
        <w:t>, 2018)</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t>. The management roles have asset the internal requirements and external requirements if enterprises want to enter this industry. External requirements primarily regulate that the new entrants must qualify relevant industrial policies to enter the market. the internal requirement includes that the enterprise must have the ability and condition to carry out the design and production of new energy vehicles and establish an integrated supply chain with upstream suppliers and downstream customers. The external barriers are relatively easier to realize. At present, China’s taking efforts to promote economic transformation due to its ambition in sustainable development. as an environmentally friendly car, new energy vehicles are greatly supported by the state, thus lowing the threshold for potential entrants. However, internal barriers are much harder to overcome. The whole industry in China is still in its infant stage. Despite the fact that the core technologies related to electric vehicles have made some breakthrough, the practical application is still an urgent issue. Thus, it is hard for potential entrants to realize the scale of the economy without continuous investment in research and development. Therefore, the entry threat is summarized as low.</w:t>
      </w:r>
    </w:p>
    <w:p>
      <w:pPr>
        <w:spacing w:before="100" w:beforeAutospacing="1" w:after="100" w:afterAutospacing="1" w:line="360" w:lineRule="auto"/>
        <w:jc w:val="both"/>
        <w:rPr>
          <w:rFonts w:ascii="Times New Roman" w:hAnsi="Times New Roman" w:cs="Times New Roman"/>
          <w:b/>
          <w:sz w:val="28"/>
          <w:lang w:val="en-GB"/>
        </w:rPr>
      </w:pPr>
      <w:r>
        <w:rPr>
          <w:rStyle w:val="21"/>
        </w:rPr>
        <w:t>Supplier Power:</w:t>
      </w:r>
      <w:r>
        <w:rPr>
          <w:rStyle w:val="21"/>
          <w:rFonts w:hint="eastAsia"/>
          <w:b w:val="0"/>
        </w:rPr>
        <w:t xml:space="preserve"> </w:t>
      </w:r>
      <w:r>
        <w:rPr>
          <w:rFonts w:ascii="Times New Roman" w:hAnsi="Times New Roman" w:cs="Times New Roman"/>
          <w:sz w:val="24"/>
          <w:szCs w:val="24"/>
          <w:lang w:val="en-GB"/>
        </w:rPr>
        <w:t>The supplier of electric vehicle components has emerged with the booming development of the electric vehicle industry. Due to the enormous investment in tangible assets and the differences in the production of electric vehicle components and traditional auto components, the requirements on the technology is higher on the electric vehicle suppliers. There is only a limited number of suppliers within the industry. In summary, the bargaining power of electric vehicle parts suppliers is strong.</w:t>
      </w:r>
    </w:p>
    <w:p>
      <w:pPr>
        <w:spacing w:before="100" w:beforeAutospacing="1" w:after="100" w:afterAutospacing="1" w:line="360" w:lineRule="auto"/>
        <w:jc w:val="both"/>
        <w:rPr>
          <w:rFonts w:ascii="Times New Roman" w:hAnsi="Times New Roman" w:cs="Times New Roman"/>
          <w:b/>
          <w:sz w:val="28"/>
          <w:lang w:val="en-GB"/>
        </w:rPr>
      </w:pPr>
      <w:r>
        <w:rPr>
          <w:rStyle w:val="21"/>
        </w:rPr>
        <w:t xml:space="preserve">Buyer power: </w:t>
      </w:r>
      <w:r>
        <w:rPr>
          <w:rFonts w:ascii="Times New Roman" w:hAnsi="Times New Roman" w:cs="Times New Roman"/>
          <w:sz w:val="24"/>
          <w:szCs w:val="24"/>
          <w:lang w:val="en-GB"/>
        </w:rPr>
        <w:t xml:space="preserve">Although the Chinese government has adopted various subsidies to stimulate purchasing of new energy autos, Chinese consumers are not very enthusiastic about the consumption of electric vehicles. Due to the small scale of needs, electric vehicles are hard to realize economies of scale, resulting in relatively high sale prices. For consumers who have some social needs, they are sensitive to prices when buying electric vehicles and there are bare costs to alter to other brands </w:t>
      </w:r>
      <w:r>
        <w:rPr>
          <w:rFonts w:ascii="Times New Roman" w:hAnsi="Times New Roman" w:cs="Times New Roman"/>
          <w:sz w:val="24"/>
          <w:szCs w:val="24"/>
          <w:lang w:val="en-GB"/>
        </w:rPr>
        <w:fldChar w:fldCharType="begin" w:fldLock="1"/>
      </w:r>
      <w:r>
        <w:rPr>
          <w:rFonts w:ascii="Times New Roman" w:hAnsi="Times New Roman" w:cs="Times New Roman"/>
          <w:sz w:val="24"/>
          <w:szCs w:val="24"/>
          <w:lang w:val="en-GB"/>
        </w:rPr>
        <w:instrText xml:space="preserve">ADDIN CSL_CITATION {"citationItems":[{"id":"ITEM-1","itemData":{"ISSN":"0301-4215","author":[{"dropping-particle":"","family":"Lin","given":"Boqiang","non-dropping-particle":"","parse-names":false,"suffix":""},{"dropping-particle":"","family":"Wu","given":"Wei","non-dropping-particle":"","parse-names":false,"suffix":""}],"container-title":"Energy Policy","id":"ITEM-1","issued":{"date-parts":[["2018"]]},"page":"233-241","publisher":"Elsevier","title":"Why people want to buy electric vehicle: An empirical study in first-tier cities of China","type":"article-journal","volume":"112"},"uris":["http://www.mendeley.com/documents/?uuid=3f68304c-547b-486d-b108-525756224cc8"]}],"mendeley":{"formattedCitation":"(Lin and Wu, 2018)","plainTextFormattedCitation":"(Lin and Wu, 2018)","previouslyFormattedCitation":"(Lin and Wu, 2018)"},"properties":{"noteIndex":0},"schema":"https://github.com/citation-style-language/schema/raw/master/csl-citation.json"}</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(Lin and Wu, 2018)</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t>. Thus, in summary, buyer power is relatively high due to their sensitivity in price and low conversion cost.</w:t>
      </w:r>
    </w:p>
    <w:p>
      <w:pPr>
        <w:spacing w:before="100" w:beforeAutospacing="1" w:after="100" w:afterAutospacing="1" w:line="360" w:lineRule="auto"/>
        <w:jc w:val="both"/>
        <w:rPr>
          <w:rFonts w:ascii="Times New Roman" w:hAnsi="Times New Roman" w:cs="Times New Roman"/>
          <w:sz w:val="24"/>
          <w:szCs w:val="24"/>
          <w:lang w:val="en-GB"/>
        </w:rPr>
      </w:pPr>
      <w:r>
        <w:rPr>
          <w:rStyle w:val="21"/>
        </w:rPr>
        <w:t>Substitutes threat:</w:t>
      </w:r>
      <w:r>
        <w:rPr>
          <w:rStyle w:val="21"/>
          <w:rFonts w:hint="eastAsia"/>
          <w:b w:val="0"/>
        </w:rPr>
        <w:t xml:space="preserve"> </w:t>
      </w:r>
      <w:r>
        <w:rPr>
          <w:rFonts w:ascii="Times New Roman" w:hAnsi="Times New Roman" w:cs="Times New Roman"/>
          <w:sz w:val="24"/>
          <w:szCs w:val="24"/>
          <w:lang w:val="en-GB"/>
        </w:rPr>
        <w:t xml:space="preserve">the price and conversion costs are two determining factors in measuring substitutes threat </w:t>
      </w:r>
      <w:r>
        <w:rPr>
          <w:rFonts w:ascii="Times New Roman" w:hAnsi="Times New Roman" w:cs="Times New Roman"/>
          <w:sz w:val="24"/>
          <w:szCs w:val="24"/>
          <w:lang w:val="en-GB"/>
        </w:rPr>
        <w:fldChar w:fldCharType="begin" w:fldLock="1"/>
      </w:r>
      <w:r>
        <w:rPr>
          <w:rFonts w:ascii="Times New Roman" w:hAnsi="Times New Roman" w:cs="Times New Roman"/>
          <w:sz w:val="24"/>
          <w:szCs w:val="24"/>
          <w:lang w:val="en-GB"/>
        </w:rPr>
        <w:instrText xml:space="preserve">ADDIN CSL_CITATION {"citationItems":[{"id":"ITEM-1","itemData":{"ISSN":"1718-2077","author":[{"dropping-particle":"","family":"Musonera","given":"Etienne","non-dropping-particle":"","parse-names":false,"suffix":""},{"dropping-particle":"","family":"Cagle","given":"Carol","non-dropping-particle":"","parse-names":false,"suffix":""}],"container-title":"Journal of Strategic Innovation and Sustainability","id":"ITEM-1","issue":"1","issued":{"date-parts":[["2019"]]},"title":"Electric Car Brand Positioning in the Automotive Industry: Recommendations for Sustainable and Innovative Marketing Strategies","type":"article-journal","volume":"14"},"uris":["http://www.mendeley.com/documents/?uuid=97b15506-56ad-4932-b752-ff66c8b73bc4"]}],"mendeley":{"formattedCitation":"(Musonera and Cagle, 2019)","plainTextFormattedCitation":"(Musonera and Cagle, 2019)","previouslyFormattedCitation":"(Musonera and Cagle, 2019)"},"properties":{"noteIndex":0},"schema":"https://github.com/citation-style-language/schema/raw/master/csl-citation.json"}</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(Musonera and Cagle, 2019)</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t>. The price of an automobile involves the purchase price and the maintenance cost. Traditional automobile technology is fully developed, resulting in high product standardization and economy of scale. The novel electric vehicle industry has yet reached any scale of economy, resulting in high production cost. Judging from the conversion cost, consumers only need to pay a certain economic cost if they want to alter</w:t>
      </w:r>
      <w:r>
        <w:t xml:space="preserve"> </w:t>
      </w:r>
      <w:r>
        <w:rPr>
          <w:rFonts w:ascii="Times New Roman" w:hAnsi="Times New Roman" w:cs="Times New Roman"/>
          <w:sz w:val="24"/>
          <w:szCs w:val="24"/>
          <w:lang w:val="en-GB"/>
        </w:rPr>
        <w:t>from electric vehicles to traditional cars. Thus, the threat of the substitute is evaluated to be high.</w:t>
      </w:r>
    </w:p>
    <w:p>
      <w:pPr>
        <w:spacing w:before="100" w:beforeAutospacing="1" w:after="100" w:afterAutospacing="1" w:line="360" w:lineRule="auto"/>
        <w:jc w:val="both"/>
        <w:rPr>
          <w:rFonts w:ascii="Times New Roman" w:hAnsi="Times New Roman" w:cs="Times New Roman"/>
          <w:sz w:val="24"/>
          <w:szCs w:val="24"/>
          <w:lang w:val="en-GB"/>
        </w:rPr>
      </w:pPr>
      <w:r>
        <w:rPr>
          <w:rStyle w:val="21"/>
        </w:rPr>
        <w:t>Existing rivalries:</w:t>
      </w:r>
      <w:r>
        <w:rPr>
          <w:rFonts w:ascii="Times New Roman" w:hAnsi="Times New Roman" w:cs="Times New Roman"/>
          <w:sz w:val="24"/>
          <w:szCs w:val="24"/>
          <w:lang w:val="en-GB"/>
        </w:rPr>
        <w:t xml:space="preserve"> The focus of existing electric vehicles enterprises is research and development. If the financial strength of the enterprise is relatively strong, there will be a strong research and investment capacity, as well as the market competitiveness. But the transformation of traditional car makers will pose some threats to Tesla due to the strong experience and capital they have accumulated before. Thus, the competition of existing rivalries is evaluated as moderate.</w:t>
      </w:r>
    </w:p>
    <w:p>
      <w:pPr>
        <w:spacing w:before="100" w:beforeAutospacing="1" w:after="100" w:afterAutospacing="1"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drawing>
          <wp:inline distT="0" distB="0" distL="0" distR="0">
            <wp:extent cx="3124200" cy="1737360"/>
            <wp:effectExtent l="0" t="0" r="0" b="0"/>
            <wp:docPr id="4" name="图表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pPr>
        <w:spacing w:before="100" w:beforeAutospacing="1" w:after="100" w:afterAutospacing="1" w:line="360" w:lineRule="auto"/>
        <w:jc w:val="center"/>
        <w:rPr>
          <w:rFonts w:ascii="Times New Roman" w:hAnsi="Times New Roman" w:cs="Times New Roman"/>
          <w:sz w:val="24"/>
          <w:szCs w:val="24"/>
          <w:lang w:val="en-GB"/>
        </w:rPr>
      </w:pPr>
      <w:r>
        <w:rPr>
          <w:rFonts w:hint="eastAsia" w:ascii="Times New Roman" w:hAnsi="Times New Roman" w:cs="Times New Roman"/>
          <w:sz w:val="24"/>
          <w:szCs w:val="24"/>
          <w:lang w:val="en-GB"/>
        </w:rPr>
        <w:t>F</w:t>
      </w:r>
      <w:r>
        <w:rPr>
          <w:rFonts w:ascii="Times New Roman" w:hAnsi="Times New Roman" w:cs="Times New Roman"/>
          <w:sz w:val="24"/>
          <w:szCs w:val="24"/>
          <w:lang w:val="en-GB"/>
        </w:rPr>
        <w:t>igure 3. The Summary of Micro-environment Analysis</w:t>
      </w:r>
    </w:p>
    <w:p>
      <w:pPr>
        <w:pStyle w:val="3"/>
        <w:numPr>
          <w:ilvl w:val="1"/>
          <w:numId w:val="1"/>
        </w:numPr>
        <w:spacing w:before="100" w:beforeAutospacing="1" w:after="100" w:afterAutospacing="1" w:line="360" w:lineRule="auto"/>
        <w:jc w:val="both"/>
        <w:rPr>
          <w:lang w:val="en-GB"/>
        </w:rPr>
      </w:pPr>
      <w:bookmarkStart w:id="5" w:name="_Toc8393200"/>
      <w:r>
        <w:rPr>
          <w:lang w:val="en-GB"/>
        </w:rPr>
        <w:t>The Analysis of Internal Environment-VRIO</w:t>
      </w:r>
      <w:bookmarkEnd w:id="5"/>
    </w:p>
    <w:p>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Sustainable competitive advantage depends on whether the organization has unique resources and capabilities, depending on whether </w:t>
      </w:r>
      <w:r>
        <w:rPr>
          <w:rFonts w:hint="eastAsia" w:ascii="Times New Roman" w:hAnsi="Times New Roman" w:cs="Times New Roman"/>
          <w:sz w:val="24"/>
          <w:szCs w:val="24"/>
          <w:lang w:val="en-GB"/>
        </w:rPr>
        <w:t>Tesla</w:t>
      </w:r>
      <w:r>
        <w:rPr>
          <w:rFonts w:ascii="Times New Roman" w:hAnsi="Times New Roman" w:cs="Times New Roman"/>
          <w:sz w:val="24"/>
          <w:szCs w:val="24"/>
          <w:lang w:val="en-GB"/>
        </w:rPr>
        <w:t xml:space="preserve"> can apply these resources and capabilities </w:t>
      </w:r>
      <w:r>
        <w:rPr>
          <w:rFonts w:hint="eastAsia" w:ascii="Times New Roman" w:hAnsi="Times New Roman" w:cs="Times New Roman"/>
          <w:sz w:val="24"/>
          <w:szCs w:val="24"/>
          <w:lang w:val="en-GB"/>
        </w:rPr>
        <w:t>i</w:t>
      </w:r>
      <w:r>
        <w:rPr>
          <w:rFonts w:ascii="Times New Roman" w:hAnsi="Times New Roman" w:cs="Times New Roman"/>
          <w:sz w:val="24"/>
          <w:szCs w:val="24"/>
          <w:lang w:val="en-GB"/>
        </w:rPr>
        <w:t>n developing an appropriate marketing plan. Whether an organization can have sustainable competitiveness requires the internal resources and strengths to be measured and judged in terms of valu</w:t>
      </w:r>
      <w:r>
        <w:rPr>
          <w:rFonts w:hint="eastAsia" w:ascii="Times New Roman" w:hAnsi="Times New Roman" w:cs="Times New Roman"/>
          <w:sz w:val="24"/>
          <w:szCs w:val="24"/>
          <w:lang w:val="en-GB"/>
        </w:rPr>
        <w:t>able</w:t>
      </w:r>
      <w:r>
        <w:rPr>
          <w:rFonts w:ascii="Times New Roman" w:hAnsi="Times New Roman" w:cs="Times New Roman"/>
          <w:sz w:val="24"/>
          <w:szCs w:val="24"/>
          <w:lang w:val="en-GB"/>
        </w:rPr>
        <w:t xml:space="preserve">, rare, imitable and whether exploited </w:t>
      </w:r>
      <w:r>
        <w:rPr>
          <w:rFonts w:hint="eastAsia" w:ascii="Times New Roman" w:hAnsi="Times New Roman" w:cs="Times New Roman"/>
          <w:sz w:val="24"/>
          <w:szCs w:val="24"/>
          <w:lang w:val="en-GB"/>
        </w:rPr>
        <w:t>by</w:t>
      </w:r>
      <w:r>
        <w:rPr>
          <w:rFonts w:ascii="Times New Roman" w:hAnsi="Times New Roman" w:cs="Times New Roman"/>
          <w:sz w:val="24"/>
          <w:szCs w:val="24"/>
          <w:lang w:val="en-GB"/>
        </w:rPr>
        <w:t xml:space="preserve"> </w:t>
      </w:r>
      <w:r>
        <w:rPr>
          <w:rFonts w:hint="eastAsia" w:ascii="Times New Roman" w:hAnsi="Times New Roman" w:cs="Times New Roman"/>
          <w:sz w:val="24"/>
          <w:szCs w:val="24"/>
          <w:lang w:val="en-GB"/>
        </w:rPr>
        <w:t>Tesla</w:t>
      </w:r>
      <w:r>
        <w:rPr>
          <w:rFonts w:ascii="Times New Roman" w:hAnsi="Times New Roman" w:cs="Times New Roman"/>
          <w:sz w:val="24"/>
          <w:szCs w:val="24"/>
          <w:lang w:val="en-GB"/>
        </w:rPr>
        <w:t>. To this end, the VRIO model is applied here to make a comprehensive and fair evaluation of the competitive significance of the resources and strengths of Tesla through critical evaluation of Tesla’s resources and capabilities.</w:t>
      </w:r>
    </w:p>
    <w:p>
      <w:pPr>
        <w:spacing w:before="100" w:beforeAutospacing="1" w:after="100" w:afterAutospacing="1" w:line="360" w:lineRule="auto"/>
        <w:jc w:val="center"/>
        <w:rPr>
          <w:lang w:val="en-GB"/>
        </w:rPr>
      </w:pPr>
      <w:r>
        <w:rPr>
          <w:rFonts w:hint="eastAsia"/>
        </w:rPr>
        <w:drawing>
          <wp:inline distT="0" distB="0" distL="0" distR="0">
            <wp:extent cx="6188710" cy="1421130"/>
            <wp:effectExtent l="0" t="0" r="2540" b="762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a:xfrm>
                      <a:off x="0" y="0"/>
                      <a:ext cx="6188710" cy="1421648"/>
                    </a:xfrm>
                    <a:prstGeom prst="rect">
                      <a:avLst/>
                    </a:prstGeom>
                    <a:noFill/>
                    <a:ln>
                      <a:noFill/>
                    </a:ln>
                  </pic:spPr>
                </pic:pic>
              </a:graphicData>
            </a:graphic>
          </wp:inline>
        </w:drawing>
      </w:r>
    </w:p>
    <w:p>
      <w:pPr>
        <w:spacing w:before="100" w:beforeAutospacing="1" w:after="100" w:afterAutospacing="1" w:line="360" w:lineRule="auto"/>
        <w:jc w:val="center"/>
        <w:rPr>
          <w:rFonts w:ascii="Times New Roman" w:hAnsi="Times New Roman" w:cs="Times New Roman"/>
          <w:sz w:val="24"/>
          <w:szCs w:val="24"/>
          <w:lang w:val="en-GB"/>
        </w:rPr>
      </w:pPr>
      <w:r>
        <w:rPr>
          <w:rFonts w:hint="eastAsia" w:ascii="Times New Roman" w:hAnsi="Times New Roman" w:cs="Times New Roman"/>
          <w:sz w:val="24"/>
          <w:szCs w:val="24"/>
          <w:lang w:val="en-GB"/>
        </w:rPr>
        <w:t>Figure</w:t>
      </w:r>
      <w:r>
        <w:rPr>
          <w:rFonts w:ascii="Times New Roman" w:hAnsi="Times New Roman" w:cs="Times New Roman"/>
          <w:sz w:val="24"/>
          <w:szCs w:val="24"/>
          <w:lang w:val="en-GB"/>
        </w:rPr>
        <w:t xml:space="preserve"> </w:t>
      </w:r>
      <w:r>
        <w:rPr>
          <w:rFonts w:hint="eastAsia" w:ascii="Times New Roman" w:hAnsi="Times New Roman" w:cs="Times New Roman"/>
          <w:sz w:val="24"/>
          <w:szCs w:val="24"/>
          <w:lang w:val="en-GB"/>
        </w:rPr>
        <w:t>4.</w:t>
      </w:r>
      <w:r>
        <w:rPr>
          <w:rFonts w:ascii="Times New Roman" w:hAnsi="Times New Roman" w:cs="Times New Roman"/>
          <w:sz w:val="24"/>
          <w:szCs w:val="24"/>
          <w:lang w:val="en-GB"/>
        </w:rPr>
        <w:t xml:space="preserve"> </w:t>
      </w:r>
      <w:r>
        <w:rPr>
          <w:rFonts w:hint="eastAsia" w:ascii="Times New Roman" w:hAnsi="Times New Roman" w:cs="Times New Roman"/>
          <w:sz w:val="24"/>
          <w:szCs w:val="24"/>
          <w:lang w:val="en-GB"/>
        </w:rPr>
        <w:t xml:space="preserve">VRIO </w:t>
      </w:r>
      <w:r>
        <w:rPr>
          <w:rFonts w:ascii="Times New Roman" w:hAnsi="Times New Roman" w:cs="Times New Roman"/>
          <w:sz w:val="24"/>
          <w:szCs w:val="24"/>
          <w:lang w:val="en-GB"/>
        </w:rPr>
        <w:t>Analysis of Tesla (own analysis)</w:t>
      </w:r>
    </w:p>
    <w:p>
      <w:pPr>
        <w:pStyle w:val="3"/>
        <w:numPr>
          <w:ilvl w:val="1"/>
          <w:numId w:val="1"/>
        </w:numPr>
        <w:spacing w:before="100" w:beforeAutospacing="1" w:after="100" w:afterAutospacing="1" w:line="360" w:lineRule="auto"/>
        <w:jc w:val="both"/>
        <w:rPr>
          <w:lang w:val="en-GB"/>
        </w:rPr>
      </w:pPr>
      <w:bookmarkStart w:id="6" w:name="_Toc8393201"/>
      <w:r>
        <w:rPr>
          <w:lang w:val="en-GB"/>
        </w:rPr>
        <w:t>Recap of Situation Analysis – SWO</w:t>
      </w:r>
      <w:r>
        <w:rPr>
          <w:rFonts w:hint="eastAsia"/>
          <w:lang w:val="en-GB"/>
        </w:rPr>
        <w:t>T</w:t>
      </w:r>
      <w:bookmarkEnd w:id="6"/>
    </w:p>
    <w:p>
      <w:pPr>
        <w:jc w:val="center"/>
      </w:pPr>
      <w:r>
        <w:rPr>
          <w:rFonts w:hint="eastAsia"/>
        </w:rPr>
        <w:drawing>
          <wp:inline distT="0" distB="0" distL="0" distR="0">
            <wp:extent cx="5344795" cy="7482840"/>
            <wp:effectExtent l="0" t="0" r="8255" b="381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a:xfrm>
                      <a:off x="0" y="0"/>
                      <a:ext cx="5355204" cy="7497288"/>
                    </a:xfrm>
                    <a:prstGeom prst="rect">
                      <a:avLst/>
                    </a:prstGeom>
                    <a:noFill/>
                    <a:ln>
                      <a:noFill/>
                    </a:ln>
                  </pic:spPr>
                </pic:pic>
              </a:graphicData>
            </a:graphic>
          </wp:inline>
        </w:drawing>
      </w:r>
    </w:p>
    <w:p>
      <w:pPr>
        <w:spacing w:before="100" w:beforeAutospacing="1" w:after="100" w:afterAutospacing="1" w:line="360" w:lineRule="auto"/>
        <w:jc w:val="center"/>
        <w:rPr>
          <w:rFonts w:ascii="Times New Roman" w:hAnsi="Times New Roman" w:cs="Times New Roman"/>
          <w:sz w:val="24"/>
          <w:szCs w:val="24"/>
          <w:lang w:val="en-GB"/>
        </w:rPr>
      </w:pPr>
      <w:r>
        <w:rPr>
          <w:rFonts w:hint="eastAsia" w:ascii="Times New Roman" w:hAnsi="Times New Roman" w:cs="Times New Roman"/>
          <w:sz w:val="24"/>
          <w:szCs w:val="24"/>
          <w:lang w:val="en-GB"/>
        </w:rPr>
        <w:t>F</w:t>
      </w:r>
      <w:r>
        <w:rPr>
          <w:rFonts w:ascii="Times New Roman" w:hAnsi="Times New Roman" w:cs="Times New Roman"/>
          <w:sz w:val="24"/>
          <w:szCs w:val="24"/>
          <w:lang w:val="en-GB"/>
        </w:rPr>
        <w:t xml:space="preserve">igure 5. the SWOT Analysis of </w:t>
      </w:r>
      <w:r>
        <w:rPr>
          <w:rFonts w:hint="eastAsia" w:ascii="Times New Roman" w:hAnsi="Times New Roman" w:cs="Times New Roman"/>
          <w:sz w:val="24"/>
          <w:szCs w:val="24"/>
          <w:lang w:val="en-GB"/>
        </w:rPr>
        <w:t>Tesla</w:t>
      </w:r>
      <w:r>
        <w:rPr>
          <w:rFonts w:ascii="Times New Roman" w:hAnsi="Times New Roman" w:cs="Times New Roman"/>
          <w:sz w:val="24"/>
          <w:szCs w:val="24"/>
          <w:lang w:val="en-GB"/>
        </w:rPr>
        <w:t xml:space="preserve"> </w:t>
      </w:r>
      <w:r>
        <w:rPr>
          <w:rFonts w:hint="eastAsia" w:ascii="Times New Roman" w:hAnsi="Times New Roman" w:cs="Times New Roman"/>
          <w:sz w:val="24"/>
          <w:szCs w:val="24"/>
          <w:lang w:val="en-GB"/>
        </w:rPr>
        <w:t>(</w:t>
      </w:r>
      <w:r>
        <w:rPr>
          <w:rFonts w:ascii="Times New Roman" w:hAnsi="Times New Roman" w:cs="Times New Roman"/>
          <w:sz w:val="24"/>
          <w:szCs w:val="24"/>
          <w:lang w:val="en-GB"/>
        </w:rPr>
        <w:t>own analysis)</w:t>
      </w:r>
    </w:p>
    <w:p>
      <w:pPr>
        <w:pStyle w:val="2"/>
        <w:numPr>
          <w:ilvl w:val="0"/>
          <w:numId w:val="1"/>
        </w:numPr>
        <w:spacing w:before="100" w:beforeAutospacing="1" w:after="100" w:afterAutospacing="1" w:line="360" w:lineRule="auto"/>
        <w:jc w:val="both"/>
        <w:rPr>
          <w:lang w:val="en-GB"/>
        </w:rPr>
      </w:pPr>
      <w:bookmarkStart w:id="7" w:name="_Toc8393202"/>
      <w:r>
        <w:rPr>
          <w:lang w:val="en-GB"/>
        </w:rPr>
        <w:t>Strategic Intent of Tesla in China</w:t>
      </w:r>
      <w:bookmarkEnd w:id="7"/>
    </w:p>
    <w:p>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Based on the result of situation analysis, China’s electric vehicle market is a market with massive potentialities. The favourable microenvironment, the overall moderate competition of the Chinese market, and the cutting-edge resources and capabilities indicate that the strategic intent of Tesla in China must focus on promoting market penetration.</w:t>
      </w:r>
    </w:p>
    <w:p>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October 2018, Tesla announced that it had acquired nearly 1,300 acres of land in Shanghai's Lingang area for 970 million CNY to construct a Gigafactory 3 with the functions of R&amp;D, manufacturing and distribution to localize Tesla for Chinese Market </w:t>
      </w:r>
      <w:r>
        <w:rPr>
          <w:rFonts w:ascii="Times New Roman" w:hAnsi="Times New Roman" w:cs="Times New Roman"/>
          <w:sz w:val="24"/>
          <w:szCs w:val="24"/>
          <w:lang w:val="en-GB"/>
        </w:rPr>
        <w:fldChar w:fldCharType="begin" w:fldLock="1"/>
      </w:r>
      <w:r>
        <w:rPr>
          <w:rFonts w:ascii="Times New Roman" w:hAnsi="Times New Roman" w:cs="Times New Roman"/>
          <w:sz w:val="24"/>
          <w:szCs w:val="24"/>
          <w:lang w:val="en-GB"/>
        </w:rPr>
        <w:instrText xml:space="preserve">ADDIN CSL_CITATION {"citationItems":[{"id":"ITEM-1","itemData":{"URL":"https://qz.com/1602033/photos-a-tesla-gigafactory-rises-in-shanghai/","accessed":{"date-parts":[["2019","5","9"]]},"author":[{"dropping-particle":"","family":"QUARTZ","given":"","non-dropping-particle":"","parse-names":false,"suffix":""}],"id":"ITEM-1","issued":{"date-parts":[["2019"]]},"title":"Photos: A Tesla Gigafactory rises in Shanghai — Quartz","type":"webpage"},"uris":["http://www.mendeley.com/documents/?uuid=b0f19e77-22c6-3f37-ab4d-12f39ebf61d8"]}],"mendeley":{"formattedCitation":"(QUARTZ, 2019)","plainTextFormattedCitation":"(QUARTZ, 2019)","previouslyFormattedCitation":"(QUARTZ, 2019)"},"properties":{"noteIndex":0},"schema":"https://github.com/citation-style-language/schema/raw/master/csl-citation.json"}</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(QUARTZ, 2019)</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t xml:space="preserve">. The plant anticipates a production capacity of 500,000 pure electric vehicles per year and will produce cheaper models such as Model 3 and Model Y particular for Chinese customers </w:t>
      </w:r>
      <w:r>
        <w:rPr>
          <w:rFonts w:ascii="Times New Roman" w:hAnsi="Times New Roman" w:cs="Times New Roman"/>
          <w:sz w:val="24"/>
          <w:szCs w:val="24"/>
          <w:lang w:val="en-GB"/>
        </w:rPr>
        <w:fldChar w:fldCharType="begin" w:fldLock="1"/>
      </w:r>
      <w:r>
        <w:rPr>
          <w:rFonts w:ascii="Times New Roman" w:hAnsi="Times New Roman" w:cs="Times New Roman"/>
          <w:sz w:val="24"/>
          <w:szCs w:val="24"/>
          <w:lang w:val="en-GB"/>
        </w:rPr>
        <w:instrText xml:space="preserve">ADDIN CSL_CITATION {"citationItems":[{"id":"ITEM-1","itemData":{"URL":"https://www.reuters.com/article/us-china-parliament-tesla/teslas-shanghai-assembly-plant-to-be-completed-in-may-government-official-idUSKCN1QN0XY","accessed":{"date-parts":[["2019","5","9"]]},"author":[{"dropping-particle":"","family":"Reuters","given":"","non-dropping-particle":"","parse-names":false,"suffix":""}],"id":"ITEM-1","issued":{"date-parts":[["2019"]]},"title":"Tesla's Shanghai assembly plant to be completed in May: government official - Reuters","type":"webpage"},"uris":["http://www.mendeley.com/documents/?uuid=d5a6312e-b6f8-385d-8b51-0f106867f3ae"]}],"mendeley":{"formattedCitation":"(Reuters, 2019)","plainTextFormattedCitation":"(Reuters, 2019)","previouslyFormattedCitation":"(Reuters, 2019)"},"properties":{"noteIndex":0},"schema":"https://github.com/citation-style-language/schema/raw/master/csl-citation.json"}</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(Reuters, 2019)</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t>. The Shanghai Tesla Super Factory will be completed in September this year. The more affordable Model 3 and model Y will stimulate the new demand of the Chinese market.</w:t>
      </w:r>
    </w:p>
    <w:p>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 overall, it is foreseeable that Tesla will invest more and more strategic resources in China, make the full use of China’s most efficient production capacity and market potential to increase the market share of Tesla rapidly.</w:t>
      </w:r>
    </w:p>
    <w:p>
      <w:pPr>
        <w:pStyle w:val="2"/>
        <w:numPr>
          <w:ilvl w:val="0"/>
          <w:numId w:val="1"/>
        </w:numPr>
        <w:spacing w:before="100" w:beforeAutospacing="1" w:after="100" w:afterAutospacing="1" w:line="360" w:lineRule="auto"/>
        <w:jc w:val="both"/>
        <w:rPr>
          <w:lang w:val="en-GB"/>
        </w:rPr>
      </w:pPr>
      <w:bookmarkStart w:id="8" w:name="_Toc8393203"/>
      <w:r>
        <w:rPr>
          <w:rFonts w:hint="eastAsia"/>
          <w:lang w:val="en-GB"/>
        </w:rPr>
        <w:t>S</w:t>
      </w:r>
      <w:r>
        <w:rPr>
          <w:lang w:val="en-GB"/>
        </w:rPr>
        <w:t>egmentation, Targeting, and Positioning</w:t>
      </w:r>
      <w:bookmarkEnd w:id="8"/>
    </w:p>
    <w:p>
      <w:pPr>
        <w:spacing w:before="100" w:beforeAutospacing="1" w:after="100" w:afterAutospacing="1" w:line="360" w:lineRule="auto"/>
        <w:jc w:val="both"/>
        <w:rPr>
          <w:b/>
          <w:bCs/>
        </w:rPr>
      </w:pPr>
      <w:r>
        <w:rPr>
          <w:rStyle w:val="21"/>
        </w:rPr>
        <w:t>Segmentation</w:t>
      </w:r>
      <w:r>
        <w:rPr>
          <w:rStyle w:val="21"/>
          <w:rFonts w:hint="eastAsia"/>
        </w:rPr>
        <w:t>:</w:t>
      </w:r>
      <w:r>
        <w:rPr>
          <w:rStyle w:val="21"/>
        </w:rPr>
        <w:t xml:space="preserve"> </w:t>
      </w:r>
      <w:r>
        <w:rPr>
          <w:rFonts w:ascii="Times New Roman" w:hAnsi="Times New Roman" w:cs="Times New Roman"/>
          <w:sz w:val="24"/>
          <w:szCs w:val="24"/>
          <w:lang w:val="en-GB"/>
        </w:rPr>
        <w:t xml:space="preserve">The automotive market can be generally segmented according to different segmentation criteria, such as the function, price range, consumer group, and automobile types. Each auto manufacturer often segments the whole market and develop corresponding marketing strategies according to its own brand orientation and technology orientation. Different from the traditional mature automobile market, regional economic development is still unbalanced due to the vast territory of China. While the market difference between different regions is enormous, and the consumption views of the southern and northern markets with different cultural backgrounds are not the same. Consumers in the first-tier cities have long been exposed to the automobile culture </w:t>
      </w:r>
      <w:r>
        <w:rPr>
          <w:rFonts w:ascii="Times New Roman" w:hAnsi="Times New Roman" w:cs="Times New Roman"/>
          <w:sz w:val="24"/>
          <w:szCs w:val="24"/>
          <w:lang w:val="en-GB"/>
        </w:rPr>
        <w:fldChar w:fldCharType="begin" w:fldLock="1"/>
      </w:r>
      <w:r>
        <w:rPr>
          <w:rFonts w:ascii="Times New Roman" w:hAnsi="Times New Roman" w:cs="Times New Roman"/>
          <w:sz w:val="24"/>
          <w:szCs w:val="24"/>
          <w:lang w:val="en-GB"/>
        </w:rPr>
        <w:instrText xml:space="preserve">ADDIN CSL_CITATION {"citationItems":[{"id":"ITEM-1","itemData":{"ISSN":"1809-2039","author":[{"dropping-particle":"","family":"Masiero","given":"Gilmar","non-dropping-particle":"","parse-names":false,"suffix":""},{"dropping-particle":"","family":"Ogasavara","given":"Mario Henrique","non-dropping-particle":"","parse-names":false,"suffix":""},{"dropping-particle":"","family":"Jussani","given":"Ailton Conde","non-dropping-particle":"","parse-names":false,"suffix":""},{"dropping-particle":"","family":"Risso","given":"Marcelo Luiz","non-dropping-particle":"","parse-names":false,"suffix":""}],"container-title":"RAI Revista de Administra  o e Inova  o","id":"ITEM-1","issue":"1","issued":{"date-parts":[["2016"]]},"page":"3-11","publisher":"Elsevier","title":"Electric vehicles in China: BYD strategies and government subsidies","type":"article-journal","volume":"13"},"uris":["http://www.mendeley.com/documents/?uuid=9c1708fc-b683-4683-a969-07e6963f7681"]}],"mendeley":{"formattedCitation":"(Masiero &lt;i&gt;et al.&lt;/i&gt;, 2016)","plainTextFormattedCitation":"(Masiero et al., 2016)","previouslyFormattedCitation":"(Masiero &lt;i&gt;et al.&lt;/i&gt;, 2016)"},"properties":{"noteIndex":0},"schema":"https://github.com/citation-style-language/schema/raw/master/csl-citation.json"}</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 xml:space="preserve">(Masiero </w:t>
      </w:r>
      <w:r>
        <w:rPr>
          <w:rFonts w:ascii="Times New Roman" w:hAnsi="Times New Roman" w:cs="Times New Roman"/>
          <w:i/>
          <w:sz w:val="24"/>
          <w:szCs w:val="24"/>
          <w:lang w:val="en-GB"/>
        </w:rPr>
        <w:t>et al.</w:t>
      </w:r>
      <w:r>
        <w:rPr>
          <w:rFonts w:ascii="Times New Roman" w:hAnsi="Times New Roman" w:cs="Times New Roman"/>
          <w:sz w:val="24"/>
          <w:szCs w:val="24"/>
          <w:lang w:val="en-GB"/>
        </w:rPr>
        <w:t>, 2016)</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t>. Their concept of automobile consumption is relatively mature and optimistic about new energy vehicles. Tesla has addressed their demands in the environmental protection and travel needs of big cities. At the same time, Tesla's exquisite and trendy design will attract young consumers in these developed cities.</w:t>
      </w:r>
    </w:p>
    <w:p>
      <w:pPr>
        <w:spacing w:before="100" w:beforeAutospacing="1" w:after="100" w:afterAutospacing="1" w:line="360" w:lineRule="auto"/>
        <w:jc w:val="both"/>
        <w:rPr>
          <w:b/>
          <w:bCs/>
        </w:rPr>
      </w:pPr>
      <w:r>
        <w:rPr>
          <w:rStyle w:val="21"/>
        </w:rPr>
        <w:t>Targeting</w:t>
      </w:r>
      <w:r>
        <w:rPr>
          <w:rStyle w:val="21"/>
          <w:rFonts w:hint="eastAsia"/>
        </w:rPr>
        <w:t>:</w:t>
      </w:r>
      <w:r>
        <w:rPr>
          <w:rStyle w:val="21"/>
        </w:rPr>
        <w:t xml:space="preserve"> </w:t>
      </w:r>
      <w:r>
        <w:rPr>
          <w:rFonts w:ascii="Times New Roman" w:hAnsi="Times New Roman" w:cs="Times New Roman"/>
          <w:sz w:val="24"/>
          <w:szCs w:val="24"/>
          <w:lang w:val="en-GB"/>
        </w:rPr>
        <w:t>Based on the results of market segmentation, the major target consumer groups of Tesla can be categories into followings:</w:t>
      </w:r>
    </w:p>
    <w:p>
      <w:pPr>
        <w:pStyle w:val="49"/>
        <w:numPr>
          <w:ilvl w:val="0"/>
          <w:numId w:val="2"/>
        </w:numPr>
        <w:spacing w:before="100" w:beforeAutospacing="1" w:after="100" w:afterAutospacing="1" w:line="360" w:lineRule="auto"/>
        <w:ind w:firstLineChars="0"/>
        <w:jc w:val="both"/>
        <w:rPr>
          <w:rFonts w:ascii="Times New Roman" w:hAnsi="Times New Roman" w:cs="Times New Roman"/>
          <w:sz w:val="24"/>
          <w:szCs w:val="24"/>
          <w:lang w:val="en-GB"/>
        </w:rPr>
      </w:pPr>
      <w:r>
        <w:rPr>
          <w:rFonts w:ascii="Times New Roman" w:hAnsi="Times New Roman" w:cs="Times New Roman"/>
          <w:sz w:val="24"/>
          <w:szCs w:val="24"/>
          <w:lang w:val="en-GB"/>
        </w:rPr>
        <w:t>Regarding regions, focus on the first tier developed cities in China and expanding gradually to the second and third-tier cities.</w:t>
      </w:r>
    </w:p>
    <w:p>
      <w:pPr>
        <w:pStyle w:val="49"/>
        <w:numPr>
          <w:ilvl w:val="0"/>
          <w:numId w:val="2"/>
        </w:numPr>
        <w:spacing w:before="100" w:beforeAutospacing="1" w:after="100" w:afterAutospacing="1" w:line="360" w:lineRule="auto"/>
        <w:ind w:firstLineChars="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Regarding demographics, focus on highly educated people with fixed incomes </w:t>
      </w:r>
    </w:p>
    <w:p>
      <w:pPr>
        <w:pStyle w:val="49"/>
        <w:numPr>
          <w:ilvl w:val="0"/>
          <w:numId w:val="2"/>
        </w:numPr>
        <w:spacing w:before="100" w:beforeAutospacing="1" w:after="100" w:afterAutospacing="1" w:line="360" w:lineRule="auto"/>
        <w:ind w:firstLineChars="0"/>
        <w:jc w:val="both"/>
        <w:rPr>
          <w:rFonts w:ascii="Times New Roman" w:hAnsi="Times New Roman" w:cs="Times New Roman"/>
          <w:sz w:val="24"/>
          <w:szCs w:val="24"/>
          <w:lang w:val="en-GB"/>
        </w:rPr>
      </w:pPr>
      <w:r>
        <w:rPr>
          <w:rFonts w:ascii="Times New Roman" w:hAnsi="Times New Roman" w:cs="Times New Roman"/>
          <w:sz w:val="24"/>
          <w:szCs w:val="24"/>
          <w:lang w:val="en-GB"/>
        </w:rPr>
        <w:t>Regarding consumption behaviours, focus on young people who pursue individuality</w:t>
      </w:r>
    </w:p>
    <w:p>
      <w:pPr>
        <w:spacing w:before="100" w:beforeAutospacing="1" w:after="100" w:afterAutospacing="1" w:line="360" w:lineRule="auto"/>
        <w:jc w:val="both"/>
        <w:rPr>
          <w:rFonts w:ascii="Times New Roman" w:hAnsi="Times New Roman" w:cs="Times New Roman"/>
          <w:sz w:val="24"/>
          <w:szCs w:val="24"/>
          <w:lang w:val="en-GB"/>
        </w:rPr>
      </w:pPr>
      <w:r>
        <w:rPr>
          <w:b/>
          <w:lang w:val="en-GB"/>
        </w:rPr>
        <w:t xml:space="preserve">Positioning: </w:t>
      </w:r>
      <w:r>
        <w:rPr>
          <w:rFonts w:ascii="Times New Roman" w:hAnsi="Times New Roman" w:cs="Times New Roman"/>
          <w:sz w:val="24"/>
          <w:szCs w:val="24"/>
          <w:lang w:val="en-GB"/>
        </w:rPr>
        <w:t>Tesla uses purely electric technology rather than other hybrids and plug-in hybrids on the market. Under the situation that the fog and exhaust pollution in major cities are getting more and more serious in China, the zero-emissions of Tesla's vehicles can just alleviate this environmental crisis. R</w:t>
      </w:r>
      <w:r>
        <w:rPr>
          <w:rFonts w:hint="eastAsia" w:ascii="Times New Roman" w:hAnsi="Times New Roman" w:cs="Times New Roman"/>
          <w:sz w:val="24"/>
          <w:szCs w:val="24"/>
          <w:lang w:val="en-GB"/>
        </w:rPr>
        <w:t>ather</w:t>
      </w:r>
      <w:r>
        <w:rPr>
          <w:rFonts w:ascii="Times New Roman" w:hAnsi="Times New Roman" w:cs="Times New Roman"/>
          <w:sz w:val="24"/>
          <w:szCs w:val="24"/>
          <w:lang w:val="en-GB"/>
        </w:rPr>
        <w:t xml:space="preserve"> </w:t>
      </w:r>
      <w:r>
        <w:rPr>
          <w:rFonts w:hint="eastAsia" w:ascii="Times New Roman" w:hAnsi="Times New Roman" w:cs="Times New Roman"/>
          <w:sz w:val="24"/>
          <w:szCs w:val="24"/>
          <w:lang w:val="en-GB"/>
        </w:rPr>
        <w:t>than</w:t>
      </w:r>
      <w:r>
        <w:rPr>
          <w:rFonts w:ascii="Times New Roman" w:hAnsi="Times New Roman" w:cs="Times New Roman"/>
          <w:sz w:val="24"/>
          <w:szCs w:val="24"/>
          <w:lang w:val="en-GB"/>
        </w:rPr>
        <w:t xml:space="preserve"> an automobile manufacturer, Tesla regards itself as a technology company striving to combine the most advanced technologies in its products and services.</w:t>
      </w:r>
      <w:r>
        <w:rPr>
          <w:rFonts w:hint="eastAsia" w:ascii="Times New Roman" w:hAnsi="Times New Roman" w:cs="Times New Roman"/>
          <w:sz w:val="24"/>
          <w:szCs w:val="24"/>
          <w:lang w:val="en-GB"/>
        </w:rPr>
        <w:t xml:space="preserve"> </w:t>
      </w:r>
      <w:r>
        <w:rPr>
          <w:rFonts w:ascii="Times New Roman" w:hAnsi="Times New Roman" w:cs="Times New Roman"/>
          <w:sz w:val="24"/>
          <w:szCs w:val="24"/>
          <w:lang w:val="en-GB"/>
        </w:rPr>
        <w:t>This kind of technology genet rooted in Tesla distinguish it from others within the crowded automobile market. Tesla has become the benchmark for the mutual integration and integration of electric vehicles and other technologies.</w:t>
      </w:r>
      <w:r>
        <w:rPr>
          <w:rFonts w:hint="eastAsia" w:ascii="Times New Roman" w:hAnsi="Times New Roman" w:cs="Times New Roman"/>
          <w:sz w:val="24"/>
          <w:szCs w:val="24"/>
          <w:lang w:val="en-GB"/>
        </w:rPr>
        <w:t> </w:t>
      </w:r>
      <w:r>
        <w:rPr>
          <w:rFonts w:ascii="Times New Roman" w:hAnsi="Times New Roman" w:cs="Times New Roman"/>
          <w:sz w:val="24"/>
          <w:szCs w:val="24"/>
          <w:lang w:val="en-GB"/>
        </w:rPr>
        <w:t>In summary, Tesla Motors' positioning in the Chinese automotive market should be an advanced automobile brand that meets Chinese demands of young consumer with environmentally friendly technology, superior performance, and ambitious innovation.</w:t>
      </w:r>
    </w:p>
    <w:p>
      <w:pPr>
        <w:pStyle w:val="2"/>
        <w:numPr>
          <w:ilvl w:val="0"/>
          <w:numId w:val="1"/>
        </w:numPr>
        <w:spacing w:before="100" w:beforeAutospacing="1" w:after="100" w:afterAutospacing="1" w:line="360" w:lineRule="auto"/>
        <w:jc w:val="both"/>
        <w:rPr>
          <w:lang w:val="en-GB"/>
        </w:rPr>
      </w:pPr>
      <w:bookmarkStart w:id="9" w:name="_Toc8393204"/>
      <w:r>
        <w:rPr>
          <w:lang w:val="en-GB"/>
        </w:rPr>
        <w:t>Strategy Formulation</w:t>
      </w:r>
      <w:bookmarkEnd w:id="9"/>
    </w:p>
    <w:p>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market penetration is used by Tesla as its primary strategy in China, with product development as a secondary strategy. Tesla's annual report shows that sales in China in the year of 2018 were 1.757 billion US dollars, declined 15.4% from 201 </w:t>
      </w:r>
      <w:r>
        <w:rPr>
          <w:rFonts w:ascii="Times New Roman" w:hAnsi="Times New Roman" w:cs="Times New Roman"/>
          <w:sz w:val="24"/>
          <w:szCs w:val="24"/>
          <w:lang w:val="en-GB"/>
        </w:rPr>
        <w:fldChar w:fldCharType="begin" w:fldLock="1"/>
      </w:r>
      <w:r>
        <w:rPr>
          <w:rFonts w:ascii="Times New Roman" w:hAnsi="Times New Roman" w:cs="Times New Roman"/>
          <w:sz w:val="24"/>
          <w:szCs w:val="24"/>
          <w:lang w:val="en-GB"/>
        </w:rPr>
        <w:instrText xml:space="preserve">ADDIN CSL_CITATION {"citationItems":[{"id":"ITEM-1","itemData":{"URL":"https://qz.com/1554631/teslas-china-revenue-dropped-amid-the-us-china-trade-war/","accessed":{"date-parts":[["2019","5","9"]]},"author":[{"dropping-particle":"","family":"Quartz","given":"","non-dropping-particle":"","parse-names":false,"suffix":""}],"id":"ITEM-1","issued":{"date-parts":[["2019"]]},"title":"Tesla’s China revenue dropped amid the US-China trade war — Quartz","type":"webpage"},"uris":["http://www.mendeley.com/documents/?uuid=9e1ab24e-5811-3827-b509-006e91bbc421"]}],"mendeley":{"formattedCitation":"(Quartz, 2019)","plainTextFormattedCitation":"(Quartz, 2019)","previouslyFormattedCitation":"(Quartz, 2019)"},"properties":{"noteIndex":0},"schema":"https://github.com/citation-style-language/schema/raw/master/csl-citation.json"}</w:instrText>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(Quartz, 2019)</w:t>
      </w:r>
      <w:r>
        <w:rPr>
          <w:rFonts w:ascii="Times New Roman" w:hAnsi="Times New Roman" w:cs="Times New Roman"/>
          <w:sz w:val="24"/>
          <w:szCs w:val="24"/>
          <w:lang w:val="en-GB"/>
        </w:rPr>
        <w:fldChar w:fldCharType="end"/>
      </w:r>
      <w:r>
        <w:rPr>
          <w:rFonts w:ascii="Times New Roman" w:hAnsi="Times New Roman" w:cs="Times New Roman"/>
          <w:sz w:val="24"/>
          <w:szCs w:val="24"/>
          <w:lang w:val="en-GB"/>
        </w:rPr>
        <w:t>. The proportion of business revenue in China is also dropped from 17 % in 2017 to 8% in 2018. Thus, in order to seize the opportunities in the Chinese market, furtherly penetrate into the developed cities will be urgent for Tesla to snatch market share. The realization of market penetration will be completed by its secondary strategy in product development. in order to increase the affordability and leverage the production capacity, the Gigafactory 3 has been on construction. The establishment of a new factory will enable Tesla to roll out cheaper models with higher affordability to stimulate the demand of Chinese consumers. The strategy of Tesla fulfills the criteria of suitability, feasibility, acceptability, and sustainability based on the analysis on the situation; the formulate of strategic intent and STP.</w:t>
      </w:r>
    </w:p>
    <w:p>
      <w:pPr>
        <w:pStyle w:val="2"/>
        <w:numPr>
          <w:ilvl w:val="0"/>
          <w:numId w:val="1"/>
        </w:numPr>
        <w:spacing w:before="100" w:beforeAutospacing="1" w:after="100" w:afterAutospacing="1" w:line="360" w:lineRule="auto"/>
        <w:jc w:val="both"/>
        <w:rPr>
          <w:lang w:val="en-GB"/>
        </w:rPr>
      </w:pPr>
      <w:bookmarkStart w:id="10" w:name="_Toc8393205"/>
      <w:r>
        <w:rPr>
          <w:lang w:val="en-GB"/>
        </w:rPr>
        <w:t>Tactics</w:t>
      </w:r>
      <w:bookmarkEnd w:id="10"/>
    </w:p>
    <w:p>
      <w:pPr>
        <w:spacing w:before="100" w:beforeAutospacing="1" w:after="100" w:afterAutospacing="1" w:line="360" w:lineRule="auto"/>
        <w:jc w:val="both"/>
        <w:rPr>
          <w:rFonts w:ascii="Times New Roman" w:hAnsi="Times New Roman" w:cs="Times New Roman"/>
          <w:sz w:val="24"/>
          <w:szCs w:val="24"/>
          <w:lang w:val="en-GB"/>
        </w:rPr>
      </w:pPr>
      <w:r>
        <w:rPr>
          <w:rFonts w:hint="eastAsia"/>
          <w:b/>
          <w:lang w:val="en-GB"/>
        </w:rPr>
        <w:t>Product：</w:t>
      </w:r>
      <w:r>
        <w:rPr>
          <w:rFonts w:ascii="Times New Roman" w:hAnsi="Times New Roman" w:cs="Times New Roman"/>
          <w:sz w:val="24"/>
          <w:szCs w:val="24"/>
          <w:lang w:val="en-GB"/>
        </w:rPr>
        <w:t>Tesla only offers limited models for electric cars. Although the establishment of Gigafactory 3 in Shanghai will result in cheaper model 3 and specialized model Y more Chinese people, the portfolio of Tesla is still so rigid. Thus, if Tesla wants to penetrate into the Chinese market furtherly, it should launch a broader product line to meet the differentiated product needs of consumers. Meanwhile, the SWOT analysis reveals that unstable battery performance and inadequate charger infrastructure are the primary weakness of Tesla in China. Thus, the continuous efforts in promoting battery performance and perfecting charger infrastructure matter a lot for its development in China in the long-term.</w:t>
      </w:r>
    </w:p>
    <w:p>
      <w:pPr>
        <w:spacing w:before="100" w:beforeAutospacing="1" w:after="100" w:afterAutospacing="1" w:line="360" w:lineRule="auto"/>
        <w:jc w:val="both"/>
        <w:rPr>
          <w:rFonts w:ascii="Times New Roman" w:hAnsi="Times New Roman" w:cs="Times New Roman"/>
          <w:sz w:val="24"/>
          <w:szCs w:val="24"/>
          <w:lang w:val="en-GB"/>
        </w:rPr>
      </w:pPr>
      <w:r>
        <w:rPr>
          <w:rFonts w:hint="eastAsia"/>
          <w:b/>
          <w:lang w:val="en-GB"/>
        </w:rPr>
        <w:t>P</w:t>
      </w:r>
      <w:r>
        <w:rPr>
          <w:b/>
          <w:lang w:val="en-GB"/>
        </w:rPr>
        <w:t>rice:</w:t>
      </w:r>
      <w:r>
        <w:rPr>
          <w:rFonts w:hint="eastAsia"/>
          <w:b/>
          <w:lang w:val="en-GB"/>
        </w:rPr>
        <w:t xml:space="preserve"> </w:t>
      </w:r>
      <w:r>
        <w:rPr>
          <w:rFonts w:ascii="Times New Roman" w:hAnsi="Times New Roman" w:cs="Times New Roman"/>
          <w:sz w:val="24"/>
          <w:szCs w:val="24"/>
          <w:lang w:val="en-GB"/>
        </w:rPr>
        <w:t>the pricing strategy of Tesla’s vehicles are the same across different markets with the aim to offer reasonable, fair and transparent prices to consumers. Since its market expansion into the Chinese market in 2014, Tesla has applied the pricing strategy different from other manufacturers in the Chinese market by match the pre-tax prices of automobiles with pre-tax prices of other markets. After getting rid of the dependence on exports due to the establishment of Gigafactory in S</w:t>
      </w:r>
      <w:r>
        <w:rPr>
          <w:rFonts w:hint="eastAsia" w:ascii="Times New Roman" w:hAnsi="Times New Roman" w:cs="Times New Roman"/>
          <w:sz w:val="24"/>
          <w:szCs w:val="24"/>
          <w:lang w:val="en-GB"/>
        </w:rPr>
        <w:t>hanghai</w:t>
      </w:r>
      <w:r>
        <w:rPr>
          <w:rFonts w:ascii="Times New Roman" w:hAnsi="Times New Roman" w:cs="Times New Roman"/>
          <w:sz w:val="24"/>
          <w:szCs w:val="24"/>
          <w:lang w:val="en-GB"/>
        </w:rPr>
        <w:t>, it is gradually lowering prices will bring more growth to Tesla.</w:t>
      </w:r>
    </w:p>
    <w:p>
      <w:pPr>
        <w:spacing w:before="100" w:beforeAutospacing="1" w:after="100" w:afterAutospacing="1" w:line="360" w:lineRule="auto"/>
        <w:jc w:val="both"/>
        <w:rPr>
          <w:rFonts w:ascii="Times New Roman" w:hAnsi="Times New Roman" w:cs="Times New Roman"/>
          <w:sz w:val="24"/>
          <w:szCs w:val="24"/>
          <w:lang w:val="en-GB"/>
        </w:rPr>
      </w:pPr>
      <w:r>
        <w:rPr>
          <w:rFonts w:hint="eastAsia"/>
          <w:b/>
          <w:lang w:val="en-GB"/>
        </w:rPr>
        <w:t>Place</w:t>
      </w:r>
      <w:r>
        <w:rPr>
          <w:b/>
          <w:lang w:val="en-GB"/>
        </w:rPr>
        <w:t>:</w:t>
      </w:r>
      <w:r>
        <w:rPr>
          <w:rFonts w:ascii="Times New Roman" w:hAnsi="Times New Roman" w:cs="Times New Roman"/>
          <w:sz w:val="24"/>
          <w:szCs w:val="24"/>
          <w:lang w:val="en-GB"/>
        </w:rPr>
        <w:t xml:space="preserve"> Dealership is a common approached applied by international automobile manufacturers who operate in China. The VRIO model has identified the direct sale as its one of temporary competitive advantage. Tesla should also get rid of the traditional dealerships and establish its own stores in China. the direct sale mode, both online an offline, will deliver unique experiences during the process of purchase. Additionally, the direct sale mode will lower the cost of transportation and the cost of after-sale services.</w:t>
      </w:r>
    </w:p>
    <w:p>
      <w:pPr>
        <w:spacing w:before="100" w:beforeAutospacing="1" w:after="100" w:afterAutospacing="1" w:line="360" w:lineRule="auto"/>
        <w:jc w:val="both"/>
        <w:rPr>
          <w:rFonts w:ascii="Times New Roman" w:hAnsi="Times New Roman" w:cs="Times New Roman"/>
          <w:sz w:val="24"/>
          <w:szCs w:val="24"/>
          <w:lang w:val="en-GB"/>
        </w:rPr>
      </w:pPr>
      <w:r>
        <w:rPr>
          <w:rFonts w:hint="eastAsia"/>
          <w:b/>
          <w:lang w:val="en-GB"/>
        </w:rPr>
        <w:t>P</w:t>
      </w:r>
      <w:r>
        <w:rPr>
          <w:b/>
          <w:lang w:val="en-GB"/>
        </w:rPr>
        <w:t xml:space="preserve">romotion: </w:t>
      </w:r>
      <w:r>
        <w:rPr>
          <w:rFonts w:ascii="Times New Roman" w:hAnsi="Times New Roman" w:cs="Times New Roman"/>
          <w:sz w:val="24"/>
          <w:szCs w:val="24"/>
          <w:lang w:val="en-GB"/>
        </w:rPr>
        <w:t xml:space="preserve">In order to attract potential consumers to switch to Tesla's models or to encourage the old existing consumers to speed up the frequency of vehicle renewals, some old-for-new, old-fashioned discounts can be introduced into new vehicles, including the discount of old Tesla owners. The </w:t>
      </w:r>
      <w:r>
        <w:rPr>
          <w:rFonts w:hint="eastAsia" w:ascii="Times New Roman" w:hAnsi="Times New Roman" w:cs="Times New Roman"/>
          <w:sz w:val="24"/>
          <w:szCs w:val="24"/>
          <w:lang w:val="en-GB"/>
        </w:rPr>
        <w:t>promotion</w:t>
      </w:r>
      <w:r>
        <w:rPr>
          <w:rFonts w:ascii="Times New Roman" w:hAnsi="Times New Roman" w:cs="Times New Roman"/>
          <w:sz w:val="24"/>
          <w:szCs w:val="24"/>
          <w:lang w:val="en-GB"/>
        </w:rPr>
        <w:t xml:space="preserve"> is more conducive to maintaining the goodwill and loyalty of the Tesla </w:t>
      </w:r>
      <w:r>
        <w:rPr>
          <w:rFonts w:hint="eastAsia" w:ascii="Times New Roman" w:hAnsi="Times New Roman" w:cs="Times New Roman"/>
          <w:sz w:val="24"/>
          <w:szCs w:val="24"/>
          <w:lang w:val="en-GB"/>
        </w:rPr>
        <w:t>consumers</w:t>
      </w:r>
      <w:r>
        <w:rPr>
          <w:rFonts w:ascii="Times New Roman" w:hAnsi="Times New Roman" w:cs="Times New Roman"/>
          <w:sz w:val="24"/>
          <w:szCs w:val="24"/>
          <w:lang w:val="en-GB"/>
        </w:rPr>
        <w:t xml:space="preserve">. At the same time, Tesla can use China's celebrity effect to drive its influence among younger groups. </w:t>
      </w:r>
      <w:r>
        <w:rPr>
          <w:rFonts w:hint="eastAsia" w:ascii="Times New Roman" w:hAnsi="Times New Roman" w:cs="Times New Roman"/>
          <w:sz w:val="24"/>
          <w:szCs w:val="24"/>
          <w:lang w:val="en-GB"/>
        </w:rPr>
        <w:t>E</w:t>
      </w:r>
      <w:r>
        <w:rPr>
          <w:rFonts w:ascii="Times New Roman" w:hAnsi="Times New Roman" w:cs="Times New Roman"/>
          <w:sz w:val="24"/>
          <w:szCs w:val="24"/>
          <w:lang w:val="en-GB"/>
        </w:rPr>
        <w:t xml:space="preserve">ffectively leveraging China's dominant social media such as WeChat, Weibo, Douban, etc., as marketing platforms </w:t>
      </w:r>
      <w:r>
        <w:rPr>
          <w:rFonts w:hint="eastAsia" w:ascii="Times New Roman" w:hAnsi="Times New Roman" w:cs="Times New Roman"/>
          <w:sz w:val="24"/>
          <w:szCs w:val="24"/>
          <w:lang w:val="en-GB"/>
        </w:rPr>
        <w:t>by</w:t>
      </w:r>
      <w:r>
        <w:rPr>
          <w:rFonts w:ascii="Times New Roman" w:hAnsi="Times New Roman" w:cs="Times New Roman"/>
          <w:sz w:val="24"/>
          <w:szCs w:val="24"/>
          <w:lang w:val="en-GB"/>
        </w:rPr>
        <w:t xml:space="preserve"> Tesla will enhance their publicity.</w:t>
      </w:r>
    </w:p>
    <w:p>
      <w:pPr>
        <w:spacing w:before="100" w:beforeAutospacing="1" w:after="100" w:afterAutospacing="1" w:line="360" w:lineRule="auto"/>
        <w:jc w:val="both"/>
        <w:rPr>
          <w:rFonts w:ascii="Times New Roman" w:hAnsi="Times New Roman" w:cs="Times New Roman"/>
          <w:sz w:val="24"/>
          <w:szCs w:val="24"/>
          <w:lang w:val="en-GB"/>
        </w:rPr>
      </w:pPr>
      <w:r>
        <w:rPr>
          <w:rFonts w:hint="eastAsia"/>
          <w:b/>
          <w:lang w:val="en-GB"/>
        </w:rPr>
        <w:t>Process：</w:t>
      </w:r>
      <w:r>
        <w:rPr>
          <w:rFonts w:ascii="Times New Roman" w:hAnsi="Times New Roman" w:cs="Times New Roman"/>
          <w:sz w:val="24"/>
          <w:szCs w:val="24"/>
          <w:lang w:val="en-GB"/>
        </w:rPr>
        <w:t>A direct sales model different from any other manufacturers is applied by Tesla in all its market. It does not authorize any distributor, dealer, or third parties to self tesla’s products. The special sale model is designed to deliver excellent services and save transportation and commission costs. Besides, different from the traditional manufacturers who provide after-sale services in physical 4S stores, Tesla has invented a customer-centered smart after-sales service system. The ground-breaking system provides services such as autonomous upgrade, remote diagnosis.</w:t>
      </w:r>
    </w:p>
    <w:p>
      <w:pPr>
        <w:spacing w:before="100" w:beforeAutospacing="1" w:after="100" w:afterAutospacing="1" w:line="360" w:lineRule="auto"/>
        <w:jc w:val="both"/>
        <w:rPr>
          <w:rFonts w:ascii="Times New Roman" w:hAnsi="Times New Roman" w:cs="Times New Roman"/>
          <w:sz w:val="24"/>
          <w:szCs w:val="24"/>
          <w:lang w:val="en-GB"/>
        </w:rPr>
      </w:pPr>
      <w:r>
        <w:rPr>
          <w:rFonts w:hint="eastAsia"/>
          <w:b/>
          <w:lang w:val="en-GB"/>
        </w:rPr>
        <w:t>People:</w:t>
      </w:r>
      <w:r>
        <w:rPr>
          <w:b/>
          <w:lang w:val="en-GB"/>
        </w:rPr>
        <w:t xml:space="preserve"> </w:t>
      </w:r>
      <w:r>
        <w:rPr>
          <w:rFonts w:ascii="Times New Roman" w:hAnsi="Times New Roman" w:cs="Times New Roman"/>
          <w:sz w:val="24"/>
          <w:szCs w:val="24"/>
          <w:lang w:val="en-GB"/>
        </w:rPr>
        <w:t>Tesla's recruiters have always adopted a rigorous selection process. In addition to the candidate's core skills, Tesla will also examine candidates all-around in solving problems, rapid learning ability, communication ability time management, and conflict management. The position of the manager of the Tesla store must be interviewed by the regional general manager, sales director, president of China, director of human resources the Asia Pacific, and vice president of Asia Pacific. These executives will use challenging questions in the interview evaluate. Besides, Tesla will offer training and coaching programmes for front-line employees to ensure that they are able to deliver superior services.</w:t>
      </w:r>
    </w:p>
    <w:p>
      <w:pPr>
        <w:spacing w:before="100" w:beforeAutospacing="1" w:after="100" w:afterAutospacing="1" w:line="360" w:lineRule="auto"/>
        <w:jc w:val="both"/>
        <w:rPr>
          <w:rFonts w:ascii="Times New Roman" w:hAnsi="Times New Roman" w:cs="Times New Roman"/>
          <w:sz w:val="24"/>
          <w:szCs w:val="24"/>
          <w:lang w:val="en-GB"/>
        </w:rPr>
      </w:pPr>
      <w:r>
        <w:rPr>
          <w:rFonts w:hint="eastAsia"/>
          <w:b/>
          <w:lang w:val="en-GB"/>
        </w:rPr>
        <w:t>P</w:t>
      </w:r>
      <w:r>
        <w:rPr>
          <w:b/>
          <w:lang w:val="en-GB"/>
        </w:rPr>
        <w:t xml:space="preserve">hysical Evidence: </w:t>
      </w:r>
      <w:r>
        <w:rPr>
          <w:rFonts w:ascii="Times New Roman" w:hAnsi="Times New Roman" w:cs="Times New Roman"/>
          <w:sz w:val="24"/>
          <w:szCs w:val="24"/>
          <w:lang w:val="en-GB"/>
        </w:rPr>
        <w:t xml:space="preserve">the physical evidence with trendy and fashion layout is in line with Tesla’s pursue of exquisite exterior design. The Service Plus centre is divided into three functional areas: experience area, delivery area, and after-sale area. Therefore, the Service Plus </w:t>
      </w:r>
      <w:r>
        <w:rPr>
          <w:rFonts w:hint="eastAsia" w:ascii="Times New Roman" w:hAnsi="Times New Roman" w:cs="Times New Roman"/>
          <w:sz w:val="24"/>
          <w:szCs w:val="24"/>
          <w:lang w:val="en-GB"/>
        </w:rPr>
        <w:t>cen</w:t>
      </w:r>
      <w:r>
        <w:rPr>
          <w:rFonts w:ascii="Times New Roman" w:hAnsi="Times New Roman" w:cs="Times New Roman"/>
          <w:sz w:val="24"/>
          <w:szCs w:val="24"/>
          <w:lang w:val="en-GB"/>
        </w:rPr>
        <w:t>tre has integrated the functions including display, experience, sales, delivery, and maintenance. The well-planned test drive route in each centre allows potential consumers to experience the charm of Tesla’s models from all perspectives.</w:t>
      </w:r>
    </w:p>
    <w:p>
      <w:pPr>
        <w:pStyle w:val="2"/>
        <w:numPr>
          <w:ilvl w:val="0"/>
          <w:numId w:val="1"/>
        </w:numPr>
        <w:jc w:val="both"/>
        <w:rPr>
          <w:lang w:val="en-GB"/>
        </w:rPr>
      </w:pPr>
      <w:bookmarkStart w:id="11" w:name="_Toc8393206"/>
      <w:r>
        <w:rPr>
          <w:rFonts w:hint="eastAsia"/>
          <w:lang w:val="en-GB"/>
        </w:rPr>
        <w:t>E</w:t>
      </w:r>
      <w:r>
        <w:rPr>
          <w:lang w:val="en-GB"/>
        </w:rPr>
        <w:t xml:space="preserve">valuation </w:t>
      </w:r>
      <w:r>
        <w:rPr>
          <w:rFonts w:hint="eastAsia"/>
          <w:lang w:val="en-GB"/>
        </w:rPr>
        <w:t>and</w:t>
      </w:r>
      <w:r>
        <w:rPr>
          <w:lang w:val="en-GB"/>
        </w:rPr>
        <w:t xml:space="preserve"> </w:t>
      </w:r>
      <w:r>
        <w:rPr>
          <w:rFonts w:hint="eastAsia"/>
          <w:lang w:val="en-GB"/>
        </w:rPr>
        <w:t>Control</w:t>
      </w:r>
      <w:bookmarkEnd w:id="11"/>
    </w:p>
    <w:p>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construction of an integrated marketing plan that delivers superior value to customers should also consider on the evaluation and control of the marketing process. One important perspective that Tesla has to consider is the quality of products and services, as well as the conflicts among different stakeholders.</w:t>
      </w:r>
      <w:r>
        <w:rPr>
          <w:rFonts w:hint="eastAsia" w:ascii="Times New Roman" w:hAnsi="Times New Roman" w:cs="Times New Roman"/>
          <w:sz w:val="24"/>
          <w:szCs w:val="24"/>
          <w:lang w:val="en-GB"/>
        </w:rPr>
        <w:t xml:space="preserve"> </w:t>
      </w:r>
      <w:r>
        <w:rPr>
          <w:rFonts w:ascii="Times New Roman" w:hAnsi="Times New Roman" w:cs="Times New Roman"/>
          <w:sz w:val="24"/>
          <w:szCs w:val="24"/>
          <w:lang w:val="en-GB"/>
        </w:rPr>
        <w:t xml:space="preserve">Regarding quality, Tesla should establish an integrate and seamless quality inspection system to detect and eliminate any possible flaws before delivery. For any reported quality problems, </w:t>
      </w:r>
      <w:r>
        <w:rPr>
          <w:rFonts w:hint="eastAsia" w:ascii="Times New Roman" w:hAnsi="Times New Roman" w:cs="Times New Roman"/>
          <w:sz w:val="24"/>
          <w:szCs w:val="24"/>
          <w:lang w:val="en-GB"/>
        </w:rPr>
        <w:t>Tesla</w:t>
      </w:r>
      <w:r>
        <w:rPr>
          <w:rFonts w:ascii="Times New Roman" w:hAnsi="Times New Roman" w:cs="Times New Roman"/>
          <w:sz w:val="24"/>
          <w:szCs w:val="24"/>
          <w:lang w:val="en-GB"/>
        </w:rPr>
        <w:t xml:space="preserve"> </w:t>
      </w:r>
      <w:r>
        <w:rPr>
          <w:rFonts w:hint="eastAsia" w:ascii="Times New Roman" w:hAnsi="Times New Roman" w:cs="Times New Roman"/>
          <w:sz w:val="24"/>
          <w:szCs w:val="24"/>
          <w:lang w:val="en-GB"/>
        </w:rPr>
        <w:t>should</w:t>
      </w:r>
      <w:r>
        <w:rPr>
          <w:rFonts w:ascii="Times New Roman" w:hAnsi="Times New Roman" w:cs="Times New Roman"/>
          <w:sz w:val="24"/>
          <w:szCs w:val="24"/>
          <w:lang w:val="en-GB"/>
        </w:rPr>
        <w:t xml:space="preserve"> take it carefully. Regarding services, Tesla should have trained employees to work in the front line. At the same time, the OTA software upgrade enables Tesla to continuously improve its functions autonomously. The remote diagnostics and on-site repair services in </w:t>
      </w:r>
      <w:r>
        <w:rPr>
          <w:rFonts w:hint="eastAsia" w:ascii="Times New Roman" w:hAnsi="Times New Roman" w:cs="Times New Roman"/>
          <w:sz w:val="24"/>
          <w:szCs w:val="24"/>
          <w:lang w:val="en-GB"/>
        </w:rPr>
        <w:t>China</w:t>
      </w:r>
      <w:r>
        <w:rPr>
          <w:rFonts w:ascii="Times New Roman" w:hAnsi="Times New Roman" w:cs="Times New Roman"/>
          <w:sz w:val="24"/>
          <w:szCs w:val="24"/>
          <w:lang w:val="en-GB"/>
        </w:rPr>
        <w:t xml:space="preserve"> </w:t>
      </w:r>
      <w:r>
        <w:rPr>
          <w:rFonts w:hint="eastAsia" w:ascii="Times New Roman" w:hAnsi="Times New Roman" w:cs="Times New Roman"/>
          <w:sz w:val="24"/>
          <w:szCs w:val="24"/>
          <w:lang w:val="en-GB"/>
        </w:rPr>
        <w:t>will</w:t>
      </w:r>
      <w:r>
        <w:rPr>
          <w:rFonts w:ascii="Times New Roman" w:hAnsi="Times New Roman" w:cs="Times New Roman"/>
          <w:sz w:val="24"/>
          <w:szCs w:val="24"/>
          <w:lang w:val="en-GB"/>
        </w:rPr>
        <w:t xml:space="preserve"> offer more convenience. Experienced technicians that have been well trained should allocate to every after-sale centre of Tesla. Regarding conflicts, the information disclosure of Tesla should be objective and transparent via various methods, so that all stakeholders are kept updated.</w:t>
      </w:r>
    </w:p>
    <w:p>
      <w:pPr>
        <w:pStyle w:val="2"/>
        <w:numPr>
          <w:ilvl w:val="0"/>
          <w:numId w:val="1"/>
        </w:numPr>
        <w:jc w:val="both"/>
        <w:rPr>
          <w:lang w:val="en-GB"/>
        </w:rPr>
      </w:pPr>
      <w:bookmarkStart w:id="12" w:name="_Toc8393207"/>
      <w:r>
        <w:rPr>
          <w:rFonts w:hint="eastAsia"/>
          <w:lang w:val="en-GB"/>
        </w:rPr>
        <w:t>Conclusion</w:t>
      </w:r>
      <w:bookmarkEnd w:id="12"/>
    </w:p>
    <w:p>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Starting from situation analysis, this report develops a brief marketing plan for Tesla’s operation in China. based on the analysis of the macro environment and micro environment, China is identified as an attractive market with high growth potential and moderate competition. The Internal analysis of the resources and capabilities enables the author to develop an appropriate marketing strategy for Tesla. given the case that Chinese market is not yet full cultivated by domestic players and international players, the objective of Tesla in China is to snatch market share as much as position through market penetration strategy and product development strategy. Correspondingly, marketing mixes with considerations on four major perspectives are discussed to help with the implementation of the marketing plan. Issues on quality on products and services, as well as conflicts among stakeholders are shortly discussed as well to help Tesla with smooth implementation of the marketing plan.</w:t>
      </w:r>
    </w:p>
    <w:p>
      <w:pPr>
        <w:rPr>
          <w:rFonts w:ascii="Times New Roman" w:hAnsi="Times New Roman" w:cs="Times New Roman"/>
          <w:sz w:val="24"/>
          <w:szCs w:val="24"/>
          <w:lang w:val="en-GB"/>
        </w:rPr>
      </w:pPr>
      <w:r>
        <w:rPr>
          <w:rFonts w:ascii="Times New Roman" w:hAnsi="Times New Roman" w:cs="Times New Roman"/>
          <w:sz w:val="24"/>
          <w:szCs w:val="24"/>
          <w:lang w:val="en-GB"/>
        </w:rPr>
        <w:br w:type="page"/>
      </w:r>
    </w:p>
    <w:p>
      <w:pPr>
        <w:pStyle w:val="2"/>
        <w:jc w:val="both"/>
        <w:rPr>
          <w:lang w:val="en-GB"/>
        </w:rPr>
      </w:pPr>
      <w:bookmarkStart w:id="13" w:name="_Toc8393208"/>
      <w:r>
        <w:rPr>
          <w:rFonts w:hint="eastAsia"/>
          <w:lang w:val="en-GB"/>
        </w:rPr>
        <w:t>R</w:t>
      </w:r>
      <w:r>
        <w:rPr>
          <w:lang w:val="en-GB"/>
        </w:rPr>
        <w:t>eference List</w:t>
      </w:r>
      <w:bookmarkEnd w:id="13"/>
    </w:p>
    <w:p>
      <w:pPr>
        <w:autoSpaceDE w:val="0"/>
        <w:autoSpaceDN w:val="0"/>
        <w:adjustRightInd w:val="0"/>
        <w:spacing w:line="240" w:lineRule="auto"/>
        <w:rPr>
          <w:rFonts w:ascii="Times New Roman" w:hAnsi="Times New Roman" w:cs="Times New Roman"/>
          <w:sz w:val="24"/>
          <w:szCs w:val="24"/>
        </w:rPr>
      </w:pPr>
      <w:r>
        <w:rPr>
          <w:rFonts w:asciiTheme="majorHAnsi" w:hAnsiTheme="majorHAnsi" w:cstheme="majorHAnsi"/>
          <w:sz w:val="24"/>
          <w:szCs w:val="24"/>
          <w:lang w:val="en-GB"/>
        </w:rPr>
        <w:fldChar w:fldCharType="begin" w:fldLock="1"/>
      </w:r>
      <w:r>
        <w:rPr>
          <w:rFonts w:asciiTheme="majorHAnsi" w:hAnsiTheme="majorHAnsi" w:cstheme="majorHAnsi"/>
          <w:sz w:val="24"/>
          <w:szCs w:val="24"/>
          <w:lang w:val="en-GB"/>
        </w:rPr>
        <w:instrText xml:space="preserve">ADDIN Mendeley Bibliography CSL_BIBLIOGRAPHY </w:instrText>
      </w:r>
      <w:r>
        <w:rPr>
          <w:rFonts w:asciiTheme="majorHAnsi" w:hAnsiTheme="majorHAnsi" w:cstheme="majorHAnsi"/>
          <w:sz w:val="24"/>
          <w:szCs w:val="24"/>
          <w:lang w:val="en-GB"/>
        </w:rPr>
        <w:fldChar w:fldCharType="separate"/>
      </w:r>
      <w:r>
        <w:rPr>
          <w:rFonts w:ascii="Times New Roman" w:hAnsi="Times New Roman" w:cs="Times New Roman"/>
          <w:sz w:val="24"/>
          <w:szCs w:val="24"/>
        </w:rPr>
        <w:t xml:space="preserve">Alam, K. M., Saini, M. and El Saddik, A. (2015) ‘Toward social internet of vehicles: Concept, architecture, and applications’, </w:t>
      </w:r>
      <w:r>
        <w:rPr>
          <w:rFonts w:ascii="Times New Roman" w:hAnsi="Times New Roman" w:cs="Times New Roman"/>
          <w:i/>
          <w:iCs/>
          <w:sz w:val="24"/>
          <w:szCs w:val="24"/>
        </w:rPr>
        <w:t>IEEE access</w:t>
      </w:r>
      <w:r>
        <w:rPr>
          <w:rFonts w:ascii="Times New Roman" w:hAnsi="Times New Roman" w:cs="Times New Roman"/>
          <w:sz w:val="24"/>
          <w:szCs w:val="24"/>
        </w:rPr>
        <w:t>. IEEE, 3, pp. 343–357.</w:t>
      </w:r>
    </w:p>
    <w:p>
      <w:pPr>
        <w:autoSpaceDE w:val="0"/>
        <w:autoSpaceDN w:val="0"/>
        <w:adjustRightInd w:val="0"/>
        <w:spacing w:line="240" w:lineRule="auto"/>
        <w:rPr>
          <w:rFonts w:ascii="Times New Roman" w:hAnsi="Times New Roman" w:cs="Times New Roman"/>
          <w:sz w:val="24"/>
          <w:szCs w:val="24"/>
        </w:rPr>
      </w:pPr>
      <w:r>
        <w:rPr>
          <w:rFonts w:ascii="Times New Roman" w:hAnsi="Times New Roman" w:cs="Times New Roman"/>
          <w:sz w:val="24"/>
          <w:szCs w:val="24"/>
        </w:rPr>
        <w:t xml:space="preserve">Business Insider (2019) </w:t>
      </w:r>
      <w:r>
        <w:rPr>
          <w:rFonts w:ascii="Times New Roman" w:hAnsi="Times New Roman" w:cs="Times New Roman"/>
          <w:i/>
          <w:iCs/>
          <w:sz w:val="24"/>
          <w:szCs w:val="24"/>
        </w:rPr>
        <w:t>Tesla Model S and X are core business and sales are strong - Business Insider</w:t>
      </w:r>
      <w:r>
        <w:rPr>
          <w:rFonts w:ascii="Times New Roman" w:hAnsi="Times New Roman" w:cs="Times New Roman"/>
          <w:sz w:val="24"/>
          <w:szCs w:val="24"/>
        </w:rPr>
        <w:t>. Available at: https://www.businessinsider.com/tesla-model-s-and-x-are-core-business-and-sales-are-strong-2019-1?r=US&amp;IR=T (Accessed: 9 May 2019).</w:t>
      </w:r>
    </w:p>
    <w:p>
      <w:pPr>
        <w:autoSpaceDE w:val="0"/>
        <w:autoSpaceDN w:val="0"/>
        <w:adjustRightInd w:val="0"/>
        <w:spacing w:line="240" w:lineRule="auto"/>
        <w:rPr>
          <w:rFonts w:ascii="Times New Roman" w:hAnsi="Times New Roman" w:cs="Times New Roman"/>
          <w:sz w:val="24"/>
          <w:szCs w:val="24"/>
        </w:rPr>
      </w:pPr>
      <w:r>
        <w:rPr>
          <w:rFonts w:ascii="Times New Roman" w:hAnsi="Times New Roman" w:cs="Times New Roman"/>
          <w:sz w:val="24"/>
          <w:szCs w:val="24"/>
        </w:rPr>
        <w:t xml:space="preserve">CEIC (2019) </w:t>
      </w:r>
      <w:r>
        <w:rPr>
          <w:rFonts w:ascii="Times New Roman" w:hAnsi="Times New Roman" w:cs="Times New Roman"/>
          <w:i/>
          <w:iCs/>
          <w:sz w:val="24"/>
          <w:szCs w:val="24"/>
        </w:rPr>
        <w:t>Exchange Rate against USD | Economic Indicators</w:t>
      </w:r>
      <w:r>
        <w:rPr>
          <w:rFonts w:ascii="Times New Roman" w:hAnsi="Times New Roman" w:cs="Times New Roman"/>
          <w:sz w:val="24"/>
          <w:szCs w:val="24"/>
        </w:rPr>
        <w:t>. Available at: https://www.ceicdata.com/en/indicator/exchange-rate-against-usd (Accessed: 9 May 2019).</w:t>
      </w:r>
    </w:p>
    <w:p>
      <w:pPr>
        <w:autoSpaceDE w:val="0"/>
        <w:autoSpaceDN w:val="0"/>
        <w:adjustRightInd w:val="0"/>
        <w:spacing w:line="240" w:lineRule="auto"/>
        <w:rPr>
          <w:rFonts w:ascii="Times New Roman" w:hAnsi="Times New Roman" w:cs="Times New Roman"/>
          <w:sz w:val="24"/>
          <w:szCs w:val="24"/>
        </w:rPr>
      </w:pPr>
      <w:r>
        <w:rPr>
          <w:rFonts w:ascii="Times New Roman" w:hAnsi="Times New Roman" w:cs="Times New Roman"/>
          <w:sz w:val="24"/>
          <w:szCs w:val="24"/>
        </w:rPr>
        <w:t xml:space="preserve">CleanTechnica (2019) </w:t>
      </w:r>
      <w:r>
        <w:rPr>
          <w:rFonts w:ascii="Times New Roman" w:hAnsi="Times New Roman" w:cs="Times New Roman"/>
          <w:i/>
          <w:iCs/>
          <w:sz w:val="24"/>
          <w:szCs w:val="24"/>
        </w:rPr>
        <w:t>Tesla Supercharger development in China</w:t>
      </w:r>
      <w:r>
        <w:rPr>
          <w:rFonts w:ascii="Times New Roman" w:hAnsi="Times New Roman" w:cs="Times New Roman"/>
          <w:sz w:val="24"/>
          <w:szCs w:val="24"/>
        </w:rPr>
        <w:t>. Available at: https://cleantechnica.com/2019/01/20/tesla-supercharger-development-in-china-5-year-review-the-future/ (Accessed: 9 May 2019).</w:t>
      </w:r>
    </w:p>
    <w:p>
      <w:pPr>
        <w:autoSpaceDE w:val="0"/>
        <w:autoSpaceDN w:val="0"/>
        <w:adjustRightInd w:val="0"/>
        <w:spacing w:line="240" w:lineRule="auto"/>
        <w:rPr>
          <w:rFonts w:ascii="Times New Roman" w:hAnsi="Times New Roman" w:cs="Times New Roman"/>
          <w:sz w:val="24"/>
          <w:szCs w:val="24"/>
        </w:rPr>
      </w:pPr>
      <w:r>
        <w:rPr>
          <w:rFonts w:ascii="Times New Roman" w:hAnsi="Times New Roman" w:cs="Times New Roman"/>
          <w:sz w:val="24"/>
          <w:szCs w:val="24"/>
        </w:rPr>
        <w:t xml:space="preserve">energysage (2019) </w:t>
      </w:r>
      <w:r>
        <w:rPr>
          <w:rFonts w:ascii="Times New Roman" w:hAnsi="Times New Roman" w:cs="Times New Roman"/>
          <w:i/>
          <w:iCs/>
          <w:sz w:val="24"/>
          <w:szCs w:val="24"/>
        </w:rPr>
        <w:t>Tesla Charging Stations: What to Know in 2019 | EnergySage</w:t>
      </w:r>
      <w:r>
        <w:rPr>
          <w:rFonts w:ascii="Times New Roman" w:hAnsi="Times New Roman" w:cs="Times New Roman"/>
          <w:sz w:val="24"/>
          <w:szCs w:val="24"/>
        </w:rPr>
        <w:t>. Available at: https://www.energysage.com/electric-vehicles/charging-your-ev/charging-a-tesla/ (Accessed: 9 May 2019).</w:t>
      </w:r>
    </w:p>
    <w:p>
      <w:pPr>
        <w:autoSpaceDE w:val="0"/>
        <w:autoSpaceDN w:val="0"/>
        <w:adjustRightInd w:val="0"/>
        <w:spacing w:line="240" w:lineRule="auto"/>
        <w:rPr>
          <w:rFonts w:ascii="Times New Roman" w:hAnsi="Times New Roman" w:cs="Times New Roman"/>
          <w:sz w:val="24"/>
          <w:szCs w:val="24"/>
        </w:rPr>
      </w:pPr>
      <w:r>
        <w:rPr>
          <w:rFonts w:ascii="Times New Roman" w:hAnsi="Times New Roman" w:cs="Times New Roman"/>
          <w:sz w:val="24"/>
          <w:szCs w:val="24"/>
        </w:rPr>
        <w:t xml:space="preserve">Li, Y. </w:t>
      </w:r>
      <w:r>
        <w:rPr>
          <w:rFonts w:ascii="Times New Roman" w:hAnsi="Times New Roman" w:cs="Times New Roman"/>
          <w:i/>
          <w:iCs/>
          <w:sz w:val="24"/>
          <w:szCs w:val="24"/>
        </w:rPr>
        <w:t>et al.</w:t>
      </w:r>
      <w:r>
        <w:rPr>
          <w:rFonts w:ascii="Times New Roman" w:hAnsi="Times New Roman" w:cs="Times New Roman"/>
          <w:sz w:val="24"/>
          <w:szCs w:val="24"/>
        </w:rPr>
        <w:t xml:space="preserve"> (2016) ‘Business innovation and government regulation for the promotion of electric vehicle use: lessons from Shenzhen, China’, </w:t>
      </w:r>
      <w:r>
        <w:rPr>
          <w:rFonts w:ascii="Times New Roman" w:hAnsi="Times New Roman" w:cs="Times New Roman"/>
          <w:i/>
          <w:iCs/>
          <w:sz w:val="24"/>
          <w:szCs w:val="24"/>
        </w:rPr>
        <w:t>Journal of cleaner production</w:t>
      </w:r>
      <w:r>
        <w:rPr>
          <w:rFonts w:ascii="Times New Roman" w:hAnsi="Times New Roman" w:cs="Times New Roman"/>
          <w:sz w:val="24"/>
          <w:szCs w:val="24"/>
        </w:rPr>
        <w:t>. Elsevier, 134, pp. 371–383.</w:t>
      </w:r>
    </w:p>
    <w:p>
      <w:pPr>
        <w:autoSpaceDE w:val="0"/>
        <w:autoSpaceDN w:val="0"/>
        <w:adjustRightInd w:val="0"/>
        <w:spacing w:line="240" w:lineRule="auto"/>
        <w:rPr>
          <w:rFonts w:ascii="Times New Roman" w:hAnsi="Times New Roman" w:cs="Times New Roman"/>
          <w:sz w:val="24"/>
          <w:szCs w:val="24"/>
        </w:rPr>
      </w:pPr>
      <w:r>
        <w:rPr>
          <w:rFonts w:ascii="Times New Roman" w:hAnsi="Times New Roman" w:cs="Times New Roman"/>
          <w:sz w:val="24"/>
          <w:szCs w:val="24"/>
        </w:rPr>
        <w:t xml:space="preserve">Lin, B. and Wu, W. (2018) ‘Why people want to buy electric vehicle: An empirical study in first-tier cities of China’, </w:t>
      </w:r>
      <w:r>
        <w:rPr>
          <w:rFonts w:ascii="Times New Roman" w:hAnsi="Times New Roman" w:cs="Times New Roman"/>
          <w:i/>
          <w:iCs/>
          <w:sz w:val="24"/>
          <w:szCs w:val="24"/>
        </w:rPr>
        <w:t>Energy Policy</w:t>
      </w:r>
      <w:r>
        <w:rPr>
          <w:rFonts w:ascii="Times New Roman" w:hAnsi="Times New Roman" w:cs="Times New Roman"/>
          <w:sz w:val="24"/>
          <w:szCs w:val="24"/>
        </w:rPr>
        <w:t>. Elsevier, 112, pp. 233–241.</w:t>
      </w:r>
    </w:p>
    <w:p>
      <w:pPr>
        <w:autoSpaceDE w:val="0"/>
        <w:autoSpaceDN w:val="0"/>
        <w:adjustRightInd w:val="0"/>
        <w:spacing w:line="240" w:lineRule="auto"/>
        <w:rPr>
          <w:rFonts w:ascii="Times New Roman" w:hAnsi="Times New Roman" w:cs="Times New Roman"/>
          <w:sz w:val="24"/>
          <w:szCs w:val="24"/>
        </w:rPr>
      </w:pPr>
      <w:r>
        <w:rPr>
          <w:rFonts w:ascii="Times New Roman" w:hAnsi="Times New Roman" w:cs="Times New Roman"/>
          <w:sz w:val="24"/>
          <w:szCs w:val="24"/>
        </w:rPr>
        <w:t xml:space="preserve">Liu, Z. </w:t>
      </w:r>
      <w:r>
        <w:rPr>
          <w:rFonts w:ascii="Times New Roman" w:hAnsi="Times New Roman" w:cs="Times New Roman"/>
          <w:i/>
          <w:iCs/>
          <w:sz w:val="24"/>
          <w:szCs w:val="24"/>
        </w:rPr>
        <w:t>et al.</w:t>
      </w:r>
      <w:r>
        <w:rPr>
          <w:rFonts w:ascii="Times New Roman" w:hAnsi="Times New Roman" w:cs="Times New Roman"/>
          <w:sz w:val="24"/>
          <w:szCs w:val="24"/>
        </w:rPr>
        <w:t xml:space="preserve"> (2018) ‘Critical issues of energy efficient and new energy vehicles development in China’, </w:t>
      </w:r>
      <w:r>
        <w:rPr>
          <w:rFonts w:ascii="Times New Roman" w:hAnsi="Times New Roman" w:cs="Times New Roman"/>
          <w:i/>
          <w:iCs/>
          <w:sz w:val="24"/>
          <w:szCs w:val="24"/>
        </w:rPr>
        <w:t>Energy Policy</w:t>
      </w:r>
      <w:r>
        <w:rPr>
          <w:rFonts w:ascii="Times New Roman" w:hAnsi="Times New Roman" w:cs="Times New Roman"/>
          <w:sz w:val="24"/>
          <w:szCs w:val="24"/>
        </w:rPr>
        <w:t>. Elsevier, 115, pp. 92–97.</w:t>
      </w:r>
    </w:p>
    <w:p>
      <w:pPr>
        <w:autoSpaceDE w:val="0"/>
        <w:autoSpaceDN w:val="0"/>
        <w:adjustRightInd w:val="0"/>
        <w:spacing w:line="240" w:lineRule="auto"/>
        <w:rPr>
          <w:rFonts w:ascii="Times New Roman" w:hAnsi="Times New Roman" w:cs="Times New Roman"/>
          <w:sz w:val="24"/>
          <w:szCs w:val="24"/>
        </w:rPr>
      </w:pPr>
      <w:r>
        <w:rPr>
          <w:rFonts w:ascii="Times New Roman" w:hAnsi="Times New Roman" w:cs="Times New Roman"/>
          <w:sz w:val="24"/>
          <w:szCs w:val="24"/>
        </w:rPr>
        <w:t xml:space="preserve">Masiero, G. </w:t>
      </w:r>
      <w:r>
        <w:rPr>
          <w:rFonts w:ascii="Times New Roman" w:hAnsi="Times New Roman" w:cs="Times New Roman"/>
          <w:i/>
          <w:iCs/>
          <w:sz w:val="24"/>
          <w:szCs w:val="24"/>
        </w:rPr>
        <w:t>et al.</w:t>
      </w:r>
      <w:r>
        <w:rPr>
          <w:rFonts w:ascii="Times New Roman" w:hAnsi="Times New Roman" w:cs="Times New Roman"/>
          <w:sz w:val="24"/>
          <w:szCs w:val="24"/>
        </w:rPr>
        <w:t xml:space="preserve"> (2016) ‘Electric vehicles in China: BYD strategies and government subsidies’, </w:t>
      </w:r>
      <w:r>
        <w:rPr>
          <w:rFonts w:ascii="Times New Roman" w:hAnsi="Times New Roman" w:cs="Times New Roman"/>
          <w:i/>
          <w:iCs/>
          <w:sz w:val="24"/>
          <w:szCs w:val="24"/>
        </w:rPr>
        <w:t>RAI Revista de Administra  o e Inova  o</w:t>
      </w:r>
      <w:r>
        <w:rPr>
          <w:rFonts w:ascii="Times New Roman" w:hAnsi="Times New Roman" w:cs="Times New Roman"/>
          <w:sz w:val="24"/>
          <w:szCs w:val="24"/>
        </w:rPr>
        <w:t>. Elsevier, 13(1), pp. 3–11.</w:t>
      </w:r>
    </w:p>
    <w:p>
      <w:pPr>
        <w:autoSpaceDE w:val="0"/>
        <w:autoSpaceDN w:val="0"/>
        <w:adjustRightInd w:val="0"/>
        <w:spacing w:line="240" w:lineRule="auto"/>
        <w:rPr>
          <w:rFonts w:ascii="Times New Roman" w:hAnsi="Times New Roman" w:cs="Times New Roman"/>
          <w:sz w:val="24"/>
          <w:szCs w:val="24"/>
        </w:rPr>
      </w:pPr>
      <w:r>
        <w:rPr>
          <w:rFonts w:ascii="Times New Roman" w:hAnsi="Times New Roman" w:cs="Times New Roman"/>
          <w:sz w:val="24"/>
          <w:szCs w:val="24"/>
        </w:rPr>
        <w:t xml:space="preserve">Musonera, E. and Cagle, C. (2019) ‘Electric Car Brand Positioning in the Automotive Industry: Recommendations for Sustainable and Innovative Marketing Strategies’, </w:t>
      </w:r>
      <w:r>
        <w:rPr>
          <w:rFonts w:ascii="Times New Roman" w:hAnsi="Times New Roman" w:cs="Times New Roman"/>
          <w:i/>
          <w:iCs/>
          <w:sz w:val="24"/>
          <w:szCs w:val="24"/>
        </w:rPr>
        <w:t>Journal of Strategic Innovation and Sustainability</w:t>
      </w:r>
      <w:r>
        <w:rPr>
          <w:rFonts w:ascii="Times New Roman" w:hAnsi="Times New Roman" w:cs="Times New Roman"/>
          <w:sz w:val="24"/>
          <w:szCs w:val="24"/>
        </w:rPr>
        <w:t>, 14(1).</w:t>
      </w:r>
    </w:p>
    <w:p>
      <w:pPr>
        <w:autoSpaceDE w:val="0"/>
        <w:autoSpaceDN w:val="0"/>
        <w:adjustRightInd w:val="0"/>
        <w:spacing w:line="240" w:lineRule="auto"/>
        <w:rPr>
          <w:rFonts w:ascii="Times New Roman" w:hAnsi="Times New Roman" w:cs="Times New Roman"/>
          <w:sz w:val="24"/>
          <w:szCs w:val="24"/>
        </w:rPr>
      </w:pPr>
      <w:r>
        <w:rPr>
          <w:rFonts w:ascii="Times New Roman" w:hAnsi="Times New Roman" w:cs="Times New Roman"/>
          <w:sz w:val="24"/>
          <w:szCs w:val="24"/>
        </w:rPr>
        <w:t xml:space="preserve">National Bureau of Statistics of China (2019) </w:t>
      </w:r>
      <w:r>
        <w:rPr>
          <w:rFonts w:ascii="Times New Roman" w:hAnsi="Times New Roman" w:cs="Times New Roman"/>
          <w:i/>
          <w:iCs/>
          <w:sz w:val="24"/>
          <w:szCs w:val="24"/>
        </w:rPr>
        <w:t>NSDP/SDDS for the People’s Republic of China</w:t>
      </w:r>
      <w:r>
        <w:rPr>
          <w:rFonts w:ascii="Times New Roman" w:hAnsi="Times New Roman" w:cs="Times New Roman"/>
          <w:sz w:val="24"/>
          <w:szCs w:val="24"/>
        </w:rPr>
        <w:t>. Available at: http://www.stats.gov.cn/english/Statisticaldata/nsdp/201508/t20150819_1232260.html (Accessed: 9 May 2019).</w:t>
      </w:r>
    </w:p>
    <w:p>
      <w:pPr>
        <w:autoSpaceDE w:val="0"/>
        <w:autoSpaceDN w:val="0"/>
        <w:adjustRightInd w:val="0"/>
        <w:spacing w:line="240" w:lineRule="auto"/>
        <w:rPr>
          <w:rFonts w:ascii="Times New Roman" w:hAnsi="Times New Roman" w:cs="Times New Roman"/>
          <w:sz w:val="24"/>
          <w:szCs w:val="24"/>
        </w:rPr>
      </w:pPr>
      <w:r>
        <w:rPr>
          <w:rFonts w:ascii="Times New Roman" w:hAnsi="Times New Roman" w:cs="Times New Roman"/>
          <w:sz w:val="24"/>
          <w:szCs w:val="24"/>
        </w:rPr>
        <w:t xml:space="preserve">Quartz (2019) </w:t>
      </w:r>
      <w:r>
        <w:rPr>
          <w:rFonts w:ascii="Times New Roman" w:hAnsi="Times New Roman" w:cs="Times New Roman"/>
          <w:i/>
          <w:iCs/>
          <w:sz w:val="24"/>
          <w:szCs w:val="24"/>
        </w:rPr>
        <w:t>Tesla’s China revenue dropped amid the US-China trade war — Quartz</w:t>
      </w:r>
      <w:r>
        <w:rPr>
          <w:rFonts w:ascii="Times New Roman" w:hAnsi="Times New Roman" w:cs="Times New Roman"/>
          <w:sz w:val="24"/>
          <w:szCs w:val="24"/>
        </w:rPr>
        <w:t>. Available at: https://qz.com/1554631/teslas-china-revenue-dropped-amid-the-us-china-trade-war/ (Accessed: 9 May 2019).</w:t>
      </w:r>
    </w:p>
    <w:p>
      <w:pPr>
        <w:autoSpaceDE w:val="0"/>
        <w:autoSpaceDN w:val="0"/>
        <w:adjustRightInd w:val="0"/>
        <w:spacing w:line="240" w:lineRule="auto"/>
        <w:rPr>
          <w:rFonts w:ascii="Times New Roman" w:hAnsi="Times New Roman" w:cs="Times New Roman"/>
          <w:sz w:val="24"/>
          <w:szCs w:val="24"/>
        </w:rPr>
      </w:pPr>
      <w:r>
        <w:rPr>
          <w:rFonts w:ascii="Times New Roman" w:hAnsi="Times New Roman" w:cs="Times New Roman"/>
          <w:sz w:val="24"/>
          <w:szCs w:val="24"/>
        </w:rPr>
        <w:t xml:space="preserve">QUARTZ (2019) </w:t>
      </w:r>
      <w:r>
        <w:rPr>
          <w:rFonts w:ascii="Times New Roman" w:hAnsi="Times New Roman" w:cs="Times New Roman"/>
          <w:i/>
          <w:iCs/>
          <w:sz w:val="24"/>
          <w:szCs w:val="24"/>
        </w:rPr>
        <w:t>Photos: A Tesla Gigafactory rises in Shanghai — Quartz</w:t>
      </w:r>
      <w:r>
        <w:rPr>
          <w:rFonts w:ascii="Times New Roman" w:hAnsi="Times New Roman" w:cs="Times New Roman"/>
          <w:sz w:val="24"/>
          <w:szCs w:val="24"/>
        </w:rPr>
        <w:t>. Available at: https://qz.com/1602033/photos-a-tesla-gigafactory-rises-in-shanghai/ (Accessed: 9 May 2019).</w:t>
      </w:r>
    </w:p>
    <w:p>
      <w:pPr>
        <w:autoSpaceDE w:val="0"/>
        <w:autoSpaceDN w:val="0"/>
        <w:adjustRightInd w:val="0"/>
        <w:spacing w:line="240" w:lineRule="auto"/>
        <w:rPr>
          <w:rFonts w:ascii="Times New Roman" w:hAnsi="Times New Roman" w:cs="Times New Roman"/>
          <w:sz w:val="24"/>
          <w:szCs w:val="24"/>
        </w:rPr>
      </w:pPr>
      <w:r>
        <w:rPr>
          <w:rFonts w:ascii="Times New Roman" w:hAnsi="Times New Roman" w:cs="Times New Roman"/>
          <w:sz w:val="24"/>
          <w:szCs w:val="24"/>
        </w:rPr>
        <w:t xml:space="preserve">Reuters (2019) </w:t>
      </w:r>
      <w:r>
        <w:rPr>
          <w:rFonts w:ascii="Times New Roman" w:hAnsi="Times New Roman" w:cs="Times New Roman"/>
          <w:i/>
          <w:iCs/>
          <w:sz w:val="24"/>
          <w:szCs w:val="24"/>
        </w:rPr>
        <w:t>Tesla’s Shanghai assembly plant to be completed in May: government official - Reuters</w:t>
      </w:r>
      <w:r>
        <w:rPr>
          <w:rFonts w:ascii="Times New Roman" w:hAnsi="Times New Roman" w:cs="Times New Roman"/>
          <w:sz w:val="24"/>
          <w:szCs w:val="24"/>
        </w:rPr>
        <w:t>. Available at: https://www.reuters.com/article/us-china-parliament-tesla/teslas-shanghai-assembly-plant-to-be-completed-in-may-government-official-idUSKCN1QN0XY (Accessed: 9 May 2019).</w:t>
      </w:r>
    </w:p>
    <w:p>
      <w:pPr>
        <w:autoSpaceDE w:val="0"/>
        <w:autoSpaceDN w:val="0"/>
        <w:adjustRightInd w:val="0"/>
        <w:spacing w:line="240" w:lineRule="auto"/>
        <w:rPr>
          <w:rFonts w:ascii="Times New Roman" w:hAnsi="Times New Roman" w:cs="Times New Roman"/>
          <w:sz w:val="24"/>
          <w:szCs w:val="24"/>
        </w:rPr>
      </w:pPr>
      <w:r>
        <w:rPr>
          <w:rFonts w:ascii="Times New Roman" w:hAnsi="Times New Roman" w:cs="Times New Roman"/>
          <w:sz w:val="24"/>
          <w:szCs w:val="24"/>
        </w:rPr>
        <w:t xml:space="preserve">She, Z.-Y. </w:t>
      </w:r>
      <w:r>
        <w:rPr>
          <w:rFonts w:ascii="Times New Roman" w:hAnsi="Times New Roman" w:cs="Times New Roman"/>
          <w:i/>
          <w:iCs/>
          <w:sz w:val="24"/>
          <w:szCs w:val="24"/>
        </w:rPr>
        <w:t>et al.</w:t>
      </w:r>
      <w:r>
        <w:rPr>
          <w:rFonts w:ascii="Times New Roman" w:hAnsi="Times New Roman" w:cs="Times New Roman"/>
          <w:sz w:val="24"/>
          <w:szCs w:val="24"/>
        </w:rPr>
        <w:t xml:space="preserve"> (2017) ‘What are the barriers to widespread adoption of battery electric vehicles? A survey of public perception in Tianjin, China’, </w:t>
      </w:r>
      <w:r>
        <w:rPr>
          <w:rFonts w:ascii="Times New Roman" w:hAnsi="Times New Roman" w:cs="Times New Roman"/>
          <w:i/>
          <w:iCs/>
          <w:sz w:val="24"/>
          <w:szCs w:val="24"/>
        </w:rPr>
        <w:t>Transport Policy</w:t>
      </w:r>
      <w:r>
        <w:rPr>
          <w:rFonts w:ascii="Times New Roman" w:hAnsi="Times New Roman" w:cs="Times New Roman"/>
          <w:sz w:val="24"/>
          <w:szCs w:val="24"/>
        </w:rPr>
        <w:t>. Elsevier, 56, pp. 29–40.</w:t>
      </w:r>
    </w:p>
    <w:p>
      <w:pPr>
        <w:autoSpaceDE w:val="0"/>
        <w:autoSpaceDN w:val="0"/>
        <w:adjustRightInd w:val="0"/>
        <w:spacing w:line="240" w:lineRule="auto"/>
        <w:rPr>
          <w:rFonts w:ascii="Times New Roman" w:hAnsi="Times New Roman" w:cs="Times New Roman"/>
          <w:sz w:val="24"/>
          <w:szCs w:val="24"/>
        </w:rPr>
      </w:pPr>
      <w:r>
        <w:rPr>
          <w:rFonts w:ascii="Times New Roman" w:hAnsi="Times New Roman" w:cs="Times New Roman"/>
          <w:sz w:val="24"/>
          <w:szCs w:val="24"/>
        </w:rPr>
        <w:t xml:space="preserve">South China Morning Post (2019) </w:t>
      </w:r>
      <w:r>
        <w:rPr>
          <w:rFonts w:ascii="Times New Roman" w:hAnsi="Times New Roman" w:cs="Times New Roman"/>
          <w:i/>
          <w:iCs/>
          <w:sz w:val="24"/>
          <w:szCs w:val="24"/>
        </w:rPr>
        <w:t>Volatility expected for Chinese yuan, as experts diverge on 2019 outlooks | South China Morning Post</w:t>
      </w:r>
      <w:r>
        <w:rPr>
          <w:rFonts w:ascii="Times New Roman" w:hAnsi="Times New Roman" w:cs="Times New Roman"/>
          <w:sz w:val="24"/>
          <w:szCs w:val="24"/>
        </w:rPr>
        <w:t>. Available at: https://www.scmp.com/economy/china-economy/article/2183044/volatility-expected-chinese-yuan-experts-diverge-2019-outlooks (Accessed: 9 May 2019).</w:t>
      </w:r>
    </w:p>
    <w:p>
      <w:pPr>
        <w:autoSpaceDE w:val="0"/>
        <w:autoSpaceDN w:val="0"/>
        <w:adjustRightInd w:val="0"/>
        <w:spacing w:line="240" w:lineRule="auto"/>
        <w:rPr>
          <w:rFonts w:ascii="Times New Roman" w:hAnsi="Times New Roman" w:cs="Times New Roman"/>
          <w:sz w:val="24"/>
          <w:szCs w:val="24"/>
        </w:rPr>
      </w:pPr>
      <w:r>
        <w:rPr>
          <w:rFonts w:ascii="Times New Roman" w:hAnsi="Times New Roman" w:cs="Times New Roman"/>
          <w:sz w:val="24"/>
          <w:szCs w:val="24"/>
        </w:rPr>
        <w:t xml:space="preserve">Tesla (2018a) </w:t>
      </w:r>
      <w:r>
        <w:rPr>
          <w:rFonts w:ascii="Times New Roman" w:hAnsi="Times New Roman" w:cs="Times New Roman"/>
          <w:i/>
          <w:iCs/>
          <w:sz w:val="24"/>
          <w:szCs w:val="24"/>
        </w:rPr>
        <w:t>About Tesla</w:t>
      </w:r>
      <w:r>
        <w:rPr>
          <w:rFonts w:ascii="Times New Roman" w:hAnsi="Times New Roman" w:cs="Times New Roman"/>
          <w:sz w:val="24"/>
          <w:szCs w:val="24"/>
        </w:rPr>
        <w:t>. Available at: https://www.tesla.com/about?redirect=no (Accessed: 9 May 2019).</w:t>
      </w:r>
    </w:p>
    <w:p>
      <w:pPr>
        <w:autoSpaceDE w:val="0"/>
        <w:autoSpaceDN w:val="0"/>
        <w:adjustRightInd w:val="0"/>
        <w:spacing w:line="240" w:lineRule="auto"/>
        <w:rPr>
          <w:rFonts w:ascii="Times New Roman" w:hAnsi="Times New Roman" w:cs="Times New Roman"/>
          <w:sz w:val="24"/>
          <w:szCs w:val="24"/>
        </w:rPr>
      </w:pPr>
      <w:r>
        <w:rPr>
          <w:rFonts w:ascii="Times New Roman" w:hAnsi="Times New Roman" w:cs="Times New Roman"/>
          <w:sz w:val="24"/>
          <w:szCs w:val="24"/>
        </w:rPr>
        <w:t xml:space="preserve">Tesla (2018b) </w:t>
      </w:r>
      <w:r>
        <w:rPr>
          <w:rFonts w:ascii="Times New Roman" w:hAnsi="Times New Roman" w:cs="Times New Roman"/>
          <w:i/>
          <w:iCs/>
          <w:sz w:val="24"/>
          <w:szCs w:val="24"/>
        </w:rPr>
        <w:t>Model S</w:t>
      </w:r>
      <w:r>
        <w:rPr>
          <w:rFonts w:ascii="Times New Roman" w:hAnsi="Times New Roman" w:cs="Times New Roman"/>
          <w:sz w:val="24"/>
          <w:szCs w:val="24"/>
        </w:rPr>
        <w:t>. Available at: https://www.tesla.com/models (Accessed: 9 May 2019).</w:t>
      </w:r>
    </w:p>
    <w:p>
      <w:pPr>
        <w:autoSpaceDE w:val="0"/>
        <w:autoSpaceDN w:val="0"/>
        <w:adjustRightInd w:val="0"/>
        <w:spacing w:line="240" w:lineRule="auto"/>
        <w:rPr>
          <w:rFonts w:ascii="Times New Roman" w:hAnsi="Times New Roman" w:cs="Times New Roman"/>
          <w:sz w:val="24"/>
          <w:szCs w:val="24"/>
        </w:rPr>
      </w:pPr>
      <w:r>
        <w:rPr>
          <w:rFonts w:ascii="Times New Roman" w:hAnsi="Times New Roman" w:cs="Times New Roman"/>
          <w:sz w:val="24"/>
          <w:szCs w:val="24"/>
        </w:rPr>
        <w:t xml:space="preserve">Tesla (2018c) </w:t>
      </w:r>
      <w:r>
        <w:rPr>
          <w:rFonts w:ascii="Times New Roman" w:hAnsi="Times New Roman" w:cs="Times New Roman"/>
          <w:i/>
          <w:iCs/>
          <w:sz w:val="24"/>
          <w:szCs w:val="24"/>
        </w:rPr>
        <w:t>Roadster</w:t>
      </w:r>
      <w:r>
        <w:rPr>
          <w:rFonts w:ascii="Times New Roman" w:hAnsi="Times New Roman" w:cs="Times New Roman"/>
          <w:sz w:val="24"/>
          <w:szCs w:val="24"/>
        </w:rPr>
        <w:t>. Available at: https://www.tesla.com/roadster (Accessed: 9 May 2019).</w:t>
      </w:r>
    </w:p>
    <w:p>
      <w:pPr>
        <w:autoSpaceDE w:val="0"/>
        <w:autoSpaceDN w:val="0"/>
        <w:adjustRightInd w:val="0"/>
        <w:spacing w:line="240" w:lineRule="auto"/>
        <w:rPr>
          <w:rFonts w:ascii="Times New Roman" w:hAnsi="Times New Roman" w:cs="Times New Roman"/>
          <w:sz w:val="24"/>
          <w:szCs w:val="24"/>
        </w:rPr>
      </w:pPr>
      <w:r>
        <w:rPr>
          <w:rFonts w:ascii="Times New Roman" w:hAnsi="Times New Roman" w:cs="Times New Roman"/>
          <w:sz w:val="24"/>
          <w:szCs w:val="24"/>
        </w:rPr>
        <w:t xml:space="preserve">U.S. News &amp; World Report (2019) </w:t>
      </w:r>
      <w:r>
        <w:rPr>
          <w:rFonts w:ascii="Times New Roman" w:hAnsi="Times New Roman" w:cs="Times New Roman"/>
          <w:i/>
          <w:iCs/>
          <w:sz w:val="24"/>
          <w:szCs w:val="24"/>
        </w:rPr>
        <w:t>2019 Tesla Model X Performance</w:t>
      </w:r>
      <w:r>
        <w:rPr>
          <w:rFonts w:ascii="Times New Roman" w:hAnsi="Times New Roman" w:cs="Times New Roman"/>
          <w:sz w:val="24"/>
          <w:szCs w:val="24"/>
        </w:rPr>
        <w:t>. Available at: https://cars.usnews.com/cars-trucks/tesla/model-x/performance (Accessed: 9 May 2019).</w:t>
      </w:r>
    </w:p>
    <w:p>
      <w:pPr>
        <w:autoSpaceDE w:val="0"/>
        <w:autoSpaceDN w:val="0"/>
        <w:adjustRightInd w:val="0"/>
        <w:spacing w:line="240" w:lineRule="auto"/>
        <w:rPr>
          <w:rFonts w:ascii="Times New Roman" w:hAnsi="Times New Roman" w:cs="Times New Roman"/>
          <w:sz w:val="24"/>
          <w:szCs w:val="24"/>
        </w:rPr>
      </w:pPr>
      <w:r>
        <w:rPr>
          <w:rFonts w:ascii="Times New Roman" w:hAnsi="Times New Roman" w:cs="Times New Roman"/>
          <w:sz w:val="24"/>
          <w:szCs w:val="24"/>
        </w:rPr>
        <w:t xml:space="preserve">Wang, S., Li, J. and Zhao, D. (2017) ‘The impact of policy measures on consumer intention to adopt electric vehicles: Evidence from China’, </w:t>
      </w:r>
      <w:r>
        <w:rPr>
          <w:rFonts w:ascii="Times New Roman" w:hAnsi="Times New Roman" w:cs="Times New Roman"/>
          <w:i/>
          <w:iCs/>
          <w:sz w:val="24"/>
          <w:szCs w:val="24"/>
        </w:rPr>
        <w:t>Transportation Research Part A: Policy and Practice</w:t>
      </w:r>
      <w:r>
        <w:rPr>
          <w:rFonts w:ascii="Times New Roman" w:hAnsi="Times New Roman" w:cs="Times New Roman"/>
          <w:sz w:val="24"/>
          <w:szCs w:val="24"/>
        </w:rPr>
        <w:t>. Elsevier, 105, pp. 14–26.</w:t>
      </w:r>
    </w:p>
    <w:p>
      <w:pPr>
        <w:autoSpaceDE w:val="0"/>
        <w:autoSpaceDN w:val="0"/>
        <w:adjustRightInd w:val="0"/>
        <w:spacing w:line="240" w:lineRule="auto"/>
        <w:rPr>
          <w:rFonts w:ascii="Times New Roman" w:hAnsi="Times New Roman" w:cs="Times New Roman"/>
          <w:sz w:val="24"/>
        </w:rPr>
      </w:pPr>
      <w:r>
        <w:rPr>
          <w:rFonts w:ascii="Times New Roman" w:hAnsi="Times New Roman" w:cs="Times New Roman"/>
          <w:sz w:val="24"/>
          <w:szCs w:val="24"/>
        </w:rPr>
        <w:t xml:space="preserve">Wang, Y. </w:t>
      </w:r>
      <w:r>
        <w:rPr>
          <w:rFonts w:ascii="Times New Roman" w:hAnsi="Times New Roman" w:cs="Times New Roman"/>
          <w:i/>
          <w:iCs/>
          <w:sz w:val="24"/>
          <w:szCs w:val="24"/>
        </w:rPr>
        <w:t>et al.</w:t>
      </w:r>
      <w:r>
        <w:rPr>
          <w:rFonts w:ascii="Times New Roman" w:hAnsi="Times New Roman" w:cs="Times New Roman"/>
          <w:sz w:val="24"/>
          <w:szCs w:val="24"/>
        </w:rPr>
        <w:t xml:space="preserve"> (2017) ‘China’s electric car surge’, </w:t>
      </w:r>
      <w:r>
        <w:rPr>
          <w:rFonts w:ascii="Times New Roman" w:hAnsi="Times New Roman" w:cs="Times New Roman"/>
          <w:i/>
          <w:iCs/>
          <w:sz w:val="24"/>
          <w:szCs w:val="24"/>
        </w:rPr>
        <w:t>Energy Policy</w:t>
      </w:r>
      <w:r>
        <w:rPr>
          <w:rFonts w:ascii="Times New Roman" w:hAnsi="Times New Roman" w:cs="Times New Roman"/>
          <w:sz w:val="24"/>
          <w:szCs w:val="24"/>
        </w:rPr>
        <w:t>. Elsevier, 102, pp. 486–490.</w:t>
      </w:r>
    </w:p>
    <w:p>
      <w:pPr>
        <w:jc w:val="both"/>
        <w:rPr>
          <w:lang w:val="en-GB"/>
        </w:rPr>
      </w:pPr>
      <w:r>
        <w:rPr>
          <w:rFonts w:asciiTheme="majorHAnsi" w:hAnsiTheme="majorHAnsi" w:cstheme="majorHAnsi"/>
          <w:sz w:val="24"/>
          <w:szCs w:val="24"/>
          <w:lang w:val="en-GB"/>
        </w:rPr>
        <w:fldChar w:fldCharType="end"/>
      </w:r>
    </w:p>
    <w:sectPr>
      <w:footerReference r:id="rId4" w:type="default"/>
      <w:pgSz w:w="11906" w:h="16838"/>
      <w:pgMar w:top="1440" w:right="1080" w:bottom="1440" w:left="108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2"/>
      <w:jc w:val="right"/>
    </w:pPr>
  </w:p>
  <w:p>
    <w:pPr>
      <w:pStyle w:val="12"/>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327105237"/>
      <w:docPartObj>
        <w:docPartGallery w:val="AutoText"/>
      </w:docPartObj>
    </w:sdtPr>
    <w:sdtContent>
      <w:p>
        <w:pPr>
          <w:pStyle w:val="12"/>
          <w:jc w:val="right"/>
        </w:pPr>
        <w:r>
          <w:fldChar w:fldCharType="begin"/>
        </w:r>
        <w:r>
          <w:instrText xml:space="preserve">PAGE   \* MERGEFORMAT</w:instrText>
        </w:r>
        <w:r>
          <w:fldChar w:fldCharType="separate"/>
        </w:r>
        <w:r>
          <w:rPr>
            <w:lang w:val="zh-CN"/>
          </w:rPr>
          <w:t>2</w:t>
        </w:r>
        <w:r>
          <w:fldChar w:fldCharType="end"/>
        </w:r>
      </w:p>
    </w:sdtContent>
  </w:sdt>
  <w:p>
    <w:pPr>
      <w:pStyle w:val="12"/>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C1D0D5F"/>
    <w:multiLevelType w:val="multilevel"/>
    <w:tmpl w:val="2C1D0D5F"/>
    <w:lvl w:ilvl="0" w:tentative="0">
      <w:start w:val="4"/>
      <w:numFmt w:val="bullet"/>
      <w:lvlText w:val="-"/>
      <w:lvlJc w:val="left"/>
      <w:pPr>
        <w:ind w:left="360" w:hanging="360"/>
      </w:pPr>
      <w:rPr>
        <w:rFonts w:hint="default" w:ascii="Arial" w:hAnsi="Arial" w:cs="Arial" w:eastAsiaTheme="minorEastAsia"/>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1">
    <w:nsid w:val="6A812F02"/>
    <w:multiLevelType w:val="multilevel"/>
    <w:tmpl w:val="6A812F02"/>
    <w:lvl w:ilvl="0" w:tentative="0">
      <w:start w:val="1"/>
      <w:numFmt w:val="decimal"/>
      <w:lvlText w:val="%1."/>
      <w:lvlJc w:val="left"/>
      <w:pPr>
        <w:ind w:left="360" w:hanging="360"/>
      </w:pPr>
      <w:rPr>
        <w:rFonts w:hint="default"/>
      </w:rPr>
    </w:lvl>
    <w:lvl w:ilvl="1" w:tentative="0">
      <w:start w:val="1"/>
      <w:numFmt w:val="decimal"/>
      <w:isLgl/>
      <w:lvlText w:val="%1.%2"/>
      <w:lvlJc w:val="left"/>
      <w:pPr>
        <w:ind w:left="420" w:hanging="420"/>
      </w:pPr>
      <w:rPr>
        <w:rFonts w:hint="default"/>
      </w:rPr>
    </w:lvl>
    <w:lvl w:ilvl="2" w:tentative="0">
      <w:start w:val="1"/>
      <w:numFmt w:val="decimal"/>
      <w:isLgl/>
      <w:lvlText w:val="%1.%2.%3"/>
      <w:lvlJc w:val="left"/>
      <w:pPr>
        <w:ind w:left="720" w:hanging="720"/>
      </w:pPr>
      <w:rPr>
        <w:rFonts w:hint="default"/>
      </w:rPr>
    </w:lvl>
    <w:lvl w:ilvl="3" w:tentative="0">
      <w:start w:val="1"/>
      <w:numFmt w:val="decimal"/>
      <w:isLgl/>
      <w:lvlText w:val="%1.%2.%3.%4"/>
      <w:lvlJc w:val="left"/>
      <w:pPr>
        <w:ind w:left="720" w:hanging="720"/>
      </w:pPr>
      <w:rPr>
        <w:rFonts w:hint="default"/>
      </w:rPr>
    </w:lvl>
    <w:lvl w:ilvl="4" w:tentative="0">
      <w:start w:val="1"/>
      <w:numFmt w:val="decimal"/>
      <w:isLgl/>
      <w:lvlText w:val="%1.%2.%3.%4.%5"/>
      <w:lvlJc w:val="left"/>
      <w:pPr>
        <w:ind w:left="1080" w:hanging="1080"/>
      </w:pPr>
      <w:rPr>
        <w:rFonts w:hint="default"/>
      </w:rPr>
    </w:lvl>
    <w:lvl w:ilvl="5" w:tentative="0">
      <w:start w:val="1"/>
      <w:numFmt w:val="decimal"/>
      <w:isLgl/>
      <w:lvlText w:val="%1.%2.%3.%4.%5.%6"/>
      <w:lvlJc w:val="left"/>
      <w:pPr>
        <w:ind w:left="1080" w:hanging="1080"/>
      </w:pPr>
      <w:rPr>
        <w:rFonts w:hint="default"/>
      </w:rPr>
    </w:lvl>
    <w:lvl w:ilvl="6" w:tentative="0">
      <w:start w:val="1"/>
      <w:numFmt w:val="decimal"/>
      <w:isLgl/>
      <w:lvlText w:val="%1.%2.%3.%4.%5.%6.%7"/>
      <w:lvlJc w:val="left"/>
      <w:pPr>
        <w:ind w:left="1440" w:hanging="1440"/>
      </w:pPr>
      <w:rPr>
        <w:rFonts w:hint="default"/>
      </w:rPr>
    </w:lvl>
    <w:lvl w:ilvl="7" w:tentative="0">
      <w:start w:val="1"/>
      <w:numFmt w:val="decimal"/>
      <w:isLgl/>
      <w:lvlText w:val="%1.%2.%3.%4.%5.%6.%7.%8"/>
      <w:lvlJc w:val="left"/>
      <w:pPr>
        <w:ind w:left="1440" w:hanging="1440"/>
      </w:pPr>
      <w:rPr>
        <w:rFonts w:hint="default"/>
      </w:rPr>
    </w:lvl>
    <w:lvl w:ilvl="8" w:tentative="0">
      <w:start w:val="1"/>
      <w:numFmt w:val="decimal"/>
      <w:isLgl/>
      <w:lvlText w:val="%1.%2.%3.%4.%5.%6.%7.%8.%9"/>
      <w:lvlJc w:val="left"/>
      <w:pPr>
        <w:ind w:left="180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hideSpellingErrors/>
  <w:hideGrammaticalErrors/>
  <w:documentProtection w:enforcement="0"/>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LQwNDYxtTQwNzMzNjJT0lEKTi0uzszPAykwqwUADrBklSwAAAA="/>
  </w:docVars>
  <w:rsids>
    <w:rsidRoot w:val="00CA039F"/>
    <w:rsid w:val="000014E3"/>
    <w:rsid w:val="00061CF7"/>
    <w:rsid w:val="000762AF"/>
    <w:rsid w:val="00080BFB"/>
    <w:rsid w:val="000C7145"/>
    <w:rsid w:val="000D3D54"/>
    <w:rsid w:val="000F5A09"/>
    <w:rsid w:val="00155683"/>
    <w:rsid w:val="001C3767"/>
    <w:rsid w:val="001D2030"/>
    <w:rsid w:val="00215691"/>
    <w:rsid w:val="00241B4B"/>
    <w:rsid w:val="002B2A4F"/>
    <w:rsid w:val="002C3237"/>
    <w:rsid w:val="00331F32"/>
    <w:rsid w:val="0033698A"/>
    <w:rsid w:val="0034787E"/>
    <w:rsid w:val="003D606E"/>
    <w:rsid w:val="003E0837"/>
    <w:rsid w:val="00453B3C"/>
    <w:rsid w:val="00496205"/>
    <w:rsid w:val="004A7678"/>
    <w:rsid w:val="004D01EE"/>
    <w:rsid w:val="004D3334"/>
    <w:rsid w:val="004E67AA"/>
    <w:rsid w:val="005338C7"/>
    <w:rsid w:val="00543DCC"/>
    <w:rsid w:val="0057496C"/>
    <w:rsid w:val="00575D7F"/>
    <w:rsid w:val="00596C85"/>
    <w:rsid w:val="005B46AC"/>
    <w:rsid w:val="006559CC"/>
    <w:rsid w:val="006918DF"/>
    <w:rsid w:val="006B0715"/>
    <w:rsid w:val="006B7420"/>
    <w:rsid w:val="006E4586"/>
    <w:rsid w:val="00726798"/>
    <w:rsid w:val="007910B1"/>
    <w:rsid w:val="00794381"/>
    <w:rsid w:val="007F14A1"/>
    <w:rsid w:val="007F2C56"/>
    <w:rsid w:val="007F37A7"/>
    <w:rsid w:val="00807CA4"/>
    <w:rsid w:val="008971FA"/>
    <w:rsid w:val="008D0686"/>
    <w:rsid w:val="008D4EB6"/>
    <w:rsid w:val="0090083B"/>
    <w:rsid w:val="0092623F"/>
    <w:rsid w:val="00940F18"/>
    <w:rsid w:val="009550D7"/>
    <w:rsid w:val="00991B5A"/>
    <w:rsid w:val="00993D5B"/>
    <w:rsid w:val="009C5240"/>
    <w:rsid w:val="009E4F3E"/>
    <w:rsid w:val="00A81F00"/>
    <w:rsid w:val="00B31E84"/>
    <w:rsid w:val="00B373B4"/>
    <w:rsid w:val="00B40DC4"/>
    <w:rsid w:val="00B96FE7"/>
    <w:rsid w:val="00BA2226"/>
    <w:rsid w:val="00BB4E3C"/>
    <w:rsid w:val="00BD366C"/>
    <w:rsid w:val="00BE3124"/>
    <w:rsid w:val="00CA039F"/>
    <w:rsid w:val="00CE53CA"/>
    <w:rsid w:val="00D460B7"/>
    <w:rsid w:val="00D636C2"/>
    <w:rsid w:val="00DE5A20"/>
    <w:rsid w:val="00E501F8"/>
    <w:rsid w:val="00E546EE"/>
    <w:rsid w:val="00E75DAE"/>
    <w:rsid w:val="00EC61A0"/>
    <w:rsid w:val="00ED0B03"/>
    <w:rsid w:val="00F270ED"/>
    <w:rsid w:val="00F55D45"/>
    <w:rsid w:val="00F654CD"/>
    <w:rsid w:val="00F732BC"/>
    <w:rsid w:val="00FB21FF"/>
    <w:rsid w:val="46C364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qFormat="1"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20" w:line="264" w:lineRule="auto"/>
    </w:pPr>
    <w:rPr>
      <w:rFonts w:asciiTheme="minorHAnsi" w:hAnsiTheme="minorHAnsi" w:eastAsiaTheme="minorEastAsia" w:cstheme="minorBidi"/>
      <w:sz w:val="21"/>
      <w:szCs w:val="21"/>
      <w:lang w:val="en-US" w:eastAsia="zh-CN" w:bidi="ar-SA"/>
    </w:rPr>
  </w:style>
  <w:style w:type="paragraph" w:styleId="2">
    <w:name w:val="heading 1"/>
    <w:basedOn w:val="1"/>
    <w:next w:val="1"/>
    <w:link w:val="27"/>
    <w:qFormat/>
    <w:uiPriority w:val="9"/>
    <w:pPr>
      <w:keepNext/>
      <w:keepLines/>
      <w:pBdr>
        <w:bottom w:val="single" w:color="E84C22" w:themeColor="accent1" w:sz="4" w:space="1"/>
      </w:pBdr>
      <w:spacing w:before="400" w:after="40" w:line="240" w:lineRule="auto"/>
      <w:outlineLvl w:val="0"/>
    </w:pPr>
    <w:rPr>
      <w:rFonts w:asciiTheme="majorHAnsi" w:hAnsiTheme="majorHAnsi" w:eastAsiaTheme="majorEastAsia" w:cstheme="majorBidi"/>
      <w:color w:val="B53513" w:themeColor="accent1" w:themeShade="BF"/>
      <w:sz w:val="36"/>
      <w:szCs w:val="36"/>
    </w:rPr>
  </w:style>
  <w:style w:type="paragraph" w:styleId="3">
    <w:name w:val="heading 2"/>
    <w:basedOn w:val="1"/>
    <w:next w:val="1"/>
    <w:link w:val="28"/>
    <w:unhideWhenUsed/>
    <w:qFormat/>
    <w:uiPriority w:val="9"/>
    <w:pPr>
      <w:keepNext/>
      <w:keepLines/>
      <w:spacing w:before="160" w:after="0" w:line="240" w:lineRule="auto"/>
      <w:outlineLvl w:val="1"/>
    </w:pPr>
    <w:rPr>
      <w:rFonts w:asciiTheme="majorHAnsi" w:hAnsiTheme="majorHAnsi" w:eastAsiaTheme="majorEastAsia" w:cstheme="majorBidi"/>
      <w:color w:val="B53513" w:themeColor="accent1" w:themeShade="BF"/>
      <w:sz w:val="28"/>
      <w:szCs w:val="28"/>
    </w:rPr>
  </w:style>
  <w:style w:type="paragraph" w:styleId="4">
    <w:name w:val="heading 3"/>
    <w:basedOn w:val="1"/>
    <w:next w:val="1"/>
    <w:link w:val="29"/>
    <w:unhideWhenUsed/>
    <w:qFormat/>
    <w:uiPriority w:val="9"/>
    <w:pPr>
      <w:keepNext/>
      <w:keepLines/>
      <w:spacing w:before="80" w:after="0" w:line="240" w:lineRule="auto"/>
      <w:outlineLvl w:val="2"/>
    </w:pPr>
    <w:rPr>
      <w:rFonts w:asciiTheme="majorHAnsi" w:hAnsiTheme="majorHAnsi" w:eastAsiaTheme="majorEastAsia" w:cstheme="majorBidi"/>
      <w:color w:val="404040" w:themeColor="text1" w:themeTint="BF"/>
      <w:sz w:val="26"/>
      <w:szCs w:val="26"/>
      <w14:textFill>
        <w14:solidFill>
          <w14:schemeClr w14:val="tx1">
            <w14:lumMod w14:val="75000"/>
            <w14:lumOff w14:val="25000"/>
          </w14:schemeClr>
        </w14:solidFill>
      </w14:textFill>
    </w:rPr>
  </w:style>
  <w:style w:type="paragraph" w:styleId="5">
    <w:name w:val="heading 4"/>
    <w:basedOn w:val="1"/>
    <w:next w:val="1"/>
    <w:link w:val="30"/>
    <w:semiHidden/>
    <w:unhideWhenUsed/>
    <w:qFormat/>
    <w:uiPriority w:val="9"/>
    <w:pPr>
      <w:keepNext/>
      <w:keepLines/>
      <w:spacing w:before="80" w:after="0"/>
      <w:outlineLvl w:val="3"/>
    </w:pPr>
    <w:rPr>
      <w:rFonts w:asciiTheme="majorHAnsi" w:hAnsiTheme="majorHAnsi" w:eastAsiaTheme="majorEastAsia" w:cstheme="majorBidi"/>
      <w:sz w:val="24"/>
      <w:szCs w:val="24"/>
    </w:rPr>
  </w:style>
  <w:style w:type="paragraph" w:styleId="6">
    <w:name w:val="heading 5"/>
    <w:basedOn w:val="1"/>
    <w:next w:val="1"/>
    <w:link w:val="31"/>
    <w:semiHidden/>
    <w:unhideWhenUsed/>
    <w:qFormat/>
    <w:uiPriority w:val="9"/>
    <w:pPr>
      <w:keepNext/>
      <w:keepLines/>
      <w:spacing w:before="80" w:after="0"/>
      <w:outlineLvl w:val="4"/>
    </w:pPr>
    <w:rPr>
      <w:rFonts w:asciiTheme="majorHAnsi" w:hAnsiTheme="majorHAnsi" w:eastAsiaTheme="majorEastAsia" w:cstheme="majorBidi"/>
      <w:i/>
      <w:iCs/>
      <w:sz w:val="22"/>
      <w:szCs w:val="22"/>
    </w:rPr>
  </w:style>
  <w:style w:type="paragraph" w:styleId="7">
    <w:name w:val="heading 6"/>
    <w:basedOn w:val="1"/>
    <w:next w:val="1"/>
    <w:link w:val="32"/>
    <w:semiHidden/>
    <w:unhideWhenUsed/>
    <w:qFormat/>
    <w:uiPriority w:val="9"/>
    <w:pPr>
      <w:keepNext/>
      <w:keepLines/>
      <w:spacing w:before="80" w:after="0"/>
      <w:outlineLvl w:val="5"/>
    </w:pPr>
    <w:rPr>
      <w:rFonts w:asciiTheme="majorHAnsi" w:hAnsiTheme="majorHAnsi" w:eastAsiaTheme="majorEastAsia" w:cstheme="majorBidi"/>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3"/>
    <w:semiHidden/>
    <w:unhideWhenUsed/>
    <w:qFormat/>
    <w:uiPriority w:val="9"/>
    <w:pPr>
      <w:keepNext/>
      <w:keepLines/>
      <w:spacing w:before="80" w:after="0"/>
      <w:outlineLvl w:val="6"/>
    </w:pPr>
    <w:rPr>
      <w:rFonts w:asciiTheme="majorHAnsi" w:hAnsiTheme="majorHAnsi" w:eastAsiaTheme="majorEastAsia" w:cstheme="majorBidi"/>
      <w:i/>
      <w:iCs/>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4"/>
    <w:semiHidden/>
    <w:unhideWhenUsed/>
    <w:qFormat/>
    <w:uiPriority w:val="9"/>
    <w:pPr>
      <w:keepNext/>
      <w:keepLines/>
      <w:spacing w:before="80" w:after="0"/>
      <w:outlineLvl w:val="7"/>
    </w:pPr>
    <w:rPr>
      <w:rFonts w:asciiTheme="majorHAnsi" w:hAnsiTheme="majorHAnsi" w:eastAsiaTheme="majorEastAsia" w:cstheme="majorBidi"/>
      <w:smallCaps/>
      <w:color w:val="595959" w:themeColor="text1" w:themeTint="A6"/>
      <w14:textFill>
        <w14:solidFill>
          <w14:schemeClr w14:val="tx1">
            <w14:lumMod w14:val="65000"/>
            <w14:lumOff w14:val="35000"/>
          </w14:schemeClr>
        </w14:solidFill>
      </w14:textFill>
    </w:rPr>
  </w:style>
  <w:style w:type="paragraph" w:styleId="10">
    <w:name w:val="heading 9"/>
    <w:basedOn w:val="1"/>
    <w:next w:val="1"/>
    <w:link w:val="35"/>
    <w:semiHidden/>
    <w:unhideWhenUsed/>
    <w:qFormat/>
    <w:uiPriority w:val="9"/>
    <w:pPr>
      <w:keepNext/>
      <w:keepLines/>
      <w:spacing w:before="80" w:after="0"/>
      <w:outlineLvl w:val="8"/>
    </w:pPr>
    <w:rPr>
      <w:rFonts w:asciiTheme="majorHAnsi" w:hAnsiTheme="majorHAnsi" w:eastAsiaTheme="majorEastAsia" w:cstheme="majorBidi"/>
      <w:i/>
      <w:iCs/>
      <w:smallCaps/>
      <w:color w:val="595959" w:themeColor="text1" w:themeTint="A6"/>
      <w14:textFill>
        <w14:solidFill>
          <w14:schemeClr w14:val="tx1">
            <w14:lumMod w14:val="65000"/>
            <w14:lumOff w14:val="35000"/>
          </w14:schemeClr>
        </w14:solidFill>
      </w14:textFill>
    </w:rPr>
  </w:style>
  <w:style w:type="character" w:default="1" w:styleId="20">
    <w:name w:val="Default Paragraph Font"/>
    <w:semiHidden/>
    <w:unhideWhenUsed/>
    <w:uiPriority w:val="1"/>
  </w:style>
  <w:style w:type="table" w:default="1" w:styleId="19">
    <w:name w:val="Normal Table"/>
    <w:semiHidden/>
    <w:unhideWhenUsed/>
    <w:uiPriority w:val="99"/>
    <w:tblPr>
      <w:tblLayout w:type="fixed"/>
      <w:tblCellMar>
        <w:top w:w="0" w:type="dxa"/>
        <w:left w:w="108" w:type="dxa"/>
        <w:bottom w:w="0" w:type="dxa"/>
        <w:right w:w="108" w:type="dxa"/>
      </w:tblCellMar>
    </w:tblPr>
  </w:style>
  <w:style w:type="paragraph" w:styleId="11">
    <w:name w:val="caption"/>
    <w:basedOn w:val="1"/>
    <w:next w:val="1"/>
    <w:semiHidden/>
    <w:unhideWhenUsed/>
    <w:qFormat/>
    <w:uiPriority w:val="35"/>
    <w:pPr>
      <w:spacing w:line="240" w:lineRule="auto"/>
    </w:pPr>
    <w:rPr>
      <w:b/>
      <w:bCs/>
      <w:color w:val="404040" w:themeColor="text1" w:themeTint="BF"/>
      <w:sz w:val="20"/>
      <w:szCs w:val="20"/>
      <w14:textFill>
        <w14:solidFill>
          <w14:schemeClr w14:val="tx1">
            <w14:lumMod w14:val="75000"/>
            <w14:lumOff w14:val="25000"/>
          </w14:schemeClr>
        </w14:solidFill>
      </w14:textFill>
    </w:rPr>
  </w:style>
  <w:style w:type="paragraph" w:styleId="12">
    <w:name w:val="footer"/>
    <w:basedOn w:val="1"/>
    <w:link w:val="26"/>
    <w:unhideWhenUsed/>
    <w:uiPriority w:val="99"/>
    <w:pPr>
      <w:tabs>
        <w:tab w:val="center" w:pos="4153"/>
        <w:tab w:val="right" w:pos="8306"/>
      </w:tabs>
      <w:snapToGrid w:val="0"/>
    </w:pPr>
    <w:rPr>
      <w:sz w:val="18"/>
      <w:szCs w:val="18"/>
    </w:rPr>
  </w:style>
  <w:style w:type="paragraph" w:styleId="13">
    <w:name w:val="header"/>
    <w:basedOn w:val="1"/>
    <w:link w:val="25"/>
    <w:unhideWhenUsed/>
    <w:uiPriority w:val="99"/>
    <w:pPr>
      <w:pBdr>
        <w:bottom w:val="single" w:color="auto" w:sz="6" w:space="1"/>
      </w:pBdr>
      <w:tabs>
        <w:tab w:val="center" w:pos="4153"/>
        <w:tab w:val="right" w:pos="8306"/>
      </w:tabs>
      <w:snapToGrid w:val="0"/>
      <w:jc w:val="center"/>
    </w:pPr>
    <w:rPr>
      <w:sz w:val="18"/>
      <w:szCs w:val="18"/>
    </w:rPr>
  </w:style>
  <w:style w:type="paragraph" w:styleId="14">
    <w:name w:val="toc 1"/>
    <w:basedOn w:val="1"/>
    <w:next w:val="1"/>
    <w:unhideWhenUsed/>
    <w:uiPriority w:val="39"/>
  </w:style>
  <w:style w:type="paragraph" w:styleId="15">
    <w:name w:val="Subtitle"/>
    <w:basedOn w:val="1"/>
    <w:next w:val="1"/>
    <w:link w:val="37"/>
    <w:qFormat/>
    <w:uiPriority w:val="11"/>
    <w:pPr>
      <w:spacing w:after="240" w:line="240" w:lineRule="auto"/>
    </w:pPr>
    <w:rPr>
      <w:rFonts w:asciiTheme="majorHAnsi" w:hAnsiTheme="majorHAnsi" w:eastAsiaTheme="majorEastAsia" w:cstheme="majorBidi"/>
      <w:color w:val="404040" w:themeColor="text1" w:themeTint="BF"/>
      <w:sz w:val="30"/>
      <w:szCs w:val="30"/>
      <w14:textFill>
        <w14:solidFill>
          <w14:schemeClr w14:val="tx1">
            <w14:lumMod w14:val="75000"/>
            <w14:lumOff w14:val="25000"/>
          </w14:schemeClr>
        </w14:solidFill>
      </w14:textFill>
    </w:rPr>
  </w:style>
  <w:style w:type="paragraph" w:styleId="16">
    <w:name w:val="footnote text"/>
    <w:basedOn w:val="1"/>
    <w:link w:val="50"/>
    <w:semiHidden/>
    <w:unhideWhenUsed/>
    <w:uiPriority w:val="99"/>
    <w:pPr>
      <w:snapToGrid w:val="0"/>
    </w:pPr>
    <w:rPr>
      <w:sz w:val="18"/>
      <w:szCs w:val="18"/>
    </w:rPr>
  </w:style>
  <w:style w:type="paragraph" w:styleId="17">
    <w:name w:val="toc 2"/>
    <w:basedOn w:val="1"/>
    <w:next w:val="1"/>
    <w:unhideWhenUsed/>
    <w:uiPriority w:val="39"/>
    <w:pPr>
      <w:ind w:left="420" w:leftChars="200"/>
    </w:pPr>
  </w:style>
  <w:style w:type="paragraph" w:styleId="18">
    <w:name w:val="Title"/>
    <w:basedOn w:val="1"/>
    <w:next w:val="1"/>
    <w:link w:val="36"/>
    <w:qFormat/>
    <w:uiPriority w:val="10"/>
    <w:pPr>
      <w:spacing w:after="0" w:line="240" w:lineRule="auto"/>
      <w:contextualSpacing/>
    </w:pPr>
    <w:rPr>
      <w:rFonts w:asciiTheme="majorHAnsi" w:hAnsiTheme="majorHAnsi" w:eastAsiaTheme="majorEastAsia" w:cstheme="majorBidi"/>
      <w:color w:val="B53513" w:themeColor="accent1" w:themeShade="BF"/>
      <w:spacing w:val="-7"/>
      <w:sz w:val="80"/>
      <w:szCs w:val="80"/>
    </w:rPr>
  </w:style>
  <w:style w:type="character" w:styleId="21">
    <w:name w:val="Strong"/>
    <w:basedOn w:val="20"/>
    <w:qFormat/>
    <w:uiPriority w:val="22"/>
    <w:rPr>
      <w:b/>
      <w:bCs/>
    </w:rPr>
  </w:style>
  <w:style w:type="character" w:styleId="22">
    <w:name w:val="Emphasis"/>
    <w:basedOn w:val="20"/>
    <w:qFormat/>
    <w:uiPriority w:val="20"/>
    <w:rPr>
      <w:i/>
      <w:iCs/>
    </w:rPr>
  </w:style>
  <w:style w:type="character" w:styleId="23">
    <w:name w:val="Hyperlink"/>
    <w:basedOn w:val="20"/>
    <w:unhideWhenUsed/>
    <w:uiPriority w:val="99"/>
    <w:rPr>
      <w:color w:val="CC9900" w:themeColor="hyperlink"/>
      <w:u w:val="single"/>
      <w14:textFill>
        <w14:solidFill>
          <w14:schemeClr w14:val="hlink"/>
        </w14:solidFill>
      </w14:textFill>
    </w:rPr>
  </w:style>
  <w:style w:type="character" w:styleId="24">
    <w:name w:val="footnote reference"/>
    <w:basedOn w:val="20"/>
    <w:semiHidden/>
    <w:unhideWhenUsed/>
    <w:qFormat/>
    <w:uiPriority w:val="99"/>
    <w:rPr>
      <w:vertAlign w:val="superscript"/>
    </w:rPr>
  </w:style>
  <w:style w:type="character" w:customStyle="1" w:styleId="25">
    <w:name w:val="页眉 字符"/>
    <w:basedOn w:val="20"/>
    <w:link w:val="13"/>
    <w:uiPriority w:val="99"/>
    <w:rPr>
      <w:sz w:val="18"/>
      <w:szCs w:val="18"/>
      <w:lang w:val="en-GB"/>
    </w:rPr>
  </w:style>
  <w:style w:type="character" w:customStyle="1" w:styleId="26">
    <w:name w:val="页脚 字符"/>
    <w:basedOn w:val="20"/>
    <w:link w:val="12"/>
    <w:uiPriority w:val="99"/>
    <w:rPr>
      <w:sz w:val="18"/>
      <w:szCs w:val="18"/>
      <w:lang w:val="en-GB"/>
    </w:rPr>
  </w:style>
  <w:style w:type="character" w:customStyle="1" w:styleId="27">
    <w:name w:val="标题 1 字符"/>
    <w:basedOn w:val="20"/>
    <w:link w:val="2"/>
    <w:uiPriority w:val="9"/>
    <w:rPr>
      <w:rFonts w:asciiTheme="majorHAnsi" w:hAnsiTheme="majorHAnsi" w:eastAsiaTheme="majorEastAsia" w:cstheme="majorBidi"/>
      <w:color w:val="B53513" w:themeColor="accent1" w:themeShade="BF"/>
      <w:sz w:val="36"/>
      <w:szCs w:val="36"/>
    </w:rPr>
  </w:style>
  <w:style w:type="character" w:customStyle="1" w:styleId="28">
    <w:name w:val="标题 2 字符"/>
    <w:basedOn w:val="20"/>
    <w:link w:val="3"/>
    <w:uiPriority w:val="9"/>
    <w:rPr>
      <w:rFonts w:asciiTheme="majorHAnsi" w:hAnsiTheme="majorHAnsi" w:eastAsiaTheme="majorEastAsia" w:cstheme="majorBidi"/>
      <w:color w:val="B53513" w:themeColor="accent1" w:themeShade="BF"/>
      <w:sz w:val="28"/>
      <w:szCs w:val="28"/>
    </w:rPr>
  </w:style>
  <w:style w:type="character" w:customStyle="1" w:styleId="29">
    <w:name w:val="标题 3 字符"/>
    <w:basedOn w:val="20"/>
    <w:link w:val="4"/>
    <w:uiPriority w:val="9"/>
    <w:rPr>
      <w:rFonts w:asciiTheme="majorHAnsi" w:hAnsiTheme="majorHAnsi" w:eastAsiaTheme="majorEastAsia" w:cstheme="majorBidi"/>
      <w:color w:val="404040" w:themeColor="text1" w:themeTint="BF"/>
      <w:sz w:val="26"/>
      <w:szCs w:val="26"/>
      <w14:textFill>
        <w14:solidFill>
          <w14:schemeClr w14:val="tx1">
            <w14:lumMod w14:val="75000"/>
            <w14:lumOff w14:val="25000"/>
          </w14:schemeClr>
        </w14:solidFill>
      </w14:textFill>
    </w:rPr>
  </w:style>
  <w:style w:type="character" w:customStyle="1" w:styleId="30">
    <w:name w:val="标题 4 字符"/>
    <w:basedOn w:val="20"/>
    <w:link w:val="5"/>
    <w:semiHidden/>
    <w:uiPriority w:val="9"/>
    <w:rPr>
      <w:rFonts w:asciiTheme="majorHAnsi" w:hAnsiTheme="majorHAnsi" w:eastAsiaTheme="majorEastAsia" w:cstheme="majorBidi"/>
      <w:sz w:val="24"/>
      <w:szCs w:val="24"/>
    </w:rPr>
  </w:style>
  <w:style w:type="character" w:customStyle="1" w:styleId="31">
    <w:name w:val="标题 5 字符"/>
    <w:basedOn w:val="20"/>
    <w:link w:val="6"/>
    <w:semiHidden/>
    <w:uiPriority w:val="9"/>
    <w:rPr>
      <w:rFonts w:asciiTheme="majorHAnsi" w:hAnsiTheme="majorHAnsi" w:eastAsiaTheme="majorEastAsia" w:cstheme="majorBidi"/>
      <w:i/>
      <w:iCs/>
      <w:sz w:val="22"/>
      <w:szCs w:val="22"/>
    </w:rPr>
  </w:style>
  <w:style w:type="character" w:customStyle="1" w:styleId="32">
    <w:name w:val="标题 6 字符"/>
    <w:basedOn w:val="20"/>
    <w:link w:val="7"/>
    <w:semiHidden/>
    <w:uiPriority w:val="9"/>
    <w:rPr>
      <w:rFonts w:asciiTheme="majorHAnsi" w:hAnsiTheme="majorHAnsi"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3">
    <w:name w:val="标题 7 字符"/>
    <w:basedOn w:val="20"/>
    <w:link w:val="8"/>
    <w:semiHidden/>
    <w:uiPriority w:val="9"/>
    <w:rPr>
      <w:rFonts w:asciiTheme="majorHAnsi" w:hAnsiTheme="majorHAnsi"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34">
    <w:name w:val="标题 8 字符"/>
    <w:basedOn w:val="20"/>
    <w:link w:val="9"/>
    <w:semiHidden/>
    <w:uiPriority w:val="9"/>
    <w:rPr>
      <w:rFonts w:asciiTheme="majorHAnsi" w:hAnsiTheme="majorHAnsi" w:eastAsiaTheme="majorEastAsia" w:cstheme="majorBidi"/>
      <w:smallCaps/>
      <w:color w:val="595959" w:themeColor="text1" w:themeTint="A6"/>
      <w14:textFill>
        <w14:solidFill>
          <w14:schemeClr w14:val="tx1">
            <w14:lumMod w14:val="65000"/>
            <w14:lumOff w14:val="35000"/>
          </w14:schemeClr>
        </w14:solidFill>
      </w14:textFill>
    </w:rPr>
  </w:style>
  <w:style w:type="character" w:customStyle="1" w:styleId="35">
    <w:name w:val="标题 9 字符"/>
    <w:basedOn w:val="20"/>
    <w:link w:val="10"/>
    <w:semiHidden/>
    <w:uiPriority w:val="9"/>
    <w:rPr>
      <w:rFonts w:asciiTheme="majorHAnsi" w:hAnsiTheme="majorHAnsi" w:eastAsiaTheme="majorEastAsia" w:cstheme="majorBidi"/>
      <w:i/>
      <w:iCs/>
      <w:smallCaps/>
      <w:color w:val="595959" w:themeColor="text1" w:themeTint="A6"/>
      <w14:textFill>
        <w14:solidFill>
          <w14:schemeClr w14:val="tx1">
            <w14:lumMod w14:val="65000"/>
            <w14:lumOff w14:val="35000"/>
          </w14:schemeClr>
        </w14:solidFill>
      </w14:textFill>
    </w:rPr>
  </w:style>
  <w:style w:type="character" w:customStyle="1" w:styleId="36">
    <w:name w:val="标题 字符"/>
    <w:basedOn w:val="20"/>
    <w:link w:val="18"/>
    <w:uiPriority w:val="10"/>
    <w:rPr>
      <w:rFonts w:asciiTheme="majorHAnsi" w:hAnsiTheme="majorHAnsi" w:eastAsiaTheme="majorEastAsia" w:cstheme="majorBidi"/>
      <w:color w:val="B53513" w:themeColor="accent1" w:themeShade="BF"/>
      <w:spacing w:val="-7"/>
      <w:sz w:val="80"/>
      <w:szCs w:val="80"/>
    </w:rPr>
  </w:style>
  <w:style w:type="character" w:customStyle="1" w:styleId="37">
    <w:name w:val="副标题 字符"/>
    <w:basedOn w:val="20"/>
    <w:link w:val="15"/>
    <w:uiPriority w:val="11"/>
    <w:rPr>
      <w:rFonts w:asciiTheme="majorHAnsi" w:hAnsiTheme="majorHAnsi" w:eastAsiaTheme="majorEastAsia" w:cstheme="majorBidi"/>
      <w:color w:val="404040" w:themeColor="text1" w:themeTint="BF"/>
      <w:sz w:val="30"/>
      <w:szCs w:val="30"/>
      <w14:textFill>
        <w14:solidFill>
          <w14:schemeClr w14:val="tx1">
            <w14:lumMod w14:val="75000"/>
            <w14:lumOff w14:val="25000"/>
          </w14:schemeClr>
        </w14:solidFill>
      </w14:textFill>
    </w:rPr>
  </w:style>
  <w:style w:type="paragraph" w:styleId="38">
    <w:name w:val="No Spacing"/>
    <w:qFormat/>
    <w:uiPriority w:val="1"/>
    <w:pPr>
      <w:spacing w:after="0" w:line="240" w:lineRule="auto"/>
    </w:pPr>
    <w:rPr>
      <w:rFonts w:asciiTheme="minorHAnsi" w:hAnsiTheme="minorHAnsi" w:eastAsiaTheme="minorEastAsia" w:cstheme="minorBidi"/>
      <w:sz w:val="21"/>
      <w:szCs w:val="21"/>
      <w:lang w:val="en-US" w:eastAsia="zh-CN" w:bidi="ar-SA"/>
    </w:rPr>
  </w:style>
  <w:style w:type="paragraph" w:styleId="39">
    <w:name w:val="Quote"/>
    <w:basedOn w:val="1"/>
    <w:next w:val="1"/>
    <w:link w:val="40"/>
    <w:qFormat/>
    <w:uiPriority w:val="29"/>
    <w:pPr>
      <w:spacing w:before="240" w:after="240" w:line="252" w:lineRule="auto"/>
      <w:ind w:left="864" w:right="864"/>
      <w:jc w:val="center"/>
    </w:pPr>
    <w:rPr>
      <w:i/>
      <w:iCs/>
    </w:rPr>
  </w:style>
  <w:style w:type="character" w:customStyle="1" w:styleId="40">
    <w:name w:val="引用 字符"/>
    <w:basedOn w:val="20"/>
    <w:link w:val="39"/>
    <w:uiPriority w:val="29"/>
    <w:rPr>
      <w:i/>
      <w:iCs/>
    </w:rPr>
  </w:style>
  <w:style w:type="paragraph" w:styleId="41">
    <w:name w:val="Intense Quote"/>
    <w:basedOn w:val="1"/>
    <w:next w:val="1"/>
    <w:link w:val="42"/>
    <w:qFormat/>
    <w:uiPriority w:val="30"/>
    <w:pPr>
      <w:spacing w:before="100" w:beforeAutospacing="1" w:after="240"/>
      <w:ind w:left="864" w:right="864"/>
      <w:jc w:val="center"/>
    </w:pPr>
    <w:rPr>
      <w:rFonts w:asciiTheme="majorHAnsi" w:hAnsiTheme="majorHAnsi" w:eastAsiaTheme="majorEastAsia" w:cstheme="majorBidi"/>
      <w:color w:val="E84C22" w:themeColor="accent1"/>
      <w:sz w:val="28"/>
      <w:szCs w:val="28"/>
      <w14:textFill>
        <w14:solidFill>
          <w14:schemeClr w14:val="accent1"/>
        </w14:solidFill>
      </w14:textFill>
    </w:rPr>
  </w:style>
  <w:style w:type="character" w:customStyle="1" w:styleId="42">
    <w:name w:val="明显引用 字符"/>
    <w:basedOn w:val="20"/>
    <w:link w:val="41"/>
    <w:uiPriority w:val="30"/>
    <w:rPr>
      <w:rFonts w:asciiTheme="majorHAnsi" w:hAnsiTheme="majorHAnsi" w:eastAsiaTheme="majorEastAsia" w:cstheme="majorBidi"/>
      <w:color w:val="E84C22" w:themeColor="accent1"/>
      <w:sz w:val="28"/>
      <w:szCs w:val="28"/>
      <w14:textFill>
        <w14:solidFill>
          <w14:schemeClr w14:val="accent1"/>
        </w14:solidFill>
      </w14:textFill>
    </w:rPr>
  </w:style>
  <w:style w:type="character" w:customStyle="1" w:styleId="43">
    <w:name w:val="Subtle Emphasis"/>
    <w:basedOn w:val="20"/>
    <w:qFormat/>
    <w:uiPriority w:val="19"/>
    <w:rPr>
      <w:i/>
      <w:iCs/>
      <w:color w:val="595959" w:themeColor="text1" w:themeTint="A6"/>
      <w14:textFill>
        <w14:solidFill>
          <w14:schemeClr w14:val="tx1">
            <w14:lumMod w14:val="65000"/>
            <w14:lumOff w14:val="35000"/>
          </w14:schemeClr>
        </w14:solidFill>
      </w14:textFill>
    </w:rPr>
  </w:style>
  <w:style w:type="character" w:customStyle="1" w:styleId="44">
    <w:name w:val="Intense Emphasis"/>
    <w:basedOn w:val="20"/>
    <w:qFormat/>
    <w:uiPriority w:val="21"/>
    <w:rPr>
      <w:b/>
      <w:bCs/>
      <w:i/>
      <w:iCs/>
    </w:rPr>
  </w:style>
  <w:style w:type="character" w:customStyle="1" w:styleId="45">
    <w:name w:val="Subtle Reference"/>
    <w:basedOn w:val="20"/>
    <w:qFormat/>
    <w:uiPriority w:val="31"/>
    <w:rPr>
      <w:smallCaps/>
      <w:color w:val="404040" w:themeColor="text1" w:themeTint="BF"/>
      <w14:textFill>
        <w14:solidFill>
          <w14:schemeClr w14:val="tx1">
            <w14:lumMod w14:val="75000"/>
            <w14:lumOff w14:val="25000"/>
          </w14:schemeClr>
        </w14:solidFill>
      </w14:textFill>
    </w:rPr>
  </w:style>
  <w:style w:type="character" w:customStyle="1" w:styleId="46">
    <w:name w:val="Intense Reference"/>
    <w:basedOn w:val="20"/>
    <w:qFormat/>
    <w:uiPriority w:val="32"/>
    <w:rPr>
      <w:b/>
      <w:bCs/>
      <w:smallCaps/>
      <w:u w:val="single"/>
    </w:rPr>
  </w:style>
  <w:style w:type="character" w:customStyle="1" w:styleId="47">
    <w:name w:val="Book Title"/>
    <w:basedOn w:val="20"/>
    <w:qFormat/>
    <w:uiPriority w:val="33"/>
    <w:rPr>
      <w:b/>
      <w:bCs/>
      <w:smallCaps/>
    </w:rPr>
  </w:style>
  <w:style w:type="paragraph" w:customStyle="1" w:styleId="48">
    <w:name w:val="TOC Heading"/>
    <w:basedOn w:val="2"/>
    <w:next w:val="1"/>
    <w:unhideWhenUsed/>
    <w:qFormat/>
    <w:uiPriority w:val="39"/>
    <w:pPr>
      <w:outlineLvl w:val="9"/>
    </w:pPr>
  </w:style>
  <w:style w:type="paragraph" w:styleId="49">
    <w:name w:val="List Paragraph"/>
    <w:basedOn w:val="1"/>
    <w:qFormat/>
    <w:uiPriority w:val="34"/>
    <w:pPr>
      <w:ind w:firstLine="420" w:firstLineChars="200"/>
    </w:pPr>
  </w:style>
  <w:style w:type="character" w:customStyle="1" w:styleId="50">
    <w:name w:val="脚注文本 字符"/>
    <w:basedOn w:val="20"/>
    <w:link w:val="16"/>
    <w:semiHidden/>
    <w:uiPriority w:val="99"/>
    <w:rPr>
      <w:sz w:val="18"/>
      <w:szCs w:val="18"/>
    </w:rPr>
  </w:style>
</w:styles>
</file>

<file path=word/_rels/document.xml.rels><?xml version="1.0" encoding="UTF-8" standalone="yes"?>
<Relationships xmlns="http://schemas.openxmlformats.org/package/2006/relationships"><Relationship Id="rId9" Type="http://schemas.openxmlformats.org/officeDocument/2006/relationships/chart" Target="charts/chart1.xml"/><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2.xml"/><Relationship Id="rId13" Type="http://schemas.openxmlformats.org/officeDocument/2006/relationships/numbering" Target="numbering.xml"/><Relationship Id="rId12" Type="http://schemas.openxmlformats.org/officeDocument/2006/relationships/customXml" Target="../customXml/item1.xml"/><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package" Target="../embeddings/Workbook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radarChart>
        <c:radarStyle val="marker"/>
        <c:varyColors val="0"/>
        <c:ser>
          <c:idx val="0"/>
          <c:order val="0"/>
          <c:spPr>
            <a:ln w="25400" cap="rnd" cmpd="sng" algn="ctr">
              <a:solidFill>
                <a:schemeClr val="accent1"/>
              </a:solidFill>
              <a:prstDash val="sysDot"/>
              <a:round/>
            </a:ln>
            <a:effectLst/>
          </c:spPr>
          <c:marker>
            <c:symbol val="none"/>
          </c:marker>
          <c:dLbls>
            <c:delete val="1"/>
          </c:dLbls>
          <c:cat>
            <c:strRef>
              <c:f>Sheet1!$A$2:$A$6</c:f>
              <c:strCache>
                <c:ptCount val="5"/>
                <c:pt idx="0">
                  <c:v>Entry threat</c:v>
                </c:pt>
                <c:pt idx="1">
                  <c:v>Supplier power</c:v>
                </c:pt>
                <c:pt idx="2">
                  <c:v>Buyer power </c:v>
                </c:pt>
                <c:pt idx="3">
                  <c:v>Substitues threat </c:v>
                </c:pt>
                <c:pt idx="4">
                  <c:v>Existing rivalries </c:v>
                </c:pt>
              </c:strCache>
            </c:strRef>
          </c:cat>
          <c:val>
            <c:numRef>
              <c:f>Sheet1!$B$2:$B$6</c:f>
              <c:numCache>
                <c:formatCode>General</c:formatCode>
                <c:ptCount val="5"/>
                <c:pt idx="0">
                  <c:v>1</c:v>
                </c:pt>
                <c:pt idx="1">
                  <c:v>4</c:v>
                </c:pt>
                <c:pt idx="2">
                  <c:v>4</c:v>
                </c:pt>
                <c:pt idx="3">
                  <c:v>4</c:v>
                </c:pt>
                <c:pt idx="4">
                  <c:v>3</c:v>
                </c:pt>
              </c:numCache>
            </c:numRef>
          </c:val>
        </c:ser>
        <c:dLbls>
          <c:showLegendKey val="0"/>
          <c:showVal val="0"/>
          <c:showCatName val="0"/>
          <c:showSerName val="0"/>
          <c:showPercent val="0"/>
          <c:showBubbleSize val="0"/>
        </c:dLbls>
        <c:axId val="591152576"/>
        <c:axId val="588993008"/>
      </c:radarChart>
      <c:catAx>
        <c:axId val="5911525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588993008"/>
        <c:crosses val="autoZero"/>
        <c:auto val="1"/>
        <c:lblAlgn val="ctr"/>
        <c:lblOffset val="100"/>
        <c:noMultiLvlLbl val="0"/>
      </c:catAx>
      <c:valAx>
        <c:axId val="588993008"/>
        <c:scaling>
          <c:orientation val="minMax"/>
          <c:max val="5"/>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591152576"/>
        <c:crosses val="autoZero"/>
        <c:crossBetween val="between"/>
      </c:valAx>
      <c:spPr>
        <a:noFill/>
        <a:ln>
          <a:noFill/>
        </a:ln>
        <a:effectLst/>
      </c:spPr>
    </c:plotArea>
    <c:plotVisOnly val="1"/>
    <c:dispBlanksAs val="gap"/>
    <c:showDLblsOverMax val="0"/>
  </c:chart>
  <c:spPr>
    <a:noFill/>
    <a:ln w="9525" cap="flat" cmpd="sng" algn="ctr">
      <a:no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1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50196"/>
        </a:schemeClr>
      </a:solidFill>
      <a:ln w="25400">
        <a:solidFill>
          <a:schemeClr val="phClr"/>
        </a:solidFill>
        <a:prstDash val="sysDot"/>
      </a:ln>
    </cs:spPr>
  </cs:dataPoint>
  <cs:dataPoint3D>
    <cs:lnRef idx="0">
      <cs:styleClr val="auto"/>
    </cs:lnRef>
    <cs:fillRef idx="0">
      <cs:styleClr val="auto"/>
    </cs:fillRef>
    <cs:effectRef idx="0"/>
    <cs:fontRef idx="minor">
      <a:schemeClr val="tx1"/>
    </cs:fontRef>
    <cs:spPr>
      <a:solidFill>
        <a:schemeClr val="phClr">
          <a:alpha val="50196"/>
        </a:schemeClr>
      </a:solidFill>
      <a:ln w="25400">
        <a:solidFill>
          <a:schemeClr val="phClr"/>
        </a:solidFill>
        <a:prstDash val="sysDot"/>
      </a:ln>
    </cs:spPr>
  </cs:dataPoint3D>
  <cs:dataPointLine>
    <cs:lnRef idx="0">
      <cs:styleClr val="auto"/>
    </cs:lnRef>
    <cs:fillRef idx="0"/>
    <cs:effectRef idx="0"/>
    <cs:fontRef idx="minor">
      <a:schemeClr val="tx1"/>
    </cs:fontRef>
    <cs:spPr>
      <a:ln w="25400" cap="rnd" cmpd="sng" algn="ctr">
        <a:solidFill>
          <a:schemeClr val="phClr"/>
        </a:solidFill>
        <a:prstDash val="sysDot"/>
        <a:round/>
      </a:ln>
    </cs:spPr>
  </cs:dataPointLine>
  <cs:dataPointMarker>
    <cs:lnRef idx="0">
      <cs:styleClr val="auto"/>
    </cs:lnRef>
    <cs:fillRef idx="0">
      <cs:styleClr val="auto"/>
    </cs:fillRef>
    <cs:effectRef idx="0"/>
    <cs:fontRef idx="minor">
      <a:schemeClr val="tx1"/>
    </cs:fontRef>
    <cs:spPr>
      <a:solidFill>
        <a:schemeClr val="phClr"/>
      </a:solidFill>
    </cs:spPr>
  </cs:dataPointMarker>
  <cs:dataPointMarkerLayout symbol="circle" size="6"/>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主题​​">
  <a:themeElements>
    <a:clrScheme name="红橙色">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Times New Roman-Arial">
      <a:maj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385C0F9-4020-4D7E-ACE2-5560DF189613}">
  <ds:schemaRefs/>
</ds:datastoreItem>
</file>

<file path=docProps/app.xml><?xml version="1.0" encoding="utf-8"?>
<Properties xmlns="http://schemas.openxmlformats.org/officeDocument/2006/extended-properties" xmlns:vt="http://schemas.openxmlformats.org/officeDocument/2006/docPropsVTypes">
  <Template>Normal</Template>
  <Pages>18</Pages>
  <Words>8242</Words>
  <Characters>46984</Characters>
  <Lines>391</Lines>
  <Paragraphs>110</Paragraphs>
  <TotalTime>34</TotalTime>
  <ScaleCrop>false</ScaleCrop>
  <LinksUpToDate>false</LinksUpToDate>
  <CharactersWithSpaces>55116</CharactersWithSpaces>
  <Application>WPS Office_11.1.0.8597_F1E327BC-269C-435d-A152-05C5408002CA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2019-05-09T15:40:00Z</dcterms:created>
  <dc:creator>Wei Shanshan</dc:creator>
  <cp:lastModifiedBy>Krisien</cp:lastModifiedBy>
  <dcterms:modified xsi:type="dcterms:W3CDTF">2019-05-10T14:36:04Z</dcterms:modified>
  <cp:revision>14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http://www.zotero.org/styles/harvard-cite-them-right</vt:lpwstr>
  </property>
  <property fmtid="{D5CDD505-2E9C-101B-9397-08002B2CF9AE}" pid="4" name="Mendeley Unique User Id_1">
    <vt:lpwstr>dc7538be-bcd6-3be4-b1f3-3329b185610b</vt:lpwstr>
  </property>
  <property fmtid="{D5CDD505-2E9C-101B-9397-08002B2CF9AE}" pid="5" name="Mendeley Recent Style Id 0_1">
    <vt:lpwstr>http://www.zotero.org/styles/apa</vt:lpwstr>
  </property>
  <property fmtid="{D5CDD505-2E9C-101B-9397-08002B2CF9AE}" pid="6" name="Mendeley Recent Style Name 0_1">
    <vt:lpwstr>American Psychological Association 6th edition</vt:lpwstr>
  </property>
  <property fmtid="{D5CDD505-2E9C-101B-9397-08002B2CF9AE}" pid="7" name="Mendeley Recent Style Id 1_1">
    <vt:lpwstr>http://www.zotero.org/styles/american-sociological-association</vt:lpwstr>
  </property>
  <property fmtid="{D5CDD505-2E9C-101B-9397-08002B2CF9AE}" pid="8" name="Mendeley Recent Style Name 1_1">
    <vt:lpwstr>American Sociological Association</vt:lpwstr>
  </property>
  <property fmtid="{D5CDD505-2E9C-101B-9397-08002B2CF9AE}" pid="9" name="Mendeley Recent Style Id 2_1">
    <vt:lpwstr>http://www.zotero.org/styles/chicago-author-date</vt:lpwstr>
  </property>
  <property fmtid="{D5CDD505-2E9C-101B-9397-08002B2CF9AE}" pid="10" name="Mendeley Recent Style Name 2_1">
    <vt:lpwstr>Chicago Manual of Style 17th edition (author-date)</vt:lpwstr>
  </property>
  <property fmtid="{D5CDD505-2E9C-101B-9397-08002B2CF9AE}" pid="11" name="Mendeley Recent Style Id 3_1">
    <vt:lpwstr>http://www.zotero.org/styles/harvard-cite-them-right</vt:lpwstr>
  </property>
  <property fmtid="{D5CDD505-2E9C-101B-9397-08002B2CF9AE}" pid="12" name="Mendeley Recent Style Name 3_1">
    <vt:lpwstr>Cite Them Right 10th edition - Harvard</vt:lpwstr>
  </property>
  <property fmtid="{D5CDD505-2E9C-101B-9397-08002B2CF9AE}" pid="13" name="Mendeley Recent Style Id 4_1">
    <vt:lpwstr>http://www.zotero.org/styles/harvard-coventry-university</vt:lpwstr>
  </property>
  <property fmtid="{D5CDD505-2E9C-101B-9397-08002B2CF9AE}" pid="14" name="Mendeley Recent Style Name 4_1">
    <vt:lpwstr>Coventry University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y fmtid="{D5CDD505-2E9C-101B-9397-08002B2CF9AE}" pid="25" name="KSOProductBuildVer">
    <vt:lpwstr>2052-11.1.0.8597</vt:lpwstr>
  </property>
</Properties>
</file>