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AC13C2B" w:rsidR="007D1947" w:rsidRDefault="00F8329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IMPLEMENTATION PLAN </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25357828" w:rsidR="007D1947" w:rsidRDefault="00F83291">
              <w:pPr>
                <w:pStyle w:val="NoSpacing"/>
                <w:jc w:val="center"/>
                <w:rPr>
                  <w:color w:val="5B9BD5" w:themeColor="accent1"/>
                  <w:sz w:val="28"/>
                  <w:szCs w:val="28"/>
                </w:rPr>
              </w:pPr>
              <w:r>
                <w:rPr>
                  <w:color w:val="5B9BD5" w:themeColor="accent1"/>
                  <w:sz w:val="28"/>
                  <w:szCs w:val="28"/>
                </w:rPr>
                <w:t>IRINA KITLEY 2219546</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52BAF8D9" w14:textId="001CB606" w:rsidR="007D1947" w:rsidRDefault="00F83291">
                                    <w:pPr>
                                      <w:pStyle w:val="NoSpacing"/>
                                      <w:spacing w:after="40"/>
                                      <w:jc w:val="center"/>
                                      <w:rPr>
                                        <w:caps/>
                                        <w:color w:val="5B9BD5" w:themeColor="accent1"/>
                                        <w:sz w:val="28"/>
                                        <w:szCs w:val="28"/>
                                      </w:rPr>
                                    </w:pPr>
                                    <w:r>
                                      <w:rPr>
                                        <w:caps/>
                                        <w:color w:val="5B9BD5" w:themeColor="accent1"/>
                                        <w:sz w:val="28"/>
                                        <w:szCs w:val="28"/>
                                      </w:rPr>
                                      <w:t>January 12,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52BAF8D9" w14:textId="001CB606" w:rsidR="007D1947" w:rsidRDefault="00F83291">
                              <w:pPr>
                                <w:pStyle w:val="NoSpacing"/>
                                <w:spacing w:after="40"/>
                                <w:jc w:val="center"/>
                                <w:rPr>
                                  <w:caps/>
                                  <w:color w:val="5B9BD5" w:themeColor="accent1"/>
                                  <w:sz w:val="28"/>
                                  <w:szCs w:val="28"/>
                                </w:rPr>
                              </w:pPr>
                              <w:r>
                                <w:rPr>
                                  <w:caps/>
                                  <w:color w:val="5B9BD5" w:themeColor="accent1"/>
                                  <w:sz w:val="28"/>
                                  <w:szCs w:val="28"/>
                                </w:rPr>
                                <w:t>January 12,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056C90DD" w:rsidR="007D1947" w:rsidRDefault="007D1947" w:rsidP="007D1947">
          <w:pPr>
            <w:pStyle w:val="Heading1"/>
          </w:pPr>
          <w:r>
            <w:br w:type="page"/>
          </w:r>
          <w:bookmarkStart w:id="0" w:name="_Toc219108387"/>
          <w:r>
            <w:lastRenderedPageBreak/>
            <w:t>Summary</w:t>
          </w:r>
          <w:bookmarkEnd w:id="0"/>
        </w:p>
        <w:p w14:paraId="16A0605E" w14:textId="77777777" w:rsidR="000E13CB" w:rsidRPr="001024F1" w:rsidRDefault="000E13CB" w:rsidP="000E13CB">
          <w:pPr>
            <w:jc w:val="both"/>
            <w:rPr>
              <w:sz w:val="24"/>
              <w:szCs w:val="24"/>
            </w:rPr>
          </w:pPr>
          <w:r w:rsidRPr="001024F1">
            <w:rPr>
              <w:sz w:val="24"/>
              <w:szCs w:val="24"/>
            </w:rPr>
            <w:t xml:space="preserve">This implementation plan addresses the persistent gender imbalance in mechanical engineering in the UK and Romania, with a particular focus on women’s progression into leadership roles. Drawing on contemporary leadership theory, comparative national analysis and evidence from education and organisational research, the plan demonstrates that underrepresentation is not driven by women’s ability or aspiration, but by systemic barriers embedded in education pathways, organisational practices, power structures and workplace culture. The contrast between the UK’s low participation and high attrition rates and Romania’s relatively strong STEM pipeline but limited leadership outcomes </w:t>
          </w:r>
          <w:proofErr w:type="gramStart"/>
          <w:r w:rsidRPr="001024F1">
            <w:rPr>
              <w:sz w:val="24"/>
              <w:szCs w:val="24"/>
            </w:rPr>
            <w:t>highlights</w:t>
          </w:r>
          <w:proofErr w:type="gramEnd"/>
          <w:r w:rsidRPr="001024F1">
            <w:rPr>
              <w:sz w:val="24"/>
              <w:szCs w:val="24"/>
            </w:rPr>
            <w:t xml:space="preserve"> the need for an integrated and context-sensitive approach.</w:t>
          </w:r>
        </w:p>
        <w:p w14:paraId="219DBB16" w14:textId="77777777" w:rsidR="000E13CB" w:rsidRPr="001024F1" w:rsidRDefault="000E13CB" w:rsidP="000E13CB">
          <w:pPr>
            <w:jc w:val="both"/>
            <w:rPr>
              <w:sz w:val="24"/>
              <w:szCs w:val="24"/>
            </w:rPr>
          </w:pPr>
        </w:p>
        <w:p w14:paraId="6846CF66" w14:textId="3B1EF2AA" w:rsidR="007D1947" w:rsidRPr="001024F1" w:rsidRDefault="000E13CB" w:rsidP="000E13CB">
          <w:pPr>
            <w:jc w:val="both"/>
            <w:rPr>
              <w:sz w:val="24"/>
              <w:szCs w:val="24"/>
            </w:rPr>
          </w:pPr>
          <w:r w:rsidRPr="001024F1">
            <w:rPr>
              <w:sz w:val="24"/>
              <w:szCs w:val="24"/>
            </w:rPr>
            <w:t>The plan proposes a set of SMART objectives supported by a phased timeline, a Gantt chart and a detailed action plan. Key interventions include early identity-building educational initiatives, retention-focused organisational redesign, transparent progression systems, sponsorship-based leadership development and mechanisms to strengthen psychological safety and employee voice. Framed by the Four V’s model of ethical leadership, the plan emphasises alignment between values, vision and everyday leadership behaviour. By combining educational reform with organisational accountability and long-term governance, the implementation plan offers a realistic and sustainable route to improving gender balance, leadership diversity and workforce resilience within mechanical engineering across both national contexts.</w:t>
          </w:r>
        </w:p>
        <w:p w14:paraId="7F8F78F5" w14:textId="77777777" w:rsidR="007D1947" w:rsidRDefault="007D1947" w:rsidP="000E13CB">
          <w:pPr>
            <w:jc w:val="both"/>
          </w:pPr>
        </w:p>
        <w:p w14:paraId="3E204757" w14:textId="77777777" w:rsidR="007D1947" w:rsidRDefault="007D1947" w:rsidP="000E13CB">
          <w:pPr>
            <w:jc w:val="both"/>
          </w:pPr>
        </w:p>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6F2F4A5A" w14:textId="100CD6D6" w:rsidR="00A11150"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9108387" w:history="1">
                <w:r w:rsidR="00A11150" w:rsidRPr="00471DD0">
                  <w:rPr>
                    <w:rStyle w:val="Hyperlink"/>
                    <w:noProof/>
                  </w:rPr>
                  <w:t>Summary</w:t>
                </w:r>
                <w:r w:rsidR="00A11150">
                  <w:rPr>
                    <w:noProof/>
                    <w:webHidden/>
                  </w:rPr>
                  <w:tab/>
                </w:r>
                <w:r w:rsidR="00A11150">
                  <w:rPr>
                    <w:noProof/>
                    <w:webHidden/>
                  </w:rPr>
                  <w:fldChar w:fldCharType="begin"/>
                </w:r>
                <w:r w:rsidR="00A11150">
                  <w:rPr>
                    <w:noProof/>
                    <w:webHidden/>
                  </w:rPr>
                  <w:instrText xml:space="preserve"> PAGEREF _Toc219108387 \h </w:instrText>
                </w:r>
                <w:r w:rsidR="00A11150">
                  <w:rPr>
                    <w:noProof/>
                    <w:webHidden/>
                  </w:rPr>
                </w:r>
                <w:r w:rsidR="00A11150">
                  <w:rPr>
                    <w:noProof/>
                    <w:webHidden/>
                  </w:rPr>
                  <w:fldChar w:fldCharType="separate"/>
                </w:r>
                <w:r w:rsidR="00A11150">
                  <w:rPr>
                    <w:noProof/>
                    <w:webHidden/>
                  </w:rPr>
                  <w:t>1</w:t>
                </w:r>
                <w:r w:rsidR="00A11150">
                  <w:rPr>
                    <w:noProof/>
                    <w:webHidden/>
                  </w:rPr>
                  <w:fldChar w:fldCharType="end"/>
                </w:r>
              </w:hyperlink>
            </w:p>
            <w:p w14:paraId="04444BB8" w14:textId="60D92849" w:rsidR="00A11150" w:rsidRDefault="00A11150">
              <w:pPr>
                <w:pStyle w:val="TOC1"/>
                <w:tabs>
                  <w:tab w:val="right" w:leader="dot" w:pos="9016"/>
                </w:tabs>
                <w:rPr>
                  <w:rFonts w:eastAsiaTheme="minorEastAsia"/>
                  <w:noProof/>
                  <w:kern w:val="2"/>
                  <w:sz w:val="24"/>
                  <w:szCs w:val="24"/>
                  <w:lang w:eastAsia="en-GB"/>
                  <w14:ligatures w14:val="standardContextual"/>
                </w:rPr>
              </w:pPr>
              <w:hyperlink w:anchor="_Toc219108388" w:history="1">
                <w:r w:rsidRPr="00471DD0">
                  <w:rPr>
                    <w:rStyle w:val="Hyperlink"/>
                    <w:noProof/>
                  </w:rPr>
                  <w:t>Table of Figures</w:t>
                </w:r>
                <w:r>
                  <w:rPr>
                    <w:noProof/>
                    <w:webHidden/>
                  </w:rPr>
                  <w:tab/>
                </w:r>
                <w:r>
                  <w:rPr>
                    <w:noProof/>
                    <w:webHidden/>
                  </w:rPr>
                  <w:fldChar w:fldCharType="begin"/>
                </w:r>
                <w:r>
                  <w:rPr>
                    <w:noProof/>
                    <w:webHidden/>
                  </w:rPr>
                  <w:instrText xml:space="preserve"> PAGEREF _Toc219108388 \h </w:instrText>
                </w:r>
                <w:r>
                  <w:rPr>
                    <w:noProof/>
                    <w:webHidden/>
                  </w:rPr>
                </w:r>
                <w:r>
                  <w:rPr>
                    <w:noProof/>
                    <w:webHidden/>
                  </w:rPr>
                  <w:fldChar w:fldCharType="separate"/>
                </w:r>
                <w:r>
                  <w:rPr>
                    <w:noProof/>
                    <w:webHidden/>
                  </w:rPr>
                  <w:t>2</w:t>
                </w:r>
                <w:r>
                  <w:rPr>
                    <w:noProof/>
                    <w:webHidden/>
                  </w:rPr>
                  <w:fldChar w:fldCharType="end"/>
                </w:r>
              </w:hyperlink>
            </w:p>
            <w:p w14:paraId="4B199069" w14:textId="32868548" w:rsidR="00A11150" w:rsidRDefault="00A11150">
              <w:pPr>
                <w:pStyle w:val="TOC1"/>
                <w:tabs>
                  <w:tab w:val="left" w:pos="440"/>
                  <w:tab w:val="right" w:leader="dot" w:pos="9016"/>
                </w:tabs>
                <w:rPr>
                  <w:rFonts w:eastAsiaTheme="minorEastAsia"/>
                  <w:noProof/>
                  <w:kern w:val="2"/>
                  <w:sz w:val="24"/>
                  <w:szCs w:val="24"/>
                  <w:lang w:eastAsia="en-GB"/>
                  <w14:ligatures w14:val="standardContextual"/>
                </w:rPr>
              </w:pPr>
              <w:hyperlink w:anchor="_Toc219108389" w:history="1">
                <w:r w:rsidRPr="00471DD0">
                  <w:rPr>
                    <w:rStyle w:val="Hyperlink"/>
                    <w:noProof/>
                  </w:rPr>
                  <w:t>1.</w:t>
                </w:r>
                <w:r>
                  <w:rPr>
                    <w:rFonts w:eastAsiaTheme="minorEastAsia"/>
                    <w:noProof/>
                    <w:kern w:val="2"/>
                    <w:sz w:val="24"/>
                    <w:szCs w:val="24"/>
                    <w:lang w:eastAsia="en-GB"/>
                    <w14:ligatures w14:val="standardContextual"/>
                  </w:rPr>
                  <w:tab/>
                </w:r>
                <w:r w:rsidRPr="00471DD0">
                  <w:rPr>
                    <w:rStyle w:val="Hyperlink"/>
                    <w:noProof/>
                  </w:rPr>
                  <w:t>Implementation Plan</w:t>
                </w:r>
                <w:r>
                  <w:rPr>
                    <w:noProof/>
                    <w:webHidden/>
                  </w:rPr>
                  <w:tab/>
                </w:r>
                <w:r>
                  <w:rPr>
                    <w:noProof/>
                    <w:webHidden/>
                  </w:rPr>
                  <w:fldChar w:fldCharType="begin"/>
                </w:r>
                <w:r>
                  <w:rPr>
                    <w:noProof/>
                    <w:webHidden/>
                  </w:rPr>
                  <w:instrText xml:space="preserve"> PAGEREF _Toc219108389 \h </w:instrText>
                </w:r>
                <w:r>
                  <w:rPr>
                    <w:noProof/>
                    <w:webHidden/>
                  </w:rPr>
                </w:r>
                <w:r>
                  <w:rPr>
                    <w:noProof/>
                    <w:webHidden/>
                  </w:rPr>
                  <w:fldChar w:fldCharType="separate"/>
                </w:r>
                <w:r>
                  <w:rPr>
                    <w:noProof/>
                    <w:webHidden/>
                  </w:rPr>
                  <w:t>3</w:t>
                </w:r>
                <w:r>
                  <w:rPr>
                    <w:noProof/>
                    <w:webHidden/>
                  </w:rPr>
                  <w:fldChar w:fldCharType="end"/>
                </w:r>
              </w:hyperlink>
            </w:p>
            <w:p w14:paraId="2EC5D952" w14:textId="2946C947" w:rsidR="00A11150" w:rsidRDefault="00A11150">
              <w:pPr>
                <w:pStyle w:val="TOC2"/>
                <w:tabs>
                  <w:tab w:val="left" w:pos="960"/>
                  <w:tab w:val="right" w:leader="dot" w:pos="9016"/>
                </w:tabs>
                <w:rPr>
                  <w:rFonts w:eastAsiaTheme="minorEastAsia"/>
                  <w:noProof/>
                  <w:kern w:val="2"/>
                  <w:sz w:val="24"/>
                  <w:szCs w:val="24"/>
                  <w:lang w:eastAsia="en-GB"/>
                  <w14:ligatures w14:val="standardContextual"/>
                </w:rPr>
              </w:pPr>
              <w:hyperlink w:anchor="_Toc219108390" w:history="1">
                <w:r w:rsidRPr="00471DD0">
                  <w:rPr>
                    <w:rStyle w:val="Hyperlink"/>
                    <w:noProof/>
                  </w:rPr>
                  <w:t>1.1</w:t>
                </w:r>
                <w:r>
                  <w:rPr>
                    <w:rFonts w:eastAsiaTheme="minorEastAsia"/>
                    <w:noProof/>
                    <w:kern w:val="2"/>
                    <w:sz w:val="24"/>
                    <w:szCs w:val="24"/>
                    <w:lang w:eastAsia="en-GB"/>
                    <w14:ligatures w14:val="standardContextual"/>
                  </w:rPr>
                  <w:tab/>
                </w:r>
                <w:r w:rsidRPr="00471DD0">
                  <w:rPr>
                    <w:rStyle w:val="Hyperlink"/>
                    <w:noProof/>
                  </w:rPr>
                  <w:t>Introduction</w:t>
                </w:r>
                <w:r>
                  <w:rPr>
                    <w:noProof/>
                    <w:webHidden/>
                  </w:rPr>
                  <w:tab/>
                </w:r>
                <w:r>
                  <w:rPr>
                    <w:noProof/>
                    <w:webHidden/>
                  </w:rPr>
                  <w:fldChar w:fldCharType="begin"/>
                </w:r>
                <w:r>
                  <w:rPr>
                    <w:noProof/>
                    <w:webHidden/>
                  </w:rPr>
                  <w:instrText xml:space="preserve"> PAGEREF _Toc219108390 \h </w:instrText>
                </w:r>
                <w:r>
                  <w:rPr>
                    <w:noProof/>
                    <w:webHidden/>
                  </w:rPr>
                </w:r>
                <w:r>
                  <w:rPr>
                    <w:noProof/>
                    <w:webHidden/>
                  </w:rPr>
                  <w:fldChar w:fldCharType="separate"/>
                </w:r>
                <w:r>
                  <w:rPr>
                    <w:noProof/>
                    <w:webHidden/>
                  </w:rPr>
                  <w:t>3</w:t>
                </w:r>
                <w:r>
                  <w:rPr>
                    <w:noProof/>
                    <w:webHidden/>
                  </w:rPr>
                  <w:fldChar w:fldCharType="end"/>
                </w:r>
              </w:hyperlink>
            </w:p>
            <w:p w14:paraId="772EFC12" w14:textId="1184CEE8" w:rsidR="00A11150" w:rsidRDefault="00A11150">
              <w:pPr>
                <w:pStyle w:val="TOC1"/>
                <w:tabs>
                  <w:tab w:val="right" w:leader="dot" w:pos="9016"/>
                </w:tabs>
                <w:rPr>
                  <w:rFonts w:eastAsiaTheme="minorEastAsia"/>
                  <w:noProof/>
                  <w:kern w:val="2"/>
                  <w:sz w:val="24"/>
                  <w:szCs w:val="24"/>
                  <w:lang w:eastAsia="en-GB"/>
                  <w14:ligatures w14:val="standardContextual"/>
                </w:rPr>
              </w:pPr>
              <w:hyperlink w:anchor="_Toc219108391" w:history="1">
                <w:r w:rsidRPr="00471DD0">
                  <w:rPr>
                    <w:rStyle w:val="Hyperlink"/>
                    <w:noProof/>
                  </w:rPr>
                  <w:t>2.  Rationale</w:t>
                </w:r>
                <w:r>
                  <w:rPr>
                    <w:noProof/>
                    <w:webHidden/>
                  </w:rPr>
                  <w:tab/>
                </w:r>
                <w:r>
                  <w:rPr>
                    <w:noProof/>
                    <w:webHidden/>
                  </w:rPr>
                  <w:fldChar w:fldCharType="begin"/>
                </w:r>
                <w:r>
                  <w:rPr>
                    <w:noProof/>
                    <w:webHidden/>
                  </w:rPr>
                  <w:instrText xml:space="preserve"> PAGEREF _Toc219108391 \h </w:instrText>
                </w:r>
                <w:r>
                  <w:rPr>
                    <w:noProof/>
                    <w:webHidden/>
                  </w:rPr>
                </w:r>
                <w:r>
                  <w:rPr>
                    <w:noProof/>
                    <w:webHidden/>
                  </w:rPr>
                  <w:fldChar w:fldCharType="separate"/>
                </w:r>
                <w:r>
                  <w:rPr>
                    <w:noProof/>
                    <w:webHidden/>
                  </w:rPr>
                  <w:t>4</w:t>
                </w:r>
                <w:r>
                  <w:rPr>
                    <w:noProof/>
                    <w:webHidden/>
                  </w:rPr>
                  <w:fldChar w:fldCharType="end"/>
                </w:r>
              </w:hyperlink>
            </w:p>
            <w:p w14:paraId="60894436" w14:textId="06511E72" w:rsidR="00A11150" w:rsidRDefault="00A11150">
              <w:pPr>
                <w:pStyle w:val="TOC2"/>
                <w:tabs>
                  <w:tab w:val="right" w:leader="dot" w:pos="9016"/>
                </w:tabs>
                <w:rPr>
                  <w:rFonts w:eastAsiaTheme="minorEastAsia"/>
                  <w:noProof/>
                  <w:kern w:val="2"/>
                  <w:sz w:val="24"/>
                  <w:szCs w:val="24"/>
                  <w:lang w:eastAsia="en-GB"/>
                  <w14:ligatures w14:val="standardContextual"/>
                </w:rPr>
              </w:pPr>
              <w:hyperlink w:anchor="_Toc219108392" w:history="1">
                <w:r w:rsidRPr="00471DD0">
                  <w:rPr>
                    <w:rStyle w:val="Hyperlink"/>
                    <w:noProof/>
                  </w:rPr>
                  <w:t>2.1 Aims and Objectives</w:t>
                </w:r>
                <w:r>
                  <w:rPr>
                    <w:noProof/>
                    <w:webHidden/>
                  </w:rPr>
                  <w:tab/>
                </w:r>
                <w:r>
                  <w:rPr>
                    <w:noProof/>
                    <w:webHidden/>
                  </w:rPr>
                  <w:fldChar w:fldCharType="begin"/>
                </w:r>
                <w:r>
                  <w:rPr>
                    <w:noProof/>
                    <w:webHidden/>
                  </w:rPr>
                  <w:instrText xml:space="preserve"> PAGEREF _Toc219108392 \h </w:instrText>
                </w:r>
                <w:r>
                  <w:rPr>
                    <w:noProof/>
                    <w:webHidden/>
                  </w:rPr>
                </w:r>
                <w:r>
                  <w:rPr>
                    <w:noProof/>
                    <w:webHidden/>
                  </w:rPr>
                  <w:fldChar w:fldCharType="separate"/>
                </w:r>
                <w:r>
                  <w:rPr>
                    <w:noProof/>
                    <w:webHidden/>
                  </w:rPr>
                  <w:t>4</w:t>
                </w:r>
                <w:r>
                  <w:rPr>
                    <w:noProof/>
                    <w:webHidden/>
                  </w:rPr>
                  <w:fldChar w:fldCharType="end"/>
                </w:r>
              </w:hyperlink>
            </w:p>
            <w:p w14:paraId="0D0AA742" w14:textId="1BE32E5D" w:rsidR="00A11150" w:rsidRDefault="00A11150">
              <w:pPr>
                <w:pStyle w:val="TOC2"/>
                <w:tabs>
                  <w:tab w:val="right" w:leader="dot" w:pos="9016"/>
                </w:tabs>
                <w:rPr>
                  <w:rFonts w:eastAsiaTheme="minorEastAsia"/>
                  <w:noProof/>
                  <w:kern w:val="2"/>
                  <w:sz w:val="24"/>
                  <w:szCs w:val="24"/>
                  <w:lang w:eastAsia="en-GB"/>
                  <w14:ligatures w14:val="standardContextual"/>
                </w:rPr>
              </w:pPr>
              <w:hyperlink w:anchor="_Toc219108393" w:history="1">
                <w:r w:rsidRPr="00471DD0">
                  <w:rPr>
                    <w:rStyle w:val="Hyperlink"/>
                    <w:noProof/>
                  </w:rPr>
                  <w:t>2.2 Action Plan</w:t>
                </w:r>
                <w:r>
                  <w:rPr>
                    <w:noProof/>
                    <w:webHidden/>
                  </w:rPr>
                  <w:tab/>
                </w:r>
                <w:r>
                  <w:rPr>
                    <w:noProof/>
                    <w:webHidden/>
                  </w:rPr>
                  <w:fldChar w:fldCharType="begin"/>
                </w:r>
                <w:r>
                  <w:rPr>
                    <w:noProof/>
                    <w:webHidden/>
                  </w:rPr>
                  <w:instrText xml:space="preserve"> PAGEREF _Toc219108393 \h </w:instrText>
                </w:r>
                <w:r>
                  <w:rPr>
                    <w:noProof/>
                    <w:webHidden/>
                  </w:rPr>
                </w:r>
                <w:r>
                  <w:rPr>
                    <w:noProof/>
                    <w:webHidden/>
                  </w:rPr>
                  <w:fldChar w:fldCharType="separate"/>
                </w:r>
                <w:r>
                  <w:rPr>
                    <w:noProof/>
                    <w:webHidden/>
                  </w:rPr>
                  <w:t>5</w:t>
                </w:r>
                <w:r>
                  <w:rPr>
                    <w:noProof/>
                    <w:webHidden/>
                  </w:rPr>
                  <w:fldChar w:fldCharType="end"/>
                </w:r>
              </w:hyperlink>
            </w:p>
            <w:p w14:paraId="6CBF4812" w14:textId="5B7B8C48" w:rsidR="00A11150" w:rsidRDefault="00A11150">
              <w:pPr>
                <w:pStyle w:val="TOC3"/>
                <w:tabs>
                  <w:tab w:val="right" w:leader="dot" w:pos="9016"/>
                </w:tabs>
                <w:rPr>
                  <w:rFonts w:eastAsiaTheme="minorEastAsia"/>
                  <w:noProof/>
                  <w:kern w:val="2"/>
                  <w:sz w:val="24"/>
                  <w:szCs w:val="24"/>
                  <w:lang w:eastAsia="en-GB"/>
                  <w14:ligatures w14:val="standardContextual"/>
                </w:rPr>
              </w:pPr>
              <w:hyperlink w:anchor="_Toc219108394" w:history="1">
                <w:r w:rsidRPr="00471DD0">
                  <w:rPr>
                    <w:rStyle w:val="Hyperlink"/>
                    <w:noProof/>
                  </w:rPr>
                  <w:t>2.2.1 Time Plan</w:t>
                </w:r>
                <w:r>
                  <w:rPr>
                    <w:noProof/>
                    <w:webHidden/>
                  </w:rPr>
                  <w:tab/>
                </w:r>
                <w:r>
                  <w:rPr>
                    <w:noProof/>
                    <w:webHidden/>
                  </w:rPr>
                  <w:fldChar w:fldCharType="begin"/>
                </w:r>
                <w:r>
                  <w:rPr>
                    <w:noProof/>
                    <w:webHidden/>
                  </w:rPr>
                  <w:instrText xml:space="preserve"> PAGEREF _Toc219108394 \h </w:instrText>
                </w:r>
                <w:r>
                  <w:rPr>
                    <w:noProof/>
                    <w:webHidden/>
                  </w:rPr>
                </w:r>
                <w:r>
                  <w:rPr>
                    <w:noProof/>
                    <w:webHidden/>
                  </w:rPr>
                  <w:fldChar w:fldCharType="separate"/>
                </w:r>
                <w:r>
                  <w:rPr>
                    <w:noProof/>
                    <w:webHidden/>
                  </w:rPr>
                  <w:t>6</w:t>
                </w:r>
                <w:r>
                  <w:rPr>
                    <w:noProof/>
                    <w:webHidden/>
                  </w:rPr>
                  <w:fldChar w:fldCharType="end"/>
                </w:r>
              </w:hyperlink>
            </w:p>
            <w:p w14:paraId="013CC41E" w14:textId="76210B3C" w:rsidR="00A11150" w:rsidRDefault="00A11150">
              <w:pPr>
                <w:pStyle w:val="TOC3"/>
                <w:tabs>
                  <w:tab w:val="right" w:leader="dot" w:pos="9016"/>
                </w:tabs>
                <w:rPr>
                  <w:rFonts w:eastAsiaTheme="minorEastAsia"/>
                  <w:noProof/>
                  <w:kern w:val="2"/>
                  <w:sz w:val="24"/>
                  <w:szCs w:val="24"/>
                  <w:lang w:eastAsia="en-GB"/>
                  <w14:ligatures w14:val="standardContextual"/>
                </w:rPr>
              </w:pPr>
              <w:hyperlink w:anchor="_Toc219108395" w:history="1">
                <w:r w:rsidRPr="00471DD0">
                  <w:rPr>
                    <w:rStyle w:val="Hyperlink"/>
                    <w:noProof/>
                  </w:rPr>
                  <w:t>2.2.2 Risk Management and Strategies</w:t>
                </w:r>
                <w:r>
                  <w:rPr>
                    <w:noProof/>
                    <w:webHidden/>
                  </w:rPr>
                  <w:tab/>
                </w:r>
                <w:r>
                  <w:rPr>
                    <w:noProof/>
                    <w:webHidden/>
                  </w:rPr>
                  <w:fldChar w:fldCharType="begin"/>
                </w:r>
                <w:r>
                  <w:rPr>
                    <w:noProof/>
                    <w:webHidden/>
                  </w:rPr>
                  <w:instrText xml:space="preserve"> PAGEREF _Toc219108395 \h </w:instrText>
                </w:r>
                <w:r>
                  <w:rPr>
                    <w:noProof/>
                    <w:webHidden/>
                  </w:rPr>
                </w:r>
                <w:r>
                  <w:rPr>
                    <w:noProof/>
                    <w:webHidden/>
                  </w:rPr>
                  <w:fldChar w:fldCharType="separate"/>
                </w:r>
                <w:r>
                  <w:rPr>
                    <w:noProof/>
                    <w:webHidden/>
                  </w:rPr>
                  <w:t>7</w:t>
                </w:r>
                <w:r>
                  <w:rPr>
                    <w:noProof/>
                    <w:webHidden/>
                  </w:rPr>
                  <w:fldChar w:fldCharType="end"/>
                </w:r>
              </w:hyperlink>
            </w:p>
            <w:p w14:paraId="133C63D4" w14:textId="0C0EA5F2" w:rsidR="00A11150" w:rsidRDefault="00A11150">
              <w:pPr>
                <w:pStyle w:val="TOC1"/>
                <w:tabs>
                  <w:tab w:val="right" w:leader="dot" w:pos="9016"/>
                </w:tabs>
                <w:rPr>
                  <w:rFonts w:eastAsiaTheme="minorEastAsia"/>
                  <w:noProof/>
                  <w:kern w:val="2"/>
                  <w:sz w:val="24"/>
                  <w:szCs w:val="24"/>
                  <w:lang w:eastAsia="en-GB"/>
                  <w14:ligatures w14:val="standardContextual"/>
                </w:rPr>
              </w:pPr>
              <w:hyperlink w:anchor="_Toc219108396" w:history="1">
                <w:r w:rsidRPr="00471DD0">
                  <w:rPr>
                    <w:rStyle w:val="Hyperlink"/>
                    <w:noProof/>
                  </w:rPr>
                  <w:t>3.Recommendations</w:t>
                </w:r>
                <w:r>
                  <w:rPr>
                    <w:noProof/>
                    <w:webHidden/>
                  </w:rPr>
                  <w:tab/>
                </w:r>
                <w:r>
                  <w:rPr>
                    <w:noProof/>
                    <w:webHidden/>
                  </w:rPr>
                  <w:fldChar w:fldCharType="begin"/>
                </w:r>
                <w:r>
                  <w:rPr>
                    <w:noProof/>
                    <w:webHidden/>
                  </w:rPr>
                  <w:instrText xml:space="preserve"> PAGEREF _Toc219108396 \h </w:instrText>
                </w:r>
                <w:r>
                  <w:rPr>
                    <w:noProof/>
                    <w:webHidden/>
                  </w:rPr>
                </w:r>
                <w:r>
                  <w:rPr>
                    <w:noProof/>
                    <w:webHidden/>
                  </w:rPr>
                  <w:fldChar w:fldCharType="separate"/>
                </w:r>
                <w:r>
                  <w:rPr>
                    <w:noProof/>
                    <w:webHidden/>
                  </w:rPr>
                  <w:t>8</w:t>
                </w:r>
                <w:r>
                  <w:rPr>
                    <w:noProof/>
                    <w:webHidden/>
                  </w:rPr>
                  <w:fldChar w:fldCharType="end"/>
                </w:r>
              </w:hyperlink>
            </w:p>
            <w:p w14:paraId="0ECE86F3" w14:textId="232AD2A4" w:rsidR="00A11150" w:rsidRDefault="00A11150">
              <w:pPr>
                <w:pStyle w:val="TOC1"/>
                <w:tabs>
                  <w:tab w:val="right" w:leader="dot" w:pos="9016"/>
                </w:tabs>
                <w:rPr>
                  <w:rFonts w:eastAsiaTheme="minorEastAsia"/>
                  <w:noProof/>
                  <w:kern w:val="2"/>
                  <w:sz w:val="24"/>
                  <w:szCs w:val="24"/>
                  <w:lang w:eastAsia="en-GB"/>
                  <w14:ligatures w14:val="standardContextual"/>
                </w:rPr>
              </w:pPr>
              <w:hyperlink w:anchor="_Toc219108397" w:history="1">
                <w:r w:rsidRPr="00471DD0">
                  <w:rPr>
                    <w:rStyle w:val="Hyperlink"/>
                    <w:noProof/>
                  </w:rPr>
                  <w:t>4.Conclusion</w:t>
                </w:r>
                <w:r>
                  <w:rPr>
                    <w:noProof/>
                    <w:webHidden/>
                  </w:rPr>
                  <w:tab/>
                </w:r>
                <w:r>
                  <w:rPr>
                    <w:noProof/>
                    <w:webHidden/>
                  </w:rPr>
                  <w:fldChar w:fldCharType="begin"/>
                </w:r>
                <w:r>
                  <w:rPr>
                    <w:noProof/>
                    <w:webHidden/>
                  </w:rPr>
                  <w:instrText xml:space="preserve"> PAGEREF _Toc219108397 \h </w:instrText>
                </w:r>
                <w:r>
                  <w:rPr>
                    <w:noProof/>
                    <w:webHidden/>
                  </w:rPr>
                </w:r>
                <w:r>
                  <w:rPr>
                    <w:noProof/>
                    <w:webHidden/>
                  </w:rPr>
                  <w:fldChar w:fldCharType="separate"/>
                </w:r>
                <w:r>
                  <w:rPr>
                    <w:noProof/>
                    <w:webHidden/>
                  </w:rPr>
                  <w:t>9</w:t>
                </w:r>
                <w:r>
                  <w:rPr>
                    <w:noProof/>
                    <w:webHidden/>
                  </w:rPr>
                  <w:fldChar w:fldCharType="end"/>
                </w:r>
              </w:hyperlink>
            </w:p>
            <w:p w14:paraId="241BC978" w14:textId="68EC0AD3" w:rsidR="00A11150" w:rsidRDefault="00A11150">
              <w:pPr>
                <w:pStyle w:val="TOC1"/>
                <w:tabs>
                  <w:tab w:val="right" w:leader="dot" w:pos="9016"/>
                </w:tabs>
                <w:rPr>
                  <w:rFonts w:eastAsiaTheme="minorEastAsia"/>
                  <w:noProof/>
                  <w:kern w:val="2"/>
                  <w:sz w:val="24"/>
                  <w:szCs w:val="24"/>
                  <w:lang w:eastAsia="en-GB"/>
                  <w14:ligatures w14:val="standardContextual"/>
                </w:rPr>
              </w:pPr>
              <w:hyperlink w:anchor="_Toc219108398" w:history="1">
                <w:r w:rsidRPr="00471DD0">
                  <w:rPr>
                    <w:rStyle w:val="Hyperlink"/>
                    <w:noProof/>
                  </w:rPr>
                  <w:t>Bibliography</w:t>
                </w:r>
                <w:r>
                  <w:rPr>
                    <w:noProof/>
                    <w:webHidden/>
                  </w:rPr>
                  <w:tab/>
                </w:r>
                <w:r>
                  <w:rPr>
                    <w:noProof/>
                    <w:webHidden/>
                  </w:rPr>
                  <w:fldChar w:fldCharType="begin"/>
                </w:r>
                <w:r>
                  <w:rPr>
                    <w:noProof/>
                    <w:webHidden/>
                  </w:rPr>
                  <w:instrText xml:space="preserve"> PAGEREF _Toc219108398 \h </w:instrText>
                </w:r>
                <w:r>
                  <w:rPr>
                    <w:noProof/>
                    <w:webHidden/>
                  </w:rPr>
                </w:r>
                <w:r>
                  <w:rPr>
                    <w:noProof/>
                    <w:webHidden/>
                  </w:rPr>
                  <w:fldChar w:fldCharType="separate"/>
                </w:r>
                <w:r>
                  <w:rPr>
                    <w:noProof/>
                    <w:webHidden/>
                  </w:rPr>
                  <w:t>10</w:t>
                </w:r>
                <w:r>
                  <w:rPr>
                    <w:noProof/>
                    <w:webHidden/>
                  </w:rPr>
                  <w:fldChar w:fldCharType="end"/>
                </w:r>
              </w:hyperlink>
            </w:p>
            <w:p w14:paraId="590CD0BA" w14:textId="30375527" w:rsidR="00A11150" w:rsidRDefault="00A11150">
              <w:pPr>
                <w:pStyle w:val="TOC1"/>
                <w:tabs>
                  <w:tab w:val="right" w:leader="dot" w:pos="9016"/>
                </w:tabs>
                <w:rPr>
                  <w:rFonts w:eastAsiaTheme="minorEastAsia"/>
                  <w:noProof/>
                  <w:kern w:val="2"/>
                  <w:sz w:val="24"/>
                  <w:szCs w:val="24"/>
                  <w:lang w:eastAsia="en-GB"/>
                  <w14:ligatures w14:val="standardContextual"/>
                </w:rPr>
              </w:pPr>
              <w:hyperlink w:anchor="_Toc219108399" w:history="1">
                <w:r w:rsidRPr="00471DD0">
                  <w:rPr>
                    <w:rStyle w:val="Hyperlink"/>
                    <w:noProof/>
                  </w:rPr>
                  <w:t>Appendix</w:t>
                </w:r>
                <w:r>
                  <w:rPr>
                    <w:noProof/>
                    <w:webHidden/>
                  </w:rPr>
                  <w:tab/>
                </w:r>
                <w:r>
                  <w:rPr>
                    <w:noProof/>
                    <w:webHidden/>
                  </w:rPr>
                  <w:fldChar w:fldCharType="begin"/>
                </w:r>
                <w:r>
                  <w:rPr>
                    <w:noProof/>
                    <w:webHidden/>
                  </w:rPr>
                  <w:instrText xml:space="preserve"> PAGEREF _Toc219108399 \h </w:instrText>
                </w:r>
                <w:r>
                  <w:rPr>
                    <w:noProof/>
                    <w:webHidden/>
                  </w:rPr>
                </w:r>
                <w:r>
                  <w:rPr>
                    <w:noProof/>
                    <w:webHidden/>
                  </w:rPr>
                  <w:fldChar w:fldCharType="separate"/>
                </w:r>
                <w:r>
                  <w:rPr>
                    <w:noProof/>
                    <w:webHidden/>
                  </w:rPr>
                  <w:t>14</w:t>
                </w:r>
                <w:r>
                  <w:rPr>
                    <w:noProof/>
                    <w:webHidden/>
                  </w:rPr>
                  <w:fldChar w:fldCharType="end"/>
                </w:r>
              </w:hyperlink>
            </w:p>
            <w:p w14:paraId="5BB066BE" w14:textId="5451A99C" w:rsidR="00A11150" w:rsidRDefault="00A11150">
              <w:pPr>
                <w:pStyle w:val="TOC2"/>
                <w:tabs>
                  <w:tab w:val="right" w:leader="dot" w:pos="9016"/>
                </w:tabs>
                <w:rPr>
                  <w:rFonts w:eastAsiaTheme="minorEastAsia"/>
                  <w:noProof/>
                  <w:kern w:val="2"/>
                  <w:sz w:val="24"/>
                  <w:szCs w:val="24"/>
                  <w:lang w:eastAsia="en-GB"/>
                  <w14:ligatures w14:val="standardContextual"/>
                </w:rPr>
              </w:pPr>
              <w:hyperlink w:anchor="_Toc219108400" w:history="1">
                <w:r w:rsidRPr="00471DD0">
                  <w:rPr>
                    <w:rStyle w:val="Hyperlink"/>
                    <w:noProof/>
                  </w:rPr>
                  <w:t>Appendix 1</w:t>
                </w:r>
                <w:r>
                  <w:rPr>
                    <w:noProof/>
                    <w:webHidden/>
                  </w:rPr>
                  <w:tab/>
                </w:r>
                <w:r>
                  <w:rPr>
                    <w:noProof/>
                    <w:webHidden/>
                  </w:rPr>
                  <w:fldChar w:fldCharType="begin"/>
                </w:r>
                <w:r>
                  <w:rPr>
                    <w:noProof/>
                    <w:webHidden/>
                  </w:rPr>
                  <w:instrText xml:space="preserve"> PAGEREF _Toc219108400 \h </w:instrText>
                </w:r>
                <w:r>
                  <w:rPr>
                    <w:noProof/>
                    <w:webHidden/>
                  </w:rPr>
                </w:r>
                <w:r>
                  <w:rPr>
                    <w:noProof/>
                    <w:webHidden/>
                  </w:rPr>
                  <w:fldChar w:fldCharType="separate"/>
                </w:r>
                <w:r>
                  <w:rPr>
                    <w:noProof/>
                    <w:webHidden/>
                  </w:rPr>
                  <w:t>14</w:t>
                </w:r>
                <w:r>
                  <w:rPr>
                    <w:noProof/>
                    <w:webHidden/>
                  </w:rPr>
                  <w:fldChar w:fldCharType="end"/>
                </w:r>
              </w:hyperlink>
            </w:p>
            <w:p w14:paraId="1962703A" w14:textId="6D29F1DD" w:rsidR="00A11150" w:rsidRDefault="00A11150">
              <w:pPr>
                <w:pStyle w:val="TOC2"/>
                <w:tabs>
                  <w:tab w:val="right" w:leader="dot" w:pos="9016"/>
                </w:tabs>
                <w:rPr>
                  <w:rFonts w:eastAsiaTheme="minorEastAsia"/>
                  <w:noProof/>
                  <w:kern w:val="2"/>
                  <w:sz w:val="24"/>
                  <w:szCs w:val="24"/>
                  <w:lang w:eastAsia="en-GB"/>
                  <w14:ligatures w14:val="standardContextual"/>
                </w:rPr>
              </w:pPr>
              <w:hyperlink w:anchor="_Toc219108401" w:history="1">
                <w:r w:rsidRPr="00471DD0">
                  <w:rPr>
                    <w:rStyle w:val="Hyperlink"/>
                    <w:noProof/>
                  </w:rPr>
                  <w:t>Appendix 2</w:t>
                </w:r>
                <w:r>
                  <w:rPr>
                    <w:noProof/>
                    <w:webHidden/>
                  </w:rPr>
                  <w:tab/>
                </w:r>
                <w:r>
                  <w:rPr>
                    <w:noProof/>
                    <w:webHidden/>
                  </w:rPr>
                  <w:fldChar w:fldCharType="begin"/>
                </w:r>
                <w:r>
                  <w:rPr>
                    <w:noProof/>
                    <w:webHidden/>
                  </w:rPr>
                  <w:instrText xml:space="preserve"> PAGEREF _Toc219108401 \h </w:instrText>
                </w:r>
                <w:r>
                  <w:rPr>
                    <w:noProof/>
                    <w:webHidden/>
                  </w:rPr>
                </w:r>
                <w:r>
                  <w:rPr>
                    <w:noProof/>
                    <w:webHidden/>
                  </w:rPr>
                  <w:fldChar w:fldCharType="separate"/>
                </w:r>
                <w:r>
                  <w:rPr>
                    <w:noProof/>
                    <w:webHidden/>
                  </w:rPr>
                  <w:t>15</w:t>
                </w:r>
                <w:r>
                  <w:rPr>
                    <w:noProof/>
                    <w:webHidden/>
                  </w:rPr>
                  <w:fldChar w:fldCharType="end"/>
                </w:r>
              </w:hyperlink>
            </w:p>
            <w:p w14:paraId="70781571" w14:textId="4B5E5821" w:rsidR="00A11150" w:rsidRDefault="00A11150">
              <w:pPr>
                <w:pStyle w:val="TOC2"/>
                <w:tabs>
                  <w:tab w:val="right" w:leader="dot" w:pos="9016"/>
                </w:tabs>
                <w:rPr>
                  <w:rFonts w:eastAsiaTheme="minorEastAsia"/>
                  <w:noProof/>
                  <w:kern w:val="2"/>
                  <w:sz w:val="24"/>
                  <w:szCs w:val="24"/>
                  <w:lang w:eastAsia="en-GB"/>
                  <w14:ligatures w14:val="standardContextual"/>
                </w:rPr>
              </w:pPr>
              <w:hyperlink w:anchor="_Toc219108402" w:history="1">
                <w:r w:rsidRPr="00471DD0">
                  <w:rPr>
                    <w:rStyle w:val="Hyperlink"/>
                    <w:noProof/>
                  </w:rPr>
                  <w:t>Appendix 3</w:t>
                </w:r>
                <w:r>
                  <w:rPr>
                    <w:noProof/>
                    <w:webHidden/>
                  </w:rPr>
                  <w:tab/>
                </w:r>
                <w:r>
                  <w:rPr>
                    <w:noProof/>
                    <w:webHidden/>
                  </w:rPr>
                  <w:fldChar w:fldCharType="begin"/>
                </w:r>
                <w:r>
                  <w:rPr>
                    <w:noProof/>
                    <w:webHidden/>
                  </w:rPr>
                  <w:instrText xml:space="preserve"> PAGEREF _Toc219108402 \h </w:instrText>
                </w:r>
                <w:r>
                  <w:rPr>
                    <w:noProof/>
                    <w:webHidden/>
                  </w:rPr>
                </w:r>
                <w:r>
                  <w:rPr>
                    <w:noProof/>
                    <w:webHidden/>
                  </w:rPr>
                  <w:fldChar w:fldCharType="separate"/>
                </w:r>
                <w:r>
                  <w:rPr>
                    <w:noProof/>
                    <w:webHidden/>
                  </w:rPr>
                  <w:t>16</w:t>
                </w:r>
                <w:r>
                  <w:rPr>
                    <w:noProof/>
                    <w:webHidden/>
                  </w:rPr>
                  <w:fldChar w:fldCharType="end"/>
                </w:r>
              </w:hyperlink>
            </w:p>
            <w:p w14:paraId="49DB8EFB" w14:textId="0F1001DE" w:rsidR="00A11150" w:rsidRDefault="00A11150">
              <w:pPr>
                <w:pStyle w:val="TOC2"/>
                <w:tabs>
                  <w:tab w:val="right" w:leader="dot" w:pos="9016"/>
                </w:tabs>
                <w:rPr>
                  <w:rFonts w:eastAsiaTheme="minorEastAsia"/>
                  <w:noProof/>
                  <w:kern w:val="2"/>
                  <w:sz w:val="24"/>
                  <w:szCs w:val="24"/>
                  <w:lang w:eastAsia="en-GB"/>
                  <w14:ligatures w14:val="standardContextual"/>
                </w:rPr>
              </w:pPr>
              <w:hyperlink w:anchor="_Toc219108403" w:history="1">
                <w:r w:rsidRPr="00471DD0">
                  <w:rPr>
                    <w:rStyle w:val="Hyperlink"/>
                    <w:noProof/>
                  </w:rPr>
                  <w:t>Appendix 4</w:t>
                </w:r>
                <w:r>
                  <w:rPr>
                    <w:noProof/>
                    <w:webHidden/>
                  </w:rPr>
                  <w:tab/>
                </w:r>
                <w:r>
                  <w:rPr>
                    <w:noProof/>
                    <w:webHidden/>
                  </w:rPr>
                  <w:fldChar w:fldCharType="begin"/>
                </w:r>
                <w:r>
                  <w:rPr>
                    <w:noProof/>
                    <w:webHidden/>
                  </w:rPr>
                  <w:instrText xml:space="preserve"> PAGEREF _Toc219108403 \h </w:instrText>
                </w:r>
                <w:r>
                  <w:rPr>
                    <w:noProof/>
                    <w:webHidden/>
                  </w:rPr>
                </w:r>
                <w:r>
                  <w:rPr>
                    <w:noProof/>
                    <w:webHidden/>
                  </w:rPr>
                  <w:fldChar w:fldCharType="separate"/>
                </w:r>
                <w:r>
                  <w:rPr>
                    <w:noProof/>
                    <w:webHidden/>
                  </w:rPr>
                  <w:t>17</w:t>
                </w:r>
                <w:r>
                  <w:rPr>
                    <w:noProof/>
                    <w:webHidden/>
                  </w:rPr>
                  <w:fldChar w:fldCharType="end"/>
                </w:r>
              </w:hyperlink>
            </w:p>
            <w:p w14:paraId="05194699" w14:textId="070901A3" w:rsidR="007D1947" w:rsidRDefault="007D1947">
              <w:r>
                <w:rPr>
                  <w:b/>
                  <w:bCs/>
                  <w:noProof/>
                </w:rPr>
                <w:fldChar w:fldCharType="end"/>
              </w:r>
              <w:r w:rsidR="001B50E1">
                <w:rPr>
                  <w:b/>
                  <w:bCs/>
                  <w:noProof/>
                </w:rPr>
                <w:t xml:space="preserve"> </w:t>
              </w:r>
            </w:p>
          </w:sdtContent>
        </w:sdt>
        <w:p w14:paraId="35B6052B" w14:textId="77777777" w:rsidR="007D1947" w:rsidRDefault="007D1947"/>
        <w:p w14:paraId="22F11532" w14:textId="77777777" w:rsidR="007D1947" w:rsidRDefault="007D1947"/>
        <w:p w14:paraId="15C6D916" w14:textId="5C450E1B" w:rsidR="007D1947" w:rsidRDefault="00BE48EC" w:rsidP="00BE48EC">
          <w:pPr>
            <w:pStyle w:val="Heading1"/>
          </w:pPr>
          <w:bookmarkStart w:id="1" w:name="_Toc219108388"/>
          <w:r>
            <w:t>Table of Figures</w:t>
          </w:r>
          <w:bookmarkEnd w:id="1"/>
        </w:p>
        <w:p w14:paraId="2254B54A" w14:textId="1F10F4CB" w:rsidR="00BE48EC" w:rsidRDefault="00BE48EC">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21810245" w:history="1">
            <w:r w:rsidRPr="00891631">
              <w:rPr>
                <w:rStyle w:val="Hyperlink"/>
                <w:noProof/>
              </w:rPr>
              <w:t xml:space="preserve">Figure 1 </w:t>
            </w:r>
            <w:r w:rsidR="003950A6">
              <w:rPr>
                <w:rStyle w:val="Hyperlink"/>
                <w:noProof/>
              </w:rPr>
              <w:t>–</w:t>
            </w:r>
            <w:r w:rsidRPr="00891631">
              <w:rPr>
                <w:rStyle w:val="Hyperlink"/>
                <w:noProof/>
              </w:rPr>
              <w:t xml:space="preserve"> </w:t>
            </w:r>
            <w:r w:rsidR="003950A6">
              <w:rPr>
                <w:rStyle w:val="Hyperlink"/>
                <w:noProof/>
              </w:rPr>
              <w:t>Gender Gap in Engineering in the UK</w:t>
            </w:r>
            <w:r>
              <w:rPr>
                <w:noProof/>
                <w:webHidden/>
              </w:rPr>
              <w:tab/>
            </w:r>
            <w:r w:rsidR="003950A6">
              <w:rPr>
                <w:noProof/>
                <w:webHidden/>
              </w:rPr>
              <w:t>3</w:t>
            </w:r>
          </w:hyperlink>
        </w:p>
        <w:p w14:paraId="050BEC85" w14:textId="2514A611" w:rsidR="00BE48EC" w:rsidRDefault="00BE48EC">
          <w:pPr>
            <w:pStyle w:val="TableofFigures"/>
            <w:tabs>
              <w:tab w:val="right" w:leader="dot" w:pos="9016"/>
            </w:tabs>
            <w:rPr>
              <w:rFonts w:eastAsiaTheme="minorEastAsia"/>
              <w:noProof/>
              <w:sz w:val="24"/>
              <w:szCs w:val="24"/>
              <w:lang w:eastAsia="en-GB"/>
            </w:rPr>
          </w:pPr>
          <w:hyperlink w:anchor="_Toc121810246" w:history="1">
            <w:r w:rsidRPr="00891631">
              <w:rPr>
                <w:rStyle w:val="Hyperlink"/>
                <w:noProof/>
              </w:rPr>
              <w:t xml:space="preserve">Figure 2 – </w:t>
            </w:r>
            <w:r w:rsidR="00602EFA">
              <w:rPr>
                <w:rStyle w:val="Hyperlink"/>
                <w:noProof/>
              </w:rPr>
              <w:t>Proposed Action Plan</w:t>
            </w:r>
            <w:r>
              <w:rPr>
                <w:noProof/>
                <w:webHidden/>
              </w:rPr>
              <w:tab/>
            </w:r>
            <w:r>
              <w:rPr>
                <w:noProof/>
                <w:webHidden/>
              </w:rPr>
              <w:fldChar w:fldCharType="begin"/>
            </w:r>
            <w:r>
              <w:rPr>
                <w:noProof/>
                <w:webHidden/>
              </w:rPr>
              <w:instrText xml:space="preserve"> PAGEREF _Toc121810246 \h </w:instrText>
            </w:r>
            <w:r>
              <w:rPr>
                <w:noProof/>
                <w:webHidden/>
              </w:rPr>
            </w:r>
            <w:r>
              <w:rPr>
                <w:noProof/>
                <w:webHidden/>
              </w:rPr>
              <w:fldChar w:fldCharType="separate"/>
            </w:r>
            <w:r w:rsidR="001024F1">
              <w:rPr>
                <w:noProof/>
                <w:webHidden/>
              </w:rPr>
              <w:t>5</w:t>
            </w:r>
            <w:r>
              <w:rPr>
                <w:noProof/>
                <w:webHidden/>
              </w:rPr>
              <w:fldChar w:fldCharType="end"/>
            </w:r>
          </w:hyperlink>
        </w:p>
        <w:p w14:paraId="26EE9C53" w14:textId="357D52A1" w:rsidR="007D1947" w:rsidRDefault="00BE48EC">
          <w:r>
            <w:fldChar w:fldCharType="end"/>
          </w:r>
        </w:p>
        <w:p w14:paraId="2AEFE0CA" w14:textId="77777777" w:rsidR="007D1947" w:rsidRDefault="007D1947"/>
        <w:p w14:paraId="5DBAD65B" w14:textId="77777777" w:rsidR="004A11F6" w:rsidRDefault="004A11F6" w:rsidP="007D1947"/>
        <w:p w14:paraId="2E293EB9" w14:textId="61192B6C" w:rsidR="00480872" w:rsidRDefault="004540D2" w:rsidP="00556419">
          <w:pPr>
            <w:pStyle w:val="Heading1"/>
            <w:numPr>
              <w:ilvl w:val="0"/>
              <w:numId w:val="1"/>
            </w:numPr>
          </w:pPr>
          <w:bookmarkStart w:id="2" w:name="_Toc219108389"/>
          <w:r>
            <w:lastRenderedPageBreak/>
            <w:t>Implementation Plan</w:t>
          </w:r>
          <w:bookmarkEnd w:id="2"/>
        </w:p>
        <w:p w14:paraId="1DA3C8BF" w14:textId="0C6E8075" w:rsidR="005C7175" w:rsidRDefault="005C7175" w:rsidP="009A17F6">
          <w:pPr>
            <w:pStyle w:val="Heading2"/>
            <w:numPr>
              <w:ilvl w:val="1"/>
              <w:numId w:val="1"/>
            </w:numPr>
          </w:pPr>
          <w:bookmarkStart w:id="3" w:name="_Toc219108390"/>
          <w:r>
            <w:t>Introduction</w:t>
          </w:r>
          <w:bookmarkEnd w:id="3"/>
        </w:p>
        <w:p w14:paraId="581E7ED8" w14:textId="77777777" w:rsidR="009A17F6" w:rsidRDefault="009A17F6" w:rsidP="009A17F6">
          <w:pPr>
            <w:pStyle w:val="ListParagraph"/>
          </w:pPr>
        </w:p>
        <w:p w14:paraId="7271711E" w14:textId="24DC09A6" w:rsidR="009A17F6" w:rsidRPr="005C5F88" w:rsidRDefault="009A17F6" w:rsidP="009A17F6">
          <w:pPr>
            <w:pStyle w:val="ListParagraph"/>
            <w:ind w:left="284"/>
            <w:jc w:val="both"/>
            <w:rPr>
              <w:sz w:val="24"/>
              <w:szCs w:val="24"/>
            </w:rPr>
          </w:pPr>
          <w:r w:rsidRPr="005C5F88">
            <w:rPr>
              <w:sz w:val="24"/>
              <w:szCs w:val="24"/>
            </w:rPr>
            <w:t>Leadership in contemporary organisations is increasingly framed as a social and ethical practice rather than a purely positional function, with emphasis on inclusive cultures, communication, self-awareness and the responsible use of power (</w:t>
          </w:r>
          <w:r w:rsidR="00F803B3" w:rsidRPr="005C5F88">
            <w:rPr>
              <w:sz w:val="24"/>
              <w:szCs w:val="24"/>
            </w:rPr>
            <w:t>Rees and Porter, 2015</w:t>
          </w:r>
          <w:r w:rsidR="00F803B3" w:rsidRPr="005C5F88">
            <w:rPr>
              <w:sz w:val="24"/>
              <w:szCs w:val="24"/>
            </w:rPr>
            <w:t xml:space="preserve">; </w:t>
          </w:r>
          <w:r w:rsidRPr="005C5F88">
            <w:rPr>
              <w:sz w:val="24"/>
              <w:szCs w:val="24"/>
            </w:rPr>
            <w:t>Armstrong, 2016; Mullins and Christy, 2016; Yukl and Gardner, 2020; Northouse, 2021). These themes are highly salient in mechanical engineering, where gendered occupational norms and informal power networks can shape who is seen as “credible” and who progresses into leadership. Recent research shows that gender imbalance in STEM is sustained less by capability differences than by stereotypes, organisational cues, and inclusion climates that influence belonging and persistence (Verdugo-Castro, García-Holgado and Sánchez-Gómez, 2022; Hall, 2023). A UK–Romania comparison illustrates why leadership must be analysed contextually: Romania has one of the EU’s highest shares of women among tertiary STEM graduates (Eurostat, 2024), yet this does not automatically translate into leadership representation, suggesting barriers in organisational culture, progression systems and political dynamics</w:t>
          </w:r>
          <w:r w:rsidR="00307352">
            <w:rPr>
              <w:sz w:val="24"/>
              <w:szCs w:val="24"/>
            </w:rPr>
            <w:t xml:space="preserve"> (Oncioiu, 2023)</w:t>
          </w:r>
          <w:r w:rsidRPr="005C5F88">
            <w:rPr>
              <w:sz w:val="24"/>
              <w:szCs w:val="24"/>
            </w:rPr>
            <w:t>.</w:t>
          </w:r>
        </w:p>
        <w:p w14:paraId="09296471" w14:textId="77777777" w:rsidR="009A17F6" w:rsidRPr="005C5F88" w:rsidRDefault="009A17F6" w:rsidP="009A17F6">
          <w:pPr>
            <w:pStyle w:val="ListParagraph"/>
            <w:ind w:left="284"/>
            <w:jc w:val="both"/>
            <w:rPr>
              <w:sz w:val="24"/>
              <w:szCs w:val="24"/>
            </w:rPr>
          </w:pPr>
        </w:p>
        <w:p w14:paraId="5D7340C9" w14:textId="11A7ACA6" w:rsidR="009A17F6" w:rsidRDefault="009A17F6" w:rsidP="009A17F6">
          <w:pPr>
            <w:pStyle w:val="ListParagraph"/>
            <w:ind w:left="284"/>
            <w:jc w:val="both"/>
            <w:rPr>
              <w:sz w:val="24"/>
              <w:szCs w:val="24"/>
            </w:rPr>
          </w:pPr>
          <w:r w:rsidRPr="005C5F88">
            <w:rPr>
              <w:sz w:val="24"/>
              <w:szCs w:val="24"/>
            </w:rPr>
            <w:t>The UK, meanwhile, continues to report persistent underrepresentation of women across engineering and mid-career attrition, indicating that retention and advancement are as critical as recruitment, with evidence showing a small, worrying decline in women aged 35–44 remaining in engineering roles (EngineeringUK, 2024; EngineeringUK, 2025). These patterns suggest that systemic and cultural dynamics within organisations influence women’s progression to leadership roles as much as early education and entry rates (House</w:t>
          </w:r>
          <w:r w:rsidR="00181E47">
            <w:rPr>
              <w:sz w:val="24"/>
              <w:szCs w:val="24"/>
            </w:rPr>
            <w:t xml:space="preserve"> of</w:t>
          </w:r>
          <w:r w:rsidRPr="005C5F88">
            <w:rPr>
              <w:sz w:val="24"/>
              <w:szCs w:val="24"/>
            </w:rPr>
            <w:t xml:space="preserve"> Commons Science and Technology Committee, 2023</w:t>
          </w:r>
          <w:r w:rsidR="00E558E2" w:rsidRPr="005C5F88">
            <w:rPr>
              <w:sz w:val="24"/>
              <w:szCs w:val="24"/>
            </w:rPr>
            <w:t xml:space="preserve">; </w:t>
          </w:r>
          <w:r w:rsidR="00E558E2" w:rsidRPr="005C5F88">
            <w:rPr>
              <w:sz w:val="24"/>
              <w:szCs w:val="24"/>
            </w:rPr>
            <w:t>EngineeringUK, 2025</w:t>
          </w:r>
          <w:r w:rsidRPr="005C5F88">
            <w:rPr>
              <w:sz w:val="24"/>
              <w:szCs w:val="24"/>
            </w:rPr>
            <w:t>). In both contexts, addressing gender imbalance therefore requires leadership approaches that align values and systems</w:t>
          </w:r>
          <w:r w:rsidR="00E558E2" w:rsidRPr="005C5F88">
            <w:rPr>
              <w:sz w:val="24"/>
              <w:szCs w:val="24"/>
            </w:rPr>
            <w:t xml:space="preserve">: </w:t>
          </w:r>
          <w:r w:rsidRPr="005C5F88">
            <w:rPr>
              <w:sz w:val="24"/>
              <w:szCs w:val="24"/>
            </w:rPr>
            <w:t>how talent is developed, sponsored, evaluated, and heard</w:t>
          </w:r>
          <w:r w:rsidR="00E558E2" w:rsidRPr="005C5F88">
            <w:rPr>
              <w:sz w:val="24"/>
              <w:szCs w:val="24"/>
            </w:rPr>
            <w:t xml:space="preserve">, </w:t>
          </w:r>
          <w:r w:rsidRPr="005C5F88">
            <w:rPr>
              <w:sz w:val="24"/>
              <w:szCs w:val="24"/>
            </w:rPr>
            <w:t>with ethical consistency and cultural change.</w:t>
          </w:r>
          <w:r w:rsidR="00B827CC">
            <w:rPr>
              <w:sz w:val="24"/>
              <w:szCs w:val="24"/>
            </w:rPr>
            <w:t xml:space="preserve"> </w:t>
          </w:r>
        </w:p>
        <w:p w14:paraId="05CF62A2" w14:textId="77777777" w:rsidR="00B827CC" w:rsidRDefault="00B827CC" w:rsidP="009A17F6">
          <w:pPr>
            <w:pStyle w:val="ListParagraph"/>
            <w:ind w:left="284"/>
            <w:jc w:val="both"/>
            <w:rPr>
              <w:sz w:val="24"/>
              <w:szCs w:val="24"/>
            </w:rPr>
          </w:pPr>
        </w:p>
        <w:p w14:paraId="4013F231" w14:textId="77777777" w:rsidR="00B827CC" w:rsidRDefault="00B827CC" w:rsidP="009A17F6">
          <w:pPr>
            <w:pStyle w:val="ListParagraph"/>
            <w:ind w:left="284"/>
            <w:jc w:val="both"/>
            <w:rPr>
              <w:sz w:val="24"/>
              <w:szCs w:val="24"/>
            </w:rPr>
          </w:pPr>
        </w:p>
        <w:p w14:paraId="7E0674E7" w14:textId="4F3060C5" w:rsidR="00B827CC" w:rsidRPr="005C5F88" w:rsidRDefault="00B827CC" w:rsidP="00FB1530">
          <w:pPr>
            <w:pStyle w:val="Heading4"/>
          </w:pPr>
          <w:r w:rsidRPr="00B827CC">
            <w:t xml:space="preserve">Figure 1 </w:t>
          </w:r>
          <w:r>
            <w:t>–</w:t>
          </w:r>
          <w:r w:rsidRPr="00B827CC">
            <w:t xml:space="preserve"> </w:t>
          </w:r>
          <w:r>
            <w:t>Gender Gap in Engineering (UK)</w:t>
          </w:r>
        </w:p>
        <w:p w14:paraId="7531BC30" w14:textId="5D49A1A4" w:rsidR="00B80BAB" w:rsidRDefault="00B827CC">
          <w:pPr>
            <w:rPr>
              <w:rFonts w:asciiTheme="majorHAnsi" w:eastAsiaTheme="majorEastAsia" w:hAnsiTheme="majorHAnsi" w:cstheme="majorBidi"/>
              <w:color w:val="2E74B5" w:themeColor="accent1" w:themeShade="BF"/>
              <w:sz w:val="32"/>
              <w:szCs w:val="32"/>
            </w:rPr>
          </w:pPr>
          <w:r>
            <w:rPr>
              <w:noProof/>
            </w:rPr>
            <w:drawing>
              <wp:inline distT="0" distB="0" distL="0" distR="0" wp14:anchorId="750006DD" wp14:editId="0DFD43C1">
                <wp:extent cx="5048250" cy="2383740"/>
                <wp:effectExtent l="0" t="0" r="0" b="0"/>
                <wp:docPr id="1237235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64031" cy="2391192"/>
                        </a:xfrm>
                        <a:prstGeom prst="rect">
                          <a:avLst/>
                        </a:prstGeom>
                        <a:noFill/>
                        <a:ln>
                          <a:noFill/>
                        </a:ln>
                      </pic:spPr>
                    </pic:pic>
                  </a:graphicData>
                </a:graphic>
              </wp:inline>
            </w:drawing>
          </w:r>
          <w:r>
            <w:t xml:space="preserve"> </w:t>
          </w:r>
          <w:r w:rsidR="00B80BAB">
            <w:br w:type="page"/>
          </w:r>
        </w:p>
        <w:p w14:paraId="75419A73" w14:textId="45C016A6" w:rsidR="00556419" w:rsidRDefault="005C7175" w:rsidP="005C7175">
          <w:pPr>
            <w:pStyle w:val="Heading1"/>
          </w:pPr>
          <w:bookmarkStart w:id="4" w:name="_Toc219108391"/>
          <w:r>
            <w:lastRenderedPageBreak/>
            <w:t xml:space="preserve">2. </w:t>
          </w:r>
          <w:r w:rsidR="00556419">
            <w:t xml:space="preserve"> Rationale</w:t>
          </w:r>
          <w:bookmarkEnd w:id="4"/>
        </w:p>
        <w:p w14:paraId="7A155DF2" w14:textId="0006FD7F" w:rsidR="008D4C45" w:rsidRDefault="004540D2" w:rsidP="002A70F6">
          <w:pPr>
            <w:jc w:val="both"/>
            <w:rPr>
              <w:sz w:val="24"/>
              <w:szCs w:val="24"/>
            </w:rPr>
          </w:pPr>
          <w:r w:rsidRPr="005C5F88">
            <w:rPr>
              <w:sz w:val="24"/>
              <w:szCs w:val="24"/>
            </w:rPr>
            <w:t xml:space="preserve"> </w:t>
          </w:r>
          <w:r w:rsidR="002A70F6" w:rsidRPr="005C5F88">
            <w:rPr>
              <w:sz w:val="24"/>
              <w:szCs w:val="24"/>
            </w:rPr>
            <w:t>A targeted implementation plan is necessary because gender imbalance in mechanical engineering is sustained by systemic, multi-level barriers rather than a simple lack of interest or ability. UK evidence shows women remain persistently underrepresented in engineering and the gains made over time have been slow and fragile, indicating that attraction alone is insufficient without stronger retention and progression structures (Horton, 2023). Internationally, recent research continues to show that women’s participation and progression in STEM is shaped by cultural expectations, stereotypes and institutional conditions that influence belonging and persistence (Martínez, 2023). In addition, the leadership gap reflects well-evidenced constraints in organisational opportunity structures</w:t>
          </w:r>
          <w:r w:rsidR="006D234D">
            <w:rPr>
              <w:sz w:val="24"/>
              <w:szCs w:val="24"/>
            </w:rPr>
            <w:t xml:space="preserve">, </w:t>
          </w:r>
          <w:r w:rsidR="002A70F6" w:rsidRPr="005C5F88">
            <w:rPr>
              <w:sz w:val="24"/>
              <w:szCs w:val="24"/>
            </w:rPr>
            <w:t>such as biased advancement systems, limited sponsorship, and barriers embedded in organisational culture</w:t>
          </w:r>
          <w:r w:rsidR="006D234D">
            <w:rPr>
              <w:sz w:val="24"/>
              <w:szCs w:val="24"/>
            </w:rPr>
            <w:t xml:space="preserve">, </w:t>
          </w:r>
          <w:r w:rsidR="002A70F6" w:rsidRPr="005C5F88">
            <w:rPr>
              <w:sz w:val="24"/>
              <w:szCs w:val="24"/>
            </w:rPr>
            <w:t>rather than uniform differences in women’s aspirations (Galsanjigmed and Sekiguchi, 2023).</w:t>
          </w:r>
        </w:p>
        <w:p w14:paraId="37C65129" w14:textId="77777777" w:rsidR="00FD7C6A" w:rsidRPr="005C5F88" w:rsidRDefault="00FD7C6A" w:rsidP="002A70F6">
          <w:pPr>
            <w:jc w:val="both"/>
            <w:rPr>
              <w:sz w:val="24"/>
              <w:szCs w:val="24"/>
            </w:rPr>
          </w:pPr>
        </w:p>
        <w:p w14:paraId="4133DA70" w14:textId="6E3A7FA4" w:rsidR="00480872" w:rsidRDefault="005C7175" w:rsidP="005C7175">
          <w:pPr>
            <w:pStyle w:val="Heading2"/>
          </w:pPr>
          <w:bookmarkStart w:id="5" w:name="_Toc219108392"/>
          <w:r>
            <w:t>2.1</w:t>
          </w:r>
          <w:r w:rsidR="00556419">
            <w:t xml:space="preserve"> </w:t>
          </w:r>
          <w:r w:rsidR="004540D2">
            <w:t>Aims and Objectives</w:t>
          </w:r>
          <w:bookmarkEnd w:id="5"/>
          <w:r w:rsidR="004540D2">
            <w:t xml:space="preserve"> </w:t>
          </w:r>
        </w:p>
        <w:p w14:paraId="4F1B2FD5" w14:textId="77777777" w:rsidR="001F3370" w:rsidRDefault="001F3370" w:rsidP="00556419"/>
        <w:p w14:paraId="7D4FC40A" w14:textId="05880B03" w:rsidR="00480872" w:rsidRPr="005C5F88" w:rsidRDefault="00C17880" w:rsidP="00556419">
          <w:pPr>
            <w:rPr>
              <w:sz w:val="24"/>
              <w:szCs w:val="24"/>
            </w:rPr>
          </w:pPr>
          <w:r w:rsidRPr="005C5F88">
            <w:rPr>
              <w:sz w:val="24"/>
              <w:szCs w:val="24"/>
            </w:rPr>
            <w:t>The aim of this implementation plan is t</w:t>
          </w:r>
          <w:r w:rsidRPr="005C5F88">
            <w:rPr>
              <w:sz w:val="24"/>
              <w:szCs w:val="24"/>
            </w:rPr>
            <w:t>o increase the participation, retention and progression of women into leadership roles in mechanical engineering in the UK and Romania through ethical, inclusive and evidence-based leadership and organisational practices.</w:t>
          </w:r>
        </w:p>
        <w:p w14:paraId="2E87E46C" w14:textId="77777777" w:rsidR="00C17880" w:rsidRPr="005C5F88" w:rsidRDefault="00C17880" w:rsidP="00556419">
          <w:pPr>
            <w:rPr>
              <w:sz w:val="24"/>
              <w:szCs w:val="24"/>
            </w:rPr>
          </w:pPr>
        </w:p>
        <w:p w14:paraId="3C02F7EE" w14:textId="0597E063" w:rsidR="00C17880" w:rsidRPr="005C5F88" w:rsidRDefault="00C17880" w:rsidP="00556419">
          <w:pPr>
            <w:rPr>
              <w:sz w:val="24"/>
              <w:szCs w:val="24"/>
            </w:rPr>
          </w:pPr>
          <w:r w:rsidRPr="005C5F88">
            <w:rPr>
              <w:sz w:val="24"/>
              <w:szCs w:val="24"/>
            </w:rPr>
            <w:t>Objectives:</w:t>
          </w:r>
        </w:p>
        <w:p w14:paraId="5C6A98D1" w14:textId="77777777" w:rsidR="004917D4" w:rsidRPr="005C5F88" w:rsidRDefault="004917D4" w:rsidP="004917D4">
          <w:pPr>
            <w:rPr>
              <w:sz w:val="24"/>
              <w:szCs w:val="24"/>
            </w:rPr>
          </w:pPr>
          <w:r w:rsidRPr="005C5F88">
            <w:rPr>
              <w:sz w:val="24"/>
              <w:szCs w:val="24"/>
            </w:rPr>
            <w:t>Increase participation:</w:t>
          </w:r>
        </w:p>
        <w:p w14:paraId="007582B7" w14:textId="22A691D4" w:rsidR="004917D4" w:rsidRPr="005C5F88" w:rsidRDefault="004917D4" w:rsidP="00890FF2">
          <w:pPr>
            <w:jc w:val="both"/>
            <w:rPr>
              <w:sz w:val="24"/>
              <w:szCs w:val="24"/>
            </w:rPr>
          </w:pPr>
          <w:r w:rsidRPr="005C5F88">
            <w:rPr>
              <w:sz w:val="24"/>
              <w:szCs w:val="24"/>
            </w:rPr>
            <w:t>1.</w:t>
          </w:r>
          <w:r w:rsidRPr="005C5F88">
            <w:rPr>
              <w:sz w:val="24"/>
              <w:szCs w:val="24"/>
            </w:rPr>
            <w:t>By 2029, increase female enrolment in mechanical engineering pathways (degrees and apprenticeships) by 10% in the UK and 5% in Romania, measured annually using national education and workforce data.</w:t>
          </w:r>
        </w:p>
        <w:p w14:paraId="37245277" w14:textId="77777777" w:rsidR="004917D4" w:rsidRPr="005C5F88" w:rsidRDefault="004917D4" w:rsidP="00890FF2">
          <w:pPr>
            <w:jc w:val="both"/>
            <w:rPr>
              <w:sz w:val="24"/>
              <w:szCs w:val="24"/>
            </w:rPr>
          </w:pPr>
        </w:p>
        <w:p w14:paraId="077C6A9D" w14:textId="77777777" w:rsidR="004917D4" w:rsidRPr="005C5F88" w:rsidRDefault="004917D4" w:rsidP="00890FF2">
          <w:pPr>
            <w:jc w:val="both"/>
            <w:rPr>
              <w:sz w:val="24"/>
              <w:szCs w:val="24"/>
            </w:rPr>
          </w:pPr>
          <w:r w:rsidRPr="005C5F88">
            <w:rPr>
              <w:sz w:val="24"/>
              <w:szCs w:val="24"/>
            </w:rPr>
            <w:t>Improve retention:</w:t>
          </w:r>
        </w:p>
        <w:p w14:paraId="4B12BDA2" w14:textId="71989CAF" w:rsidR="004917D4" w:rsidRPr="005C5F88" w:rsidRDefault="004917D4" w:rsidP="00890FF2">
          <w:pPr>
            <w:jc w:val="both"/>
            <w:rPr>
              <w:sz w:val="24"/>
              <w:szCs w:val="24"/>
            </w:rPr>
          </w:pPr>
          <w:r w:rsidRPr="005C5F88">
            <w:rPr>
              <w:sz w:val="24"/>
              <w:szCs w:val="24"/>
            </w:rPr>
            <w:t>2.</w:t>
          </w:r>
          <w:r w:rsidRPr="005C5F88">
            <w:rPr>
              <w:sz w:val="24"/>
              <w:szCs w:val="24"/>
            </w:rPr>
            <w:t>By 2028, reduce mid-career attrition of women in mechanical engineering roles by 15% in participating organisations, measured through turnover and exit data.</w:t>
          </w:r>
        </w:p>
        <w:p w14:paraId="2901DD53" w14:textId="77777777" w:rsidR="004917D4" w:rsidRPr="005C5F88" w:rsidRDefault="004917D4" w:rsidP="00890FF2">
          <w:pPr>
            <w:jc w:val="both"/>
            <w:rPr>
              <w:sz w:val="24"/>
              <w:szCs w:val="24"/>
            </w:rPr>
          </w:pPr>
        </w:p>
        <w:p w14:paraId="47947B17" w14:textId="77777777" w:rsidR="004917D4" w:rsidRPr="005C5F88" w:rsidRDefault="004917D4" w:rsidP="00890FF2">
          <w:pPr>
            <w:jc w:val="both"/>
            <w:rPr>
              <w:sz w:val="24"/>
              <w:szCs w:val="24"/>
            </w:rPr>
          </w:pPr>
          <w:r w:rsidRPr="005C5F88">
            <w:rPr>
              <w:sz w:val="24"/>
              <w:szCs w:val="24"/>
            </w:rPr>
            <w:t>Strengthen leadership progression:</w:t>
          </w:r>
        </w:p>
        <w:p w14:paraId="2642F534" w14:textId="0843F30C" w:rsidR="004917D4" w:rsidRPr="005C5F88" w:rsidRDefault="004917D4" w:rsidP="00890FF2">
          <w:pPr>
            <w:jc w:val="both"/>
            <w:rPr>
              <w:sz w:val="24"/>
              <w:szCs w:val="24"/>
            </w:rPr>
          </w:pPr>
          <w:r w:rsidRPr="005C5F88">
            <w:rPr>
              <w:sz w:val="24"/>
              <w:szCs w:val="24"/>
            </w:rPr>
            <w:t>3.</w:t>
          </w:r>
          <w:r w:rsidRPr="005C5F88">
            <w:rPr>
              <w:sz w:val="24"/>
              <w:szCs w:val="24"/>
            </w:rPr>
            <w:t>By 2030, increase the proportion of women in technical leadership and first-line management roles in mechanical engineering by 20% within organisations implementing the plan, measured through internal promotion data.</w:t>
          </w:r>
        </w:p>
        <w:p w14:paraId="71C5892E" w14:textId="77777777" w:rsidR="004917D4" w:rsidRPr="005C5F88" w:rsidRDefault="004917D4" w:rsidP="00890FF2">
          <w:pPr>
            <w:jc w:val="both"/>
            <w:rPr>
              <w:sz w:val="24"/>
              <w:szCs w:val="24"/>
            </w:rPr>
          </w:pPr>
        </w:p>
        <w:p w14:paraId="422C99E1" w14:textId="77777777" w:rsidR="004917D4" w:rsidRPr="005C5F88" w:rsidRDefault="004917D4" w:rsidP="00890FF2">
          <w:pPr>
            <w:jc w:val="both"/>
            <w:rPr>
              <w:sz w:val="24"/>
              <w:szCs w:val="24"/>
            </w:rPr>
          </w:pPr>
          <w:r w:rsidRPr="005C5F88">
            <w:rPr>
              <w:sz w:val="24"/>
              <w:szCs w:val="24"/>
            </w:rPr>
            <w:lastRenderedPageBreak/>
            <w:t>Enhance organisational culture:</w:t>
          </w:r>
        </w:p>
        <w:p w14:paraId="39C48CEC" w14:textId="0B92EB57" w:rsidR="00C17880" w:rsidRPr="005C5F88" w:rsidRDefault="004917D4" w:rsidP="00890FF2">
          <w:pPr>
            <w:jc w:val="both"/>
            <w:rPr>
              <w:sz w:val="24"/>
              <w:szCs w:val="24"/>
            </w:rPr>
          </w:pPr>
          <w:r w:rsidRPr="005C5F88">
            <w:rPr>
              <w:sz w:val="24"/>
              <w:szCs w:val="24"/>
            </w:rPr>
            <w:t>4.</w:t>
          </w:r>
          <w:r w:rsidRPr="005C5F88">
            <w:rPr>
              <w:sz w:val="24"/>
              <w:szCs w:val="24"/>
            </w:rPr>
            <w:t>By 2027, achieve a minimum 15% improvement in employee survey indicators related to psychological safety, inclusion and leadership fairness in participating organisations, benchmarked against baseline measurements.</w:t>
          </w:r>
        </w:p>
        <w:p w14:paraId="4553A262" w14:textId="77777777" w:rsidR="00C17880" w:rsidRDefault="00C17880" w:rsidP="00556419"/>
        <w:p w14:paraId="7820AD2A" w14:textId="060F4288" w:rsidR="00480872" w:rsidRDefault="00556419" w:rsidP="00556419">
          <w:pPr>
            <w:pStyle w:val="Heading2"/>
          </w:pPr>
          <w:bookmarkStart w:id="6" w:name="_Toc219108393"/>
          <w:r>
            <w:t>2.</w:t>
          </w:r>
          <w:r w:rsidR="005C7175">
            <w:t>2</w:t>
          </w:r>
          <w:r>
            <w:t xml:space="preserve"> Action Plan</w:t>
          </w:r>
          <w:bookmarkEnd w:id="6"/>
        </w:p>
        <w:p w14:paraId="1BC8B8F1" w14:textId="29781BCC" w:rsidR="00C43E25" w:rsidRDefault="00FB1530" w:rsidP="00FB1530">
          <w:pPr>
            <w:pStyle w:val="Heading4"/>
          </w:pPr>
          <w:r w:rsidRPr="00FB1530">
            <w:t xml:space="preserve">Figure 2 – </w:t>
          </w:r>
          <w:r>
            <w:t>Proposed action plan</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C43E25" w14:paraId="0BC065A7" w14:textId="77777777" w:rsidTr="00C43E25">
            <w:tc>
              <w:tcPr>
                <w:tcW w:w="1502" w:type="dxa"/>
              </w:tcPr>
              <w:p w14:paraId="63C6BE8E" w14:textId="154C14FC" w:rsidR="00C43E25" w:rsidRDefault="00C43E25" w:rsidP="00556419">
                <w:r w:rsidRPr="00C43E25">
                  <w:rPr>
                    <w:rFonts w:ascii="Cambria" w:eastAsia="MS Mincho" w:hAnsi="Cambria" w:cs="Times New Roman"/>
                    <w:lang w:val="en-US"/>
                  </w:rPr>
                  <w:t>Action</w:t>
                </w:r>
              </w:p>
            </w:tc>
            <w:tc>
              <w:tcPr>
                <w:tcW w:w="1502" w:type="dxa"/>
              </w:tcPr>
              <w:p w14:paraId="5A894612" w14:textId="2D4742D3" w:rsidR="00C43E25" w:rsidRDefault="00C43E25" w:rsidP="00556419">
                <w:r>
                  <w:t>Objective</w:t>
                </w:r>
              </w:p>
            </w:tc>
            <w:tc>
              <w:tcPr>
                <w:tcW w:w="1503" w:type="dxa"/>
              </w:tcPr>
              <w:p w14:paraId="5F51FD60" w14:textId="7F734103" w:rsidR="00C43E25" w:rsidRDefault="00AE6046" w:rsidP="00556419">
                <w:r>
                  <w:t>Timeline</w:t>
                </w:r>
              </w:p>
            </w:tc>
            <w:tc>
              <w:tcPr>
                <w:tcW w:w="1503" w:type="dxa"/>
              </w:tcPr>
              <w:p w14:paraId="677227BC" w14:textId="7B2757AE" w:rsidR="00C43E25" w:rsidRDefault="00AE6046" w:rsidP="00556419">
                <w:r>
                  <w:t>Stakeholders</w:t>
                </w:r>
              </w:p>
            </w:tc>
            <w:tc>
              <w:tcPr>
                <w:tcW w:w="1503" w:type="dxa"/>
              </w:tcPr>
              <w:p w14:paraId="216B4BAA" w14:textId="309A906C" w:rsidR="00C43E25" w:rsidRDefault="00AE6046" w:rsidP="00556419">
                <w:r>
                  <w:t>Support</w:t>
                </w:r>
              </w:p>
            </w:tc>
            <w:tc>
              <w:tcPr>
                <w:tcW w:w="1503" w:type="dxa"/>
              </w:tcPr>
              <w:p w14:paraId="2C426F9B" w14:textId="2555C785" w:rsidR="00C43E25" w:rsidRDefault="00AE6046" w:rsidP="00556419">
                <w:r>
                  <w:t>Key risks</w:t>
                </w:r>
              </w:p>
            </w:tc>
          </w:tr>
          <w:tr w:rsidR="00C43E25" w14:paraId="02F4B26F" w14:textId="77777777" w:rsidTr="00C43E25">
            <w:tc>
              <w:tcPr>
                <w:tcW w:w="1502" w:type="dxa"/>
              </w:tcPr>
              <w:p w14:paraId="6F08710F" w14:textId="55C468DD" w:rsidR="00C43E25" w:rsidRPr="00AE6046" w:rsidRDefault="00AE6046" w:rsidP="00556419">
                <w:pPr>
                  <w:rPr>
                    <w:sz w:val="18"/>
                    <w:szCs w:val="18"/>
                  </w:rPr>
                </w:pPr>
                <w:r w:rsidRPr="00AE6046">
                  <w:rPr>
                    <w:sz w:val="18"/>
                    <w:szCs w:val="18"/>
                  </w:rPr>
                  <w:t xml:space="preserve">1.Inclusive </w:t>
                </w:r>
                <w:r>
                  <w:rPr>
                    <w:sz w:val="18"/>
                    <w:szCs w:val="18"/>
                  </w:rPr>
                  <w:t xml:space="preserve">ME </w:t>
                </w:r>
                <w:r w:rsidRPr="00AE6046">
                  <w:rPr>
                    <w:sz w:val="18"/>
                    <w:szCs w:val="18"/>
                  </w:rPr>
                  <w:t>identity modules in secondary education</w:t>
                </w:r>
              </w:p>
            </w:tc>
            <w:tc>
              <w:tcPr>
                <w:tcW w:w="1502" w:type="dxa"/>
              </w:tcPr>
              <w:p w14:paraId="31E651E6" w14:textId="38EA75A2" w:rsidR="00C43E25" w:rsidRPr="00AE6046" w:rsidRDefault="00AE6046" w:rsidP="00556419">
                <w:pPr>
                  <w:rPr>
                    <w:sz w:val="18"/>
                    <w:szCs w:val="18"/>
                  </w:rPr>
                </w:pPr>
                <w:r w:rsidRPr="00AE6046">
                  <w:rPr>
                    <w:sz w:val="18"/>
                    <w:szCs w:val="18"/>
                  </w:rPr>
                  <w:t>Increase participation</w:t>
                </w:r>
              </w:p>
            </w:tc>
            <w:tc>
              <w:tcPr>
                <w:tcW w:w="1503" w:type="dxa"/>
              </w:tcPr>
              <w:p w14:paraId="6BE0AB5C" w14:textId="6696612B" w:rsidR="00C43E25" w:rsidRPr="00AE6046" w:rsidRDefault="00AE6046" w:rsidP="00556419">
                <w:pPr>
                  <w:rPr>
                    <w:sz w:val="18"/>
                    <w:szCs w:val="18"/>
                  </w:rPr>
                </w:pPr>
                <w:r w:rsidRPr="00AE6046">
                  <w:rPr>
                    <w:sz w:val="18"/>
                    <w:szCs w:val="18"/>
                  </w:rPr>
                  <w:t>36 months</w:t>
                </w:r>
              </w:p>
            </w:tc>
            <w:tc>
              <w:tcPr>
                <w:tcW w:w="1503" w:type="dxa"/>
              </w:tcPr>
              <w:p w14:paraId="251ADB37" w14:textId="5B1C9D2E" w:rsidR="00C43E25" w:rsidRPr="00AE6046" w:rsidRDefault="00AE6046" w:rsidP="00556419">
                <w:pPr>
                  <w:rPr>
                    <w:sz w:val="18"/>
                    <w:szCs w:val="18"/>
                  </w:rPr>
                </w:pPr>
                <w:r w:rsidRPr="00AE6046">
                  <w:rPr>
                    <w:sz w:val="18"/>
                    <w:szCs w:val="18"/>
                  </w:rPr>
                  <w:t>School, Universities</w:t>
                </w:r>
                <w:r>
                  <w:rPr>
                    <w:sz w:val="18"/>
                    <w:szCs w:val="18"/>
                  </w:rPr>
                  <w:t>, employers, education ministries</w:t>
                </w:r>
              </w:p>
            </w:tc>
            <w:tc>
              <w:tcPr>
                <w:tcW w:w="1503" w:type="dxa"/>
              </w:tcPr>
              <w:p w14:paraId="12588AF3" w14:textId="35EED4F3" w:rsidR="00C43E25" w:rsidRPr="00AE6046" w:rsidRDefault="00AE6046" w:rsidP="00556419">
                <w:pPr>
                  <w:rPr>
                    <w:sz w:val="18"/>
                    <w:szCs w:val="18"/>
                  </w:rPr>
                </w:pPr>
                <w:r>
                  <w:rPr>
                    <w:sz w:val="18"/>
                    <w:szCs w:val="18"/>
                  </w:rPr>
                  <w:t>Teacher training, outreach funding, employer ambassadors</w:t>
                </w:r>
              </w:p>
            </w:tc>
            <w:tc>
              <w:tcPr>
                <w:tcW w:w="1503" w:type="dxa"/>
              </w:tcPr>
              <w:p w14:paraId="69D74811" w14:textId="48A6B798" w:rsidR="00C43E25" w:rsidRPr="00AE6046" w:rsidRDefault="00AE6046" w:rsidP="00556419">
                <w:pPr>
                  <w:rPr>
                    <w:sz w:val="18"/>
                    <w:szCs w:val="18"/>
                  </w:rPr>
                </w:pPr>
                <w:r>
                  <w:rPr>
                    <w:sz w:val="18"/>
                    <w:szCs w:val="18"/>
                  </w:rPr>
                  <w:t>Low uptake mitigated by curriculum alignment and incentives</w:t>
                </w:r>
              </w:p>
            </w:tc>
          </w:tr>
          <w:tr w:rsidR="00C43E25" w14:paraId="4191D98B" w14:textId="77777777" w:rsidTr="00C43E25">
            <w:tc>
              <w:tcPr>
                <w:tcW w:w="1502" w:type="dxa"/>
              </w:tcPr>
              <w:p w14:paraId="006E0247" w14:textId="2331595D" w:rsidR="00C43E25" w:rsidRPr="00AE6046" w:rsidRDefault="00AE6046" w:rsidP="00556419">
                <w:pPr>
                  <w:rPr>
                    <w:sz w:val="18"/>
                    <w:szCs w:val="18"/>
                  </w:rPr>
                </w:pPr>
                <w:r>
                  <w:rPr>
                    <w:sz w:val="18"/>
                    <w:szCs w:val="18"/>
                  </w:rPr>
                  <w:t>2.Annual ME science and visibility days for girls</w:t>
                </w:r>
              </w:p>
            </w:tc>
            <w:tc>
              <w:tcPr>
                <w:tcW w:w="1502" w:type="dxa"/>
              </w:tcPr>
              <w:p w14:paraId="175A08E2" w14:textId="693D23FC" w:rsidR="00C43E25" w:rsidRPr="00AE6046" w:rsidRDefault="00AE6046" w:rsidP="00556419">
                <w:pPr>
                  <w:rPr>
                    <w:sz w:val="18"/>
                    <w:szCs w:val="18"/>
                  </w:rPr>
                </w:pPr>
                <w:r>
                  <w:rPr>
                    <w:sz w:val="18"/>
                    <w:szCs w:val="18"/>
                  </w:rPr>
                  <w:t>Increase participation</w:t>
                </w:r>
              </w:p>
            </w:tc>
            <w:tc>
              <w:tcPr>
                <w:tcW w:w="1503" w:type="dxa"/>
              </w:tcPr>
              <w:p w14:paraId="74137B38" w14:textId="2CD08843" w:rsidR="00C43E25" w:rsidRPr="00AE6046" w:rsidRDefault="00AE6046" w:rsidP="00556419">
                <w:pPr>
                  <w:rPr>
                    <w:sz w:val="18"/>
                    <w:szCs w:val="18"/>
                  </w:rPr>
                </w:pPr>
                <w:r>
                  <w:rPr>
                    <w:sz w:val="18"/>
                    <w:szCs w:val="18"/>
                  </w:rPr>
                  <w:t>12-60 months</w:t>
                </w:r>
              </w:p>
            </w:tc>
            <w:tc>
              <w:tcPr>
                <w:tcW w:w="1503" w:type="dxa"/>
              </w:tcPr>
              <w:p w14:paraId="2A6AF81B" w14:textId="72D85FF7" w:rsidR="00C43E25" w:rsidRPr="00AE6046" w:rsidRDefault="00AE6046" w:rsidP="00556419">
                <w:pPr>
                  <w:rPr>
                    <w:sz w:val="18"/>
                    <w:szCs w:val="18"/>
                  </w:rPr>
                </w:pPr>
                <w:r>
                  <w:rPr>
                    <w:sz w:val="18"/>
                    <w:szCs w:val="18"/>
                  </w:rPr>
                  <w:t>Universities, professional bodies, employers</w:t>
                </w:r>
              </w:p>
            </w:tc>
            <w:tc>
              <w:tcPr>
                <w:tcW w:w="1503" w:type="dxa"/>
              </w:tcPr>
              <w:p w14:paraId="64BCEAEA" w14:textId="736D0D46" w:rsidR="00C43E25" w:rsidRPr="00AE6046" w:rsidRDefault="00AE6046" w:rsidP="00556419">
                <w:pPr>
                  <w:rPr>
                    <w:sz w:val="18"/>
                    <w:szCs w:val="18"/>
                  </w:rPr>
                </w:pPr>
                <w:r>
                  <w:rPr>
                    <w:sz w:val="18"/>
                    <w:szCs w:val="18"/>
                  </w:rPr>
                  <w:t>Facilities, transport funding, communications</w:t>
                </w:r>
              </w:p>
            </w:tc>
            <w:tc>
              <w:tcPr>
                <w:tcW w:w="1503" w:type="dxa"/>
              </w:tcPr>
              <w:p w14:paraId="3E8CFB4F" w14:textId="4488EEDC" w:rsidR="00C43E25" w:rsidRPr="00AE6046" w:rsidRDefault="00AE6046" w:rsidP="00556419">
                <w:pPr>
                  <w:rPr>
                    <w:sz w:val="18"/>
                    <w:szCs w:val="18"/>
                  </w:rPr>
                </w:pPr>
                <w:r>
                  <w:rPr>
                    <w:sz w:val="18"/>
                    <w:szCs w:val="18"/>
                  </w:rPr>
                  <w:t>Tokenism mitigated through follow-up activities</w:t>
                </w:r>
              </w:p>
            </w:tc>
          </w:tr>
          <w:tr w:rsidR="00C43E25" w14:paraId="2902CF9F" w14:textId="77777777" w:rsidTr="00C43E25">
            <w:tc>
              <w:tcPr>
                <w:tcW w:w="1502" w:type="dxa"/>
              </w:tcPr>
              <w:p w14:paraId="13538D27" w14:textId="1022D066" w:rsidR="00C43E25" w:rsidRPr="00AE6046" w:rsidRDefault="00AE6046" w:rsidP="00556419">
                <w:pPr>
                  <w:rPr>
                    <w:sz w:val="18"/>
                    <w:szCs w:val="18"/>
                  </w:rPr>
                </w:pPr>
                <w:r>
                  <w:rPr>
                    <w:sz w:val="18"/>
                    <w:szCs w:val="18"/>
                  </w:rPr>
                  <w:t>3.Retention hotspot analysis and targeted interventions</w:t>
                </w:r>
              </w:p>
            </w:tc>
            <w:tc>
              <w:tcPr>
                <w:tcW w:w="1502" w:type="dxa"/>
              </w:tcPr>
              <w:p w14:paraId="075ADAFA" w14:textId="6CE5EA97" w:rsidR="00C43E25" w:rsidRPr="00AE6046" w:rsidRDefault="00AE6046" w:rsidP="00556419">
                <w:pPr>
                  <w:rPr>
                    <w:sz w:val="18"/>
                    <w:szCs w:val="18"/>
                  </w:rPr>
                </w:pPr>
                <w:r>
                  <w:rPr>
                    <w:sz w:val="18"/>
                    <w:szCs w:val="18"/>
                  </w:rPr>
                  <w:t>Improve retention</w:t>
                </w:r>
              </w:p>
            </w:tc>
            <w:tc>
              <w:tcPr>
                <w:tcW w:w="1503" w:type="dxa"/>
              </w:tcPr>
              <w:p w14:paraId="438F5913" w14:textId="714BB0B9" w:rsidR="00C43E25" w:rsidRPr="00AE6046" w:rsidRDefault="00AE6046" w:rsidP="00556419">
                <w:pPr>
                  <w:rPr>
                    <w:sz w:val="18"/>
                    <w:szCs w:val="18"/>
                  </w:rPr>
                </w:pPr>
                <w:r>
                  <w:rPr>
                    <w:sz w:val="18"/>
                    <w:szCs w:val="18"/>
                  </w:rPr>
                  <w:t>6-48 months</w:t>
                </w:r>
              </w:p>
            </w:tc>
            <w:tc>
              <w:tcPr>
                <w:tcW w:w="1503" w:type="dxa"/>
              </w:tcPr>
              <w:p w14:paraId="6D5906D7" w14:textId="568FF0E4" w:rsidR="00C43E25" w:rsidRPr="00AE6046" w:rsidRDefault="00AE6046" w:rsidP="00556419">
                <w:pPr>
                  <w:rPr>
                    <w:sz w:val="18"/>
                    <w:szCs w:val="18"/>
                  </w:rPr>
                </w:pPr>
                <w:r>
                  <w:rPr>
                    <w:sz w:val="18"/>
                    <w:szCs w:val="18"/>
                  </w:rPr>
                  <w:t>HR, senior leadership, line managers</w:t>
                </w:r>
              </w:p>
            </w:tc>
            <w:tc>
              <w:tcPr>
                <w:tcW w:w="1503" w:type="dxa"/>
              </w:tcPr>
              <w:p w14:paraId="0B685740" w14:textId="6550A4AA" w:rsidR="00C43E25" w:rsidRPr="00AE6046" w:rsidRDefault="00AE6046" w:rsidP="00556419">
                <w:pPr>
                  <w:rPr>
                    <w:sz w:val="18"/>
                    <w:szCs w:val="18"/>
                  </w:rPr>
                </w:pPr>
                <w:r>
                  <w:rPr>
                    <w:sz w:val="18"/>
                    <w:szCs w:val="18"/>
                  </w:rPr>
                  <w:t>HR analytics, coaching, employee voice systems</w:t>
                </w:r>
              </w:p>
            </w:tc>
            <w:tc>
              <w:tcPr>
                <w:tcW w:w="1503" w:type="dxa"/>
              </w:tcPr>
              <w:p w14:paraId="3CE7F084" w14:textId="297272F0" w:rsidR="00C43E25" w:rsidRPr="00AE6046" w:rsidRDefault="00AE6046" w:rsidP="00556419">
                <w:pPr>
                  <w:rPr>
                    <w:sz w:val="18"/>
                    <w:szCs w:val="18"/>
                  </w:rPr>
                </w:pPr>
                <w:r>
                  <w:rPr>
                    <w:sz w:val="18"/>
                    <w:szCs w:val="18"/>
                  </w:rPr>
                  <w:t>Manager resistance mitigated through accountability</w:t>
                </w:r>
              </w:p>
            </w:tc>
          </w:tr>
          <w:tr w:rsidR="00C43E25" w14:paraId="7DA27149" w14:textId="77777777" w:rsidTr="00C43E25">
            <w:tc>
              <w:tcPr>
                <w:tcW w:w="1502" w:type="dxa"/>
              </w:tcPr>
              <w:p w14:paraId="6BE3CE2B" w14:textId="71B79AC8" w:rsidR="00C43E25" w:rsidRPr="00AE6046" w:rsidRDefault="00AE6046" w:rsidP="00556419">
                <w:pPr>
                  <w:rPr>
                    <w:sz w:val="18"/>
                    <w:szCs w:val="18"/>
                  </w:rPr>
                </w:pPr>
                <w:r>
                  <w:rPr>
                    <w:sz w:val="18"/>
                    <w:szCs w:val="18"/>
                  </w:rPr>
                  <w:t>4.Sponsor-led leadership pathways and critical assignments</w:t>
                </w:r>
              </w:p>
            </w:tc>
            <w:tc>
              <w:tcPr>
                <w:tcW w:w="1502" w:type="dxa"/>
              </w:tcPr>
              <w:p w14:paraId="1D69256F" w14:textId="7C88316B" w:rsidR="00C43E25" w:rsidRPr="00AE6046" w:rsidRDefault="00AE6046" w:rsidP="00556419">
                <w:pPr>
                  <w:rPr>
                    <w:sz w:val="18"/>
                    <w:szCs w:val="18"/>
                  </w:rPr>
                </w:pPr>
                <w:r>
                  <w:rPr>
                    <w:sz w:val="18"/>
                    <w:szCs w:val="18"/>
                  </w:rPr>
                  <w:t>Leadership progression</w:t>
                </w:r>
              </w:p>
            </w:tc>
            <w:tc>
              <w:tcPr>
                <w:tcW w:w="1503" w:type="dxa"/>
              </w:tcPr>
              <w:p w14:paraId="65CDD6AF" w14:textId="0FC7F42D" w:rsidR="00C43E25" w:rsidRPr="00AE6046" w:rsidRDefault="00AE6046" w:rsidP="00556419">
                <w:pPr>
                  <w:rPr>
                    <w:sz w:val="18"/>
                    <w:szCs w:val="18"/>
                  </w:rPr>
                </w:pPr>
                <w:r>
                  <w:rPr>
                    <w:sz w:val="18"/>
                    <w:szCs w:val="18"/>
                  </w:rPr>
                  <w:t>6-60 months</w:t>
                </w:r>
              </w:p>
            </w:tc>
            <w:tc>
              <w:tcPr>
                <w:tcW w:w="1503" w:type="dxa"/>
              </w:tcPr>
              <w:p w14:paraId="24B1DCBB" w14:textId="6A4117D4" w:rsidR="00C43E25" w:rsidRPr="00AE6046" w:rsidRDefault="00AE6046" w:rsidP="00556419">
                <w:pPr>
                  <w:rPr>
                    <w:sz w:val="18"/>
                    <w:szCs w:val="18"/>
                  </w:rPr>
                </w:pPr>
                <w:r>
                  <w:rPr>
                    <w:sz w:val="18"/>
                    <w:szCs w:val="18"/>
                  </w:rPr>
                  <w:t>Senior leaders, HR, engineering directors</w:t>
                </w:r>
              </w:p>
            </w:tc>
            <w:tc>
              <w:tcPr>
                <w:tcW w:w="1503" w:type="dxa"/>
              </w:tcPr>
              <w:p w14:paraId="566DADA7" w14:textId="363237F0" w:rsidR="00C43E25" w:rsidRPr="00AE6046" w:rsidRDefault="00AE6046" w:rsidP="00556419">
                <w:pPr>
                  <w:rPr>
                    <w:sz w:val="18"/>
                    <w:szCs w:val="18"/>
                  </w:rPr>
                </w:pPr>
                <w:r>
                  <w:rPr>
                    <w:sz w:val="18"/>
                    <w:szCs w:val="18"/>
                  </w:rPr>
                  <w:t>Transparent criteria, monitoring tools</w:t>
                </w:r>
              </w:p>
            </w:tc>
            <w:tc>
              <w:tcPr>
                <w:tcW w:w="1503" w:type="dxa"/>
              </w:tcPr>
              <w:p w14:paraId="48ABB097" w14:textId="22EF685B" w:rsidR="00C43E25" w:rsidRPr="00AE6046" w:rsidRDefault="00AE6046" w:rsidP="00556419">
                <w:pPr>
                  <w:rPr>
                    <w:sz w:val="18"/>
                    <w:szCs w:val="18"/>
                  </w:rPr>
                </w:pPr>
                <w:r>
                  <w:rPr>
                    <w:sz w:val="18"/>
                    <w:szCs w:val="18"/>
                  </w:rPr>
                  <w:t>Bias mitigated through promotion calibration</w:t>
                </w:r>
              </w:p>
            </w:tc>
          </w:tr>
          <w:tr w:rsidR="00C43E25" w14:paraId="005FD30F" w14:textId="77777777" w:rsidTr="00C43E25">
            <w:tc>
              <w:tcPr>
                <w:tcW w:w="1502" w:type="dxa"/>
              </w:tcPr>
              <w:p w14:paraId="5BE0F4F4" w14:textId="4BECCC97" w:rsidR="00C43E25" w:rsidRPr="00AE6046" w:rsidRDefault="00043F88" w:rsidP="00556419">
                <w:pPr>
                  <w:rPr>
                    <w:sz w:val="18"/>
                    <w:szCs w:val="18"/>
                  </w:rPr>
                </w:pPr>
                <w:r>
                  <w:rPr>
                    <w:sz w:val="18"/>
                    <w:szCs w:val="18"/>
                  </w:rPr>
                  <w:t>5.Transparent promotion frameworks and calibration panels</w:t>
                </w:r>
              </w:p>
            </w:tc>
            <w:tc>
              <w:tcPr>
                <w:tcW w:w="1502" w:type="dxa"/>
              </w:tcPr>
              <w:p w14:paraId="60222329" w14:textId="30349F45" w:rsidR="00C43E25" w:rsidRPr="00AE6046" w:rsidRDefault="00043F88" w:rsidP="00556419">
                <w:pPr>
                  <w:rPr>
                    <w:sz w:val="18"/>
                    <w:szCs w:val="18"/>
                  </w:rPr>
                </w:pPr>
                <w:r>
                  <w:rPr>
                    <w:sz w:val="18"/>
                    <w:szCs w:val="18"/>
                  </w:rPr>
                  <w:t>Leadership progression</w:t>
                </w:r>
              </w:p>
            </w:tc>
            <w:tc>
              <w:tcPr>
                <w:tcW w:w="1503" w:type="dxa"/>
              </w:tcPr>
              <w:p w14:paraId="18ABB2AA" w14:textId="50E5DDAA" w:rsidR="00C43E25" w:rsidRPr="00AE6046" w:rsidRDefault="00043F88" w:rsidP="00556419">
                <w:pPr>
                  <w:rPr>
                    <w:sz w:val="18"/>
                    <w:szCs w:val="18"/>
                  </w:rPr>
                </w:pPr>
                <w:r>
                  <w:rPr>
                    <w:sz w:val="18"/>
                    <w:szCs w:val="18"/>
                  </w:rPr>
                  <w:t>6-60 months</w:t>
                </w:r>
              </w:p>
            </w:tc>
            <w:tc>
              <w:tcPr>
                <w:tcW w:w="1503" w:type="dxa"/>
              </w:tcPr>
              <w:p w14:paraId="0DF1E446" w14:textId="7EF040FA" w:rsidR="00C43E25" w:rsidRPr="00AE6046" w:rsidRDefault="00043F88" w:rsidP="00556419">
                <w:pPr>
                  <w:rPr>
                    <w:sz w:val="18"/>
                    <w:szCs w:val="18"/>
                  </w:rPr>
                </w:pPr>
                <w:r>
                  <w:rPr>
                    <w:sz w:val="18"/>
                    <w:szCs w:val="18"/>
                  </w:rPr>
                  <w:t>HR, executive leadership</w:t>
                </w:r>
              </w:p>
            </w:tc>
            <w:tc>
              <w:tcPr>
                <w:tcW w:w="1503" w:type="dxa"/>
              </w:tcPr>
              <w:p w14:paraId="13CF13F8" w14:textId="28ED94D8" w:rsidR="00C43E25" w:rsidRPr="00AE6046" w:rsidRDefault="00043F88" w:rsidP="00556419">
                <w:pPr>
                  <w:rPr>
                    <w:sz w:val="18"/>
                    <w:szCs w:val="18"/>
                  </w:rPr>
                </w:pPr>
                <w:r>
                  <w:rPr>
                    <w:sz w:val="18"/>
                    <w:szCs w:val="18"/>
                  </w:rPr>
                  <w:t>Policy development, governance oversight</w:t>
                </w:r>
              </w:p>
            </w:tc>
            <w:tc>
              <w:tcPr>
                <w:tcW w:w="1503" w:type="dxa"/>
              </w:tcPr>
              <w:p w14:paraId="0A3DCFF6" w14:textId="046F1C8E" w:rsidR="00C43E25" w:rsidRPr="00AE6046" w:rsidRDefault="00043F88" w:rsidP="00556419">
                <w:pPr>
                  <w:rPr>
                    <w:sz w:val="18"/>
                    <w:szCs w:val="18"/>
                  </w:rPr>
                </w:pPr>
                <w:r>
                  <w:rPr>
                    <w:sz w:val="18"/>
                    <w:szCs w:val="18"/>
                  </w:rPr>
                  <w:t>Inconsistent use mitigated through audits</w:t>
                </w:r>
              </w:p>
            </w:tc>
          </w:tr>
        </w:tbl>
        <w:p w14:paraId="11DF618C" w14:textId="77777777" w:rsidR="00C43E25" w:rsidRDefault="00C43E25" w:rsidP="00556419"/>
        <w:p w14:paraId="3A5ECA4F" w14:textId="7203E6AA" w:rsidR="00ED6D4D" w:rsidRPr="005C5F88" w:rsidRDefault="003320E0" w:rsidP="003320E0">
          <w:pPr>
            <w:jc w:val="both"/>
            <w:rPr>
              <w:sz w:val="24"/>
              <w:szCs w:val="24"/>
            </w:rPr>
          </w:pPr>
          <w:r w:rsidRPr="005C5F88">
            <w:rPr>
              <w:sz w:val="24"/>
              <w:szCs w:val="24"/>
            </w:rPr>
            <w:t xml:space="preserve">The SMART action plan consolidates </w:t>
          </w:r>
          <w:r w:rsidR="00ED6D4D" w:rsidRPr="005C5F88">
            <w:rPr>
              <w:sz w:val="24"/>
              <w:szCs w:val="24"/>
            </w:rPr>
            <w:t>the</w:t>
          </w:r>
          <w:r w:rsidRPr="005C5F88">
            <w:rPr>
              <w:sz w:val="24"/>
              <w:szCs w:val="24"/>
            </w:rPr>
            <w:t xml:space="preserve"> objectives designed to address gender imbalance in mechanical engineering through systemic, evidence-based interventions. </w:t>
          </w:r>
          <w:r w:rsidR="00ED6D4D" w:rsidRPr="005C5F88">
            <w:rPr>
              <w:sz w:val="24"/>
              <w:szCs w:val="24"/>
            </w:rPr>
            <w:t>I</w:t>
          </w:r>
          <w:r w:rsidRPr="005C5F88">
            <w:rPr>
              <w:sz w:val="24"/>
              <w:szCs w:val="24"/>
            </w:rPr>
            <w:t>ncreasing female participation in mechanical engineering pathways requires early and sustained educational engagement that strengthens girls’ STEM identity and sense of belonging. Research demonstrates that outreach programmes combining hands-on learning, visible role models and curriculum integration significantly improve girls’ interest and intentions towards engineering, particularly when implemented before key subject-choice transitions (</w:t>
          </w:r>
          <w:proofErr w:type="gramStart"/>
          <w:r w:rsidRPr="005C5F88">
            <w:rPr>
              <w:sz w:val="24"/>
              <w:szCs w:val="24"/>
            </w:rPr>
            <w:t>Sáinz</w:t>
          </w:r>
          <w:r w:rsidR="0072710B">
            <w:rPr>
              <w:sz w:val="24"/>
              <w:szCs w:val="24"/>
            </w:rPr>
            <w:t>,Garcia</w:t>
          </w:r>
          <w:proofErr w:type="gramEnd"/>
          <w:r w:rsidR="0072710B">
            <w:rPr>
              <w:sz w:val="24"/>
              <w:szCs w:val="24"/>
            </w:rPr>
            <w:t>-Cueto and Meneses</w:t>
          </w:r>
          <w:r w:rsidRPr="005C5F88">
            <w:rPr>
              <w:sz w:val="24"/>
              <w:szCs w:val="24"/>
            </w:rPr>
            <w:t>, 2022; Prieto-Rodríguez</w:t>
          </w:r>
          <w:r w:rsidR="00AA11DE">
            <w:rPr>
              <w:sz w:val="24"/>
              <w:szCs w:val="24"/>
            </w:rPr>
            <w:t>, Gore and Holmes</w:t>
          </w:r>
          <w:r w:rsidRPr="005C5F88">
            <w:rPr>
              <w:sz w:val="24"/>
              <w:szCs w:val="24"/>
            </w:rPr>
            <w:t xml:space="preserve">, 2022). Nationally coordinated approaches, such as Finland’s STEM strategy and LUMA Centre network, show that long-term, teacher-supported interventions can be scaled effectively and contribute to comparatively strong female participation in STEM education (Mäkelä </w:t>
          </w:r>
          <w:r w:rsidRPr="005C5F88">
            <w:rPr>
              <w:i/>
              <w:iCs/>
              <w:sz w:val="24"/>
              <w:szCs w:val="24"/>
            </w:rPr>
            <w:t>et al</w:t>
          </w:r>
          <w:r w:rsidRPr="005C5F88">
            <w:rPr>
              <w:sz w:val="24"/>
              <w:szCs w:val="24"/>
            </w:rPr>
            <w:t xml:space="preserve">., 2022; European Commission, 2025). </w:t>
          </w:r>
        </w:p>
        <w:p w14:paraId="2A7881C5" w14:textId="77777777" w:rsidR="00ED6D4D" w:rsidRPr="005C5F88" w:rsidRDefault="00ED6D4D" w:rsidP="003320E0">
          <w:pPr>
            <w:jc w:val="both"/>
            <w:rPr>
              <w:sz w:val="24"/>
              <w:szCs w:val="24"/>
            </w:rPr>
          </w:pPr>
          <w:r w:rsidRPr="005C5F88">
            <w:rPr>
              <w:sz w:val="24"/>
              <w:szCs w:val="24"/>
            </w:rPr>
            <w:t>I</w:t>
          </w:r>
          <w:r w:rsidR="003320E0" w:rsidRPr="005C5F88">
            <w:rPr>
              <w:sz w:val="24"/>
              <w:szCs w:val="24"/>
            </w:rPr>
            <w:t>mproving retention</w:t>
          </w:r>
          <w:r w:rsidRPr="005C5F88">
            <w:rPr>
              <w:sz w:val="24"/>
              <w:szCs w:val="24"/>
            </w:rPr>
            <w:t xml:space="preserve">, </w:t>
          </w:r>
          <w:r w:rsidR="003320E0" w:rsidRPr="005C5F88">
            <w:rPr>
              <w:sz w:val="24"/>
              <w:szCs w:val="24"/>
            </w:rPr>
            <w:t>especially at mid-career stages</w:t>
          </w:r>
          <w:r w:rsidRPr="005C5F88">
            <w:rPr>
              <w:sz w:val="24"/>
              <w:szCs w:val="24"/>
            </w:rPr>
            <w:t xml:space="preserve">, </w:t>
          </w:r>
          <w:r w:rsidR="003320E0" w:rsidRPr="005C5F88">
            <w:rPr>
              <w:sz w:val="24"/>
              <w:szCs w:val="24"/>
            </w:rPr>
            <w:t xml:space="preserve">addresses a critical leakage point. Evidence indicates that women’s exits from engineering are strongly linked to inflexible work design, lack of recognition and exclusionary cultures rather than reduced commitment (McKie </w:t>
          </w:r>
          <w:r w:rsidR="003320E0" w:rsidRPr="005C5F88">
            <w:rPr>
              <w:sz w:val="24"/>
              <w:szCs w:val="24"/>
            </w:rPr>
            <w:lastRenderedPageBreak/>
            <w:t>and Jyrkinen, 2024). Structured returner programmes and retention “hotspot” interventions have been shown to facilitate re-entry and reduce attrition when organisational support and credible progression routes are provided (</w:t>
          </w:r>
          <w:r w:rsidRPr="005C5F88">
            <w:rPr>
              <w:sz w:val="24"/>
              <w:szCs w:val="24"/>
            </w:rPr>
            <w:t>Women in STEM, 2021</w:t>
          </w:r>
          <w:r w:rsidRPr="005C5F88">
            <w:rPr>
              <w:sz w:val="24"/>
              <w:szCs w:val="24"/>
            </w:rPr>
            <w:t xml:space="preserve">; </w:t>
          </w:r>
          <w:r w:rsidR="003320E0" w:rsidRPr="005C5F88">
            <w:rPr>
              <w:sz w:val="24"/>
              <w:szCs w:val="24"/>
            </w:rPr>
            <w:t xml:space="preserve">UK Government, 2024). </w:t>
          </w:r>
        </w:p>
        <w:p w14:paraId="04374F67" w14:textId="2A0035A0" w:rsidR="00DD7516" w:rsidRPr="005C5F88" w:rsidRDefault="00ED6D4D" w:rsidP="003320E0">
          <w:pPr>
            <w:jc w:val="both"/>
            <w:rPr>
              <w:sz w:val="24"/>
              <w:szCs w:val="24"/>
            </w:rPr>
          </w:pPr>
          <w:r w:rsidRPr="005C5F88">
            <w:rPr>
              <w:sz w:val="24"/>
              <w:szCs w:val="24"/>
            </w:rPr>
            <w:t>S</w:t>
          </w:r>
          <w:r w:rsidR="003320E0" w:rsidRPr="005C5F88">
            <w:rPr>
              <w:sz w:val="24"/>
              <w:szCs w:val="24"/>
            </w:rPr>
            <w:t>trengthening progression into leadership roles requires deliberate redesign of recruitment, promotion and development systems. Studies show that structured interviews, transparent promotion criteria and calibrated decision-making reduce gender bias compared with informal or network-driven processes (</w:t>
          </w:r>
          <w:r w:rsidRPr="005C5F88">
            <w:rPr>
              <w:sz w:val="24"/>
              <w:szCs w:val="24"/>
            </w:rPr>
            <w:t>Kith</w:t>
          </w:r>
          <w:r w:rsidR="003C4E05">
            <w:rPr>
              <w:sz w:val="24"/>
              <w:szCs w:val="24"/>
            </w:rPr>
            <w:t>, Eikmann and Melchers</w:t>
          </w:r>
          <w:r w:rsidRPr="005C5F88">
            <w:rPr>
              <w:sz w:val="24"/>
              <w:szCs w:val="24"/>
            </w:rPr>
            <w:t>, 2022</w:t>
          </w:r>
          <w:r w:rsidRPr="005C5F88">
            <w:rPr>
              <w:sz w:val="24"/>
              <w:szCs w:val="24"/>
            </w:rPr>
            <w:t xml:space="preserve">; </w:t>
          </w:r>
          <w:r w:rsidR="003320E0" w:rsidRPr="005C5F88">
            <w:rPr>
              <w:sz w:val="24"/>
              <w:szCs w:val="24"/>
            </w:rPr>
            <w:t>Hing</w:t>
          </w:r>
          <w:r w:rsidR="00405F3D">
            <w:rPr>
              <w:sz w:val="24"/>
              <w:szCs w:val="24"/>
            </w:rPr>
            <w:t>, Bobocel and Zanna</w:t>
          </w:r>
          <w:r w:rsidR="003320E0" w:rsidRPr="005C5F88">
            <w:rPr>
              <w:sz w:val="24"/>
              <w:szCs w:val="24"/>
            </w:rPr>
            <w:t>, 2023). In addition, sponsorship</w:t>
          </w:r>
          <w:r w:rsidR="00DD7516" w:rsidRPr="005C5F88">
            <w:rPr>
              <w:sz w:val="24"/>
              <w:szCs w:val="24"/>
            </w:rPr>
            <w:t xml:space="preserve"> (</w:t>
          </w:r>
          <w:r w:rsidR="003320E0" w:rsidRPr="005C5F88">
            <w:rPr>
              <w:sz w:val="24"/>
              <w:szCs w:val="24"/>
            </w:rPr>
            <w:t>distinct from mentoring</w:t>
          </w:r>
          <w:r w:rsidR="00DD7516" w:rsidRPr="005C5F88">
            <w:rPr>
              <w:sz w:val="24"/>
              <w:szCs w:val="24"/>
            </w:rPr>
            <w:t xml:space="preserve">), </w:t>
          </w:r>
          <w:r w:rsidR="003320E0" w:rsidRPr="005C5F88">
            <w:rPr>
              <w:sz w:val="24"/>
              <w:szCs w:val="24"/>
            </w:rPr>
            <w:t xml:space="preserve">has been empirically linked to improved access to high-visibility assignments and leadership advancement for women in male-dominated fields (Gröschl, 2024; Xu, 2024). </w:t>
          </w:r>
        </w:p>
        <w:p w14:paraId="0FC2775A" w14:textId="12EBADC6" w:rsidR="00C43E25" w:rsidRPr="005C5F88" w:rsidRDefault="003320E0" w:rsidP="003320E0">
          <w:pPr>
            <w:jc w:val="both"/>
            <w:rPr>
              <w:sz w:val="24"/>
              <w:szCs w:val="24"/>
            </w:rPr>
          </w:pPr>
          <w:r w:rsidRPr="005C5F88">
            <w:rPr>
              <w:sz w:val="24"/>
              <w:szCs w:val="24"/>
            </w:rPr>
            <w:t>Finally, enhancing organisational culture underpins all other objectives. Evidence from organisational research indicates that psychological safety, effective speak-up mechanisms and inclusive leadership practices are associated with improved employee voice, reduced misconduct risk and more equitable outcomes, particularly when leadership accountability is explicit (O’Donovan</w:t>
          </w:r>
          <w:r w:rsidR="00A17E07">
            <w:rPr>
              <w:sz w:val="24"/>
              <w:szCs w:val="24"/>
            </w:rPr>
            <w:t>, McAuliffe and DeBrun</w:t>
          </w:r>
          <w:r w:rsidRPr="005C5F88">
            <w:rPr>
              <w:i/>
              <w:iCs/>
              <w:sz w:val="24"/>
              <w:szCs w:val="24"/>
            </w:rPr>
            <w:t>,</w:t>
          </w:r>
          <w:r w:rsidRPr="005C5F88">
            <w:rPr>
              <w:sz w:val="24"/>
              <w:szCs w:val="24"/>
            </w:rPr>
            <w:t xml:space="preserve"> 2020; Dietl</w:t>
          </w:r>
          <w:r w:rsidR="00D17733">
            <w:rPr>
              <w:sz w:val="24"/>
              <w:szCs w:val="24"/>
            </w:rPr>
            <w:t>, Dierksen and Lang</w:t>
          </w:r>
          <w:r w:rsidRPr="005C5F88">
            <w:rPr>
              <w:sz w:val="24"/>
              <w:szCs w:val="24"/>
            </w:rPr>
            <w:t>, 2023). Together, this evidence base demonstrates that the SMART action plan objectives are not aspirational but grounded in interventions that have proven effective across multiple national and organisational contexts, making them both feasible and ethically robust for implementation in the UK and Romania.</w:t>
          </w:r>
        </w:p>
        <w:p w14:paraId="04D2B11D" w14:textId="77777777" w:rsidR="00C43E25" w:rsidRPr="005C5F88" w:rsidRDefault="00C43E25" w:rsidP="00556419">
          <w:pPr>
            <w:rPr>
              <w:sz w:val="24"/>
              <w:szCs w:val="24"/>
            </w:rPr>
          </w:pPr>
        </w:p>
        <w:p w14:paraId="5CDB9CDD" w14:textId="77777777" w:rsidR="00C43E25" w:rsidRDefault="00C43E25" w:rsidP="00556419"/>
        <w:p w14:paraId="3F6FCBCB" w14:textId="77777777" w:rsidR="00C43E25" w:rsidRDefault="00C43E25" w:rsidP="00556419"/>
        <w:p w14:paraId="7248FF73" w14:textId="701DB9DA" w:rsidR="00556419" w:rsidRDefault="00556419" w:rsidP="00556419">
          <w:r>
            <w:t xml:space="preserve"> </w:t>
          </w:r>
        </w:p>
        <w:p w14:paraId="7335114F" w14:textId="217E27B8" w:rsidR="00556419" w:rsidRDefault="001B50E1" w:rsidP="007F465E">
          <w:pPr>
            <w:pStyle w:val="Heading3"/>
          </w:pPr>
          <w:bookmarkStart w:id="7" w:name="_Toc219108394"/>
          <w:r>
            <w:t>2.2</w:t>
          </w:r>
          <w:r w:rsidR="007F465E">
            <w:t>.1</w:t>
          </w:r>
          <w:r>
            <w:t xml:space="preserve"> </w:t>
          </w:r>
          <w:r w:rsidR="007F465E">
            <w:t>Time Plan</w:t>
          </w:r>
          <w:bookmarkEnd w:id="7"/>
        </w:p>
        <w:p w14:paraId="09F48AC0" w14:textId="77777777" w:rsidR="006F7869" w:rsidRDefault="006F7869" w:rsidP="006F7869"/>
        <w:p w14:paraId="2DF04495" w14:textId="70D48712" w:rsidR="005A676C" w:rsidRPr="005C5F88" w:rsidRDefault="005A676C" w:rsidP="005A676C">
          <w:pPr>
            <w:jc w:val="both"/>
            <w:rPr>
              <w:sz w:val="24"/>
              <w:szCs w:val="24"/>
            </w:rPr>
          </w:pPr>
          <w:r w:rsidRPr="005C5F88">
            <w:rPr>
              <w:sz w:val="24"/>
              <w:szCs w:val="24"/>
            </w:rPr>
            <w:t>The implementation timeline for the proposed actions is structured to balance early impact with long-term sustainability, reflecting evidence on effective organisational and educational change. In the first 6 months, foundational activities focus on governance, baseline data collection, curriculum design, and the development of transparent recruitment and promotion frameworks. This phase establishes ethical and structural consistency across participating institutions</w:t>
          </w:r>
          <w:r w:rsidR="00AD0E85" w:rsidRPr="005C5F88">
            <w:rPr>
              <w:sz w:val="24"/>
              <w:szCs w:val="24"/>
            </w:rPr>
            <w:t xml:space="preserve"> (O’Donovan et al., 2020</w:t>
          </w:r>
          <w:proofErr w:type="gramStart"/>
          <w:r w:rsidR="00AD0E85" w:rsidRPr="005C5F88">
            <w:rPr>
              <w:sz w:val="24"/>
              <w:szCs w:val="24"/>
            </w:rPr>
            <w:t>).</w:t>
          </w:r>
          <w:r w:rsidRPr="005C5F88">
            <w:rPr>
              <w:sz w:val="24"/>
              <w:szCs w:val="24"/>
            </w:rPr>
            <w:t>.</w:t>
          </w:r>
          <w:proofErr w:type="gramEnd"/>
          <w:r w:rsidRPr="005C5F88">
            <w:rPr>
              <w:sz w:val="24"/>
              <w:szCs w:val="24"/>
            </w:rPr>
            <w:t xml:space="preserve"> </w:t>
          </w:r>
        </w:p>
        <w:p w14:paraId="5F2D5C84" w14:textId="5834BF86" w:rsidR="005A676C" w:rsidRPr="005C5F88" w:rsidRDefault="005A676C" w:rsidP="005A676C">
          <w:pPr>
            <w:jc w:val="both"/>
            <w:rPr>
              <w:sz w:val="24"/>
              <w:szCs w:val="24"/>
            </w:rPr>
          </w:pPr>
          <w:r w:rsidRPr="005C5F88">
            <w:rPr>
              <w:sz w:val="24"/>
              <w:szCs w:val="24"/>
            </w:rPr>
            <w:t>Between 6 and 18 months, pilot initiatives are rolled out, including inclusive mechanical engineering identity modules in schools, university-led outreach events, returner programmes, sponsorship schemes, and leadership micro-learning for managers. This stage prioritises experimentation, feedback and early cultural signalling</w:t>
          </w:r>
          <w:r w:rsidR="00792703" w:rsidRPr="005C5F88">
            <w:rPr>
              <w:sz w:val="24"/>
              <w:szCs w:val="24"/>
            </w:rPr>
            <w:t xml:space="preserve"> (CIPD, 2022)</w:t>
          </w:r>
          <w:r w:rsidRPr="005C5F88">
            <w:rPr>
              <w:sz w:val="24"/>
              <w:szCs w:val="24"/>
            </w:rPr>
            <w:t xml:space="preserve">. </w:t>
          </w:r>
        </w:p>
        <w:p w14:paraId="2A102F70" w14:textId="36D3A0AD" w:rsidR="005A676C" w:rsidRPr="005C5F88" w:rsidRDefault="005A676C" w:rsidP="005A676C">
          <w:pPr>
            <w:jc w:val="both"/>
            <w:rPr>
              <w:sz w:val="24"/>
              <w:szCs w:val="24"/>
            </w:rPr>
          </w:pPr>
          <w:r w:rsidRPr="005C5F88">
            <w:rPr>
              <w:sz w:val="24"/>
              <w:szCs w:val="24"/>
            </w:rPr>
            <w:t>From 18 to 36 months, successful pilots are scaled and embedded, with retention hotspot analysis, calibrated promotion panels and speak-up mechanisms becoming routine organisational practices</w:t>
          </w:r>
          <w:r w:rsidR="00DD2626" w:rsidRPr="005C5F88">
            <w:rPr>
              <w:sz w:val="24"/>
              <w:szCs w:val="24"/>
            </w:rPr>
            <w:t xml:space="preserve"> (</w:t>
          </w:r>
          <w:r w:rsidR="0074377E">
            <w:rPr>
              <w:sz w:val="24"/>
              <w:szCs w:val="24"/>
            </w:rPr>
            <w:t>Ahmed and Sadiq</w:t>
          </w:r>
          <w:r w:rsidR="002F16D1" w:rsidRPr="005C5F88">
            <w:rPr>
              <w:sz w:val="24"/>
              <w:szCs w:val="24"/>
            </w:rPr>
            <w:t>,</w:t>
          </w:r>
          <w:r w:rsidR="00DD2626" w:rsidRPr="005C5F88">
            <w:rPr>
              <w:sz w:val="24"/>
              <w:szCs w:val="24"/>
            </w:rPr>
            <w:t xml:space="preserve"> 202</w:t>
          </w:r>
          <w:r w:rsidR="0074377E">
            <w:rPr>
              <w:sz w:val="24"/>
              <w:szCs w:val="24"/>
            </w:rPr>
            <w:t>5</w:t>
          </w:r>
          <w:r w:rsidR="00DD2626" w:rsidRPr="005C5F88">
            <w:rPr>
              <w:sz w:val="24"/>
              <w:szCs w:val="24"/>
            </w:rPr>
            <w:t>).</w:t>
          </w:r>
          <w:r w:rsidRPr="005C5F88">
            <w:rPr>
              <w:sz w:val="24"/>
              <w:szCs w:val="24"/>
            </w:rPr>
            <w:t xml:space="preserve"> </w:t>
          </w:r>
        </w:p>
        <w:p w14:paraId="7520CDA8" w14:textId="4D941AD7" w:rsidR="006F7869" w:rsidRPr="005C5F88" w:rsidRDefault="005A676C" w:rsidP="005A676C">
          <w:pPr>
            <w:jc w:val="both"/>
            <w:rPr>
              <w:sz w:val="24"/>
              <w:szCs w:val="24"/>
            </w:rPr>
          </w:pPr>
          <w:r w:rsidRPr="005C5F88">
            <w:rPr>
              <w:sz w:val="24"/>
              <w:szCs w:val="24"/>
            </w:rPr>
            <w:lastRenderedPageBreak/>
            <w:t>Finally, the 36–</w:t>
          </w:r>
          <w:proofErr w:type="gramStart"/>
          <w:r w:rsidRPr="005C5F88">
            <w:rPr>
              <w:sz w:val="24"/>
              <w:szCs w:val="24"/>
            </w:rPr>
            <w:t>60 month</w:t>
          </w:r>
          <w:proofErr w:type="gramEnd"/>
          <w:r w:rsidRPr="005C5F88">
            <w:rPr>
              <w:sz w:val="24"/>
              <w:szCs w:val="24"/>
            </w:rPr>
            <w:t xml:space="preserve"> phase focuses on consolidation, policy alignment, benchmarking and longitudinal evaluation to ensure durability and transferability across the UK and Romanian contexts. This phased timeline supports behavioural change, reduces implementation risk and enables continuous learning</w:t>
          </w:r>
          <w:r w:rsidR="00E7582F" w:rsidRPr="005C5F88">
            <w:rPr>
              <w:sz w:val="24"/>
              <w:szCs w:val="24"/>
            </w:rPr>
            <w:t xml:space="preserve"> (European Commission, 2023)</w:t>
          </w:r>
          <w:r w:rsidR="00AD0E85" w:rsidRPr="005C5F88">
            <w:rPr>
              <w:sz w:val="24"/>
              <w:szCs w:val="24"/>
            </w:rPr>
            <w:t>.</w:t>
          </w:r>
          <w:r w:rsidR="003935C8">
            <w:rPr>
              <w:sz w:val="24"/>
              <w:szCs w:val="24"/>
            </w:rPr>
            <w:t xml:space="preserve"> The Gantt chart can be found in Appendix 3.</w:t>
          </w:r>
        </w:p>
        <w:p w14:paraId="56E3984A" w14:textId="77777777" w:rsidR="00F449E5" w:rsidRPr="005C5F88" w:rsidRDefault="00F449E5" w:rsidP="008D0D0B">
          <w:pPr>
            <w:pStyle w:val="Heading3"/>
          </w:pPr>
        </w:p>
        <w:p w14:paraId="0570ECF1" w14:textId="0C954E25" w:rsidR="00BE48EC" w:rsidRPr="005C5F88" w:rsidRDefault="001B50E1" w:rsidP="008D0D0B">
          <w:pPr>
            <w:pStyle w:val="Heading3"/>
          </w:pPr>
          <w:bookmarkStart w:id="8" w:name="_Toc219108395"/>
          <w:r w:rsidRPr="005C5F88">
            <w:t>2.</w:t>
          </w:r>
          <w:r w:rsidR="007F465E" w:rsidRPr="005C5F88">
            <w:t>2</w:t>
          </w:r>
          <w:r w:rsidR="008D0D0B" w:rsidRPr="005C5F88">
            <w:t>.2</w:t>
          </w:r>
          <w:r w:rsidRPr="005C5F88">
            <w:t xml:space="preserve"> </w:t>
          </w:r>
          <w:r w:rsidR="007F465E" w:rsidRPr="005C5F88">
            <w:t>Risk Management</w:t>
          </w:r>
          <w:r w:rsidR="008D0D0B" w:rsidRPr="005C5F88">
            <w:t xml:space="preserve"> and Strategies</w:t>
          </w:r>
          <w:bookmarkEnd w:id="8"/>
        </w:p>
        <w:p w14:paraId="22445CC8" w14:textId="0B17003F" w:rsidR="00BE48EC" w:rsidRPr="005C5F88" w:rsidRDefault="008D0D0B" w:rsidP="00BE48EC">
          <w:pPr>
            <w:pStyle w:val="Heading2"/>
            <w:rPr>
              <w:sz w:val="24"/>
              <w:szCs w:val="24"/>
            </w:rPr>
          </w:pPr>
          <w:r w:rsidRPr="005C5F88">
            <w:rPr>
              <w:sz w:val="24"/>
              <w:szCs w:val="24"/>
            </w:rPr>
            <w:t xml:space="preserve"> </w:t>
          </w:r>
        </w:p>
        <w:p w14:paraId="63D834FB" w14:textId="77777777" w:rsidR="000C7F56" w:rsidRPr="005C5F88" w:rsidRDefault="000C7F56" w:rsidP="000C7F56">
          <w:pPr>
            <w:jc w:val="both"/>
            <w:rPr>
              <w:sz w:val="24"/>
              <w:szCs w:val="24"/>
            </w:rPr>
          </w:pPr>
          <w:r w:rsidRPr="005C5F88">
            <w:rPr>
              <w:sz w:val="24"/>
              <w:szCs w:val="24"/>
            </w:rPr>
            <w:t xml:space="preserve">The action plan carries several implementation risks that require proactive mitigation. A key risk is organisational resistance, particularly from middle managers who may perceive inclusion initiatives as competing with operational priorities or meritocratic norms. Research shows that change efforts fail when accountability and incentives are misaligned; this risk can be mitigated by embedding inclusion goals into performance management and leadership evaluation (Beer, 2020). </w:t>
          </w:r>
        </w:p>
        <w:p w14:paraId="4A205C1E" w14:textId="77777777" w:rsidR="000C7F56" w:rsidRPr="005C5F88" w:rsidRDefault="000C7F56" w:rsidP="000C7F56">
          <w:pPr>
            <w:jc w:val="both"/>
            <w:rPr>
              <w:sz w:val="24"/>
              <w:szCs w:val="24"/>
            </w:rPr>
          </w:pPr>
          <w:r w:rsidRPr="005C5F88">
            <w:rPr>
              <w:sz w:val="24"/>
              <w:szCs w:val="24"/>
            </w:rPr>
            <w:t xml:space="preserve">A second risk is symbolic or performative adoption, where actions such as outreach or sponsorship exist without altering underlying power structures. Evidence suggests that diversity initiatives are more effective when framed as systemic change rather than compliance activities (Dobbin and Kalev, 2021). </w:t>
          </w:r>
        </w:p>
        <w:p w14:paraId="3F47936B" w14:textId="77777777" w:rsidR="000C7F56" w:rsidRPr="005C5F88" w:rsidRDefault="000C7F56" w:rsidP="000C7F56">
          <w:pPr>
            <w:jc w:val="both"/>
            <w:rPr>
              <w:sz w:val="24"/>
              <w:szCs w:val="24"/>
            </w:rPr>
          </w:pPr>
          <w:r w:rsidRPr="005C5F88">
            <w:rPr>
              <w:sz w:val="24"/>
              <w:szCs w:val="24"/>
            </w:rPr>
            <w:t xml:space="preserve">A further risk concerns psychological safety, as employees may be reluctant to use speak-up mechanisms due to fear of retaliation; this can be mitigated through visible senior role-modelling and consistent responses to reported concerns (Edmondson, 2023). </w:t>
          </w:r>
        </w:p>
        <w:p w14:paraId="728F3141" w14:textId="567AC795" w:rsidR="00556419" w:rsidRPr="005C5F88" w:rsidRDefault="000C7F56" w:rsidP="000C7F56">
          <w:pPr>
            <w:jc w:val="both"/>
            <w:rPr>
              <w:sz w:val="24"/>
              <w:szCs w:val="24"/>
            </w:rPr>
          </w:pPr>
          <w:r w:rsidRPr="005C5F88">
            <w:rPr>
              <w:sz w:val="24"/>
              <w:szCs w:val="24"/>
            </w:rPr>
            <w:t>Finally, policy fragmentation between education, industry and government may limit long-term impact; coordinated governance and monitoring frameworks are therefore essential (OECD, 2021).</w:t>
          </w:r>
        </w:p>
        <w:p w14:paraId="6D91333D" w14:textId="76678CA4" w:rsidR="001B50E1" w:rsidRPr="005C5F88" w:rsidRDefault="001B50E1" w:rsidP="00556419">
          <w:pPr>
            <w:rPr>
              <w:sz w:val="24"/>
              <w:szCs w:val="24"/>
            </w:rPr>
          </w:pPr>
        </w:p>
        <w:p w14:paraId="7D8B558D" w14:textId="655E0AAA" w:rsidR="001B50E1" w:rsidRPr="005C5F88" w:rsidRDefault="001B50E1" w:rsidP="00556419">
          <w:pPr>
            <w:rPr>
              <w:sz w:val="24"/>
              <w:szCs w:val="24"/>
            </w:rPr>
          </w:pPr>
        </w:p>
        <w:p w14:paraId="63CC131E" w14:textId="27064D4D" w:rsidR="001B50E1" w:rsidRPr="005C5F88" w:rsidRDefault="001B50E1" w:rsidP="00556419">
          <w:pPr>
            <w:rPr>
              <w:sz w:val="24"/>
              <w:szCs w:val="24"/>
            </w:rPr>
          </w:pPr>
        </w:p>
        <w:p w14:paraId="37D04FED" w14:textId="4D96FF7A" w:rsidR="001B50E1" w:rsidRPr="005C5F88" w:rsidRDefault="001B50E1" w:rsidP="00556419">
          <w:pPr>
            <w:rPr>
              <w:sz w:val="24"/>
              <w:szCs w:val="24"/>
            </w:rPr>
          </w:pPr>
        </w:p>
        <w:p w14:paraId="34D3D6FE" w14:textId="3DEBA8CA" w:rsidR="001B50E1" w:rsidRPr="005C5F88" w:rsidRDefault="001B50E1" w:rsidP="00556419">
          <w:pPr>
            <w:rPr>
              <w:sz w:val="24"/>
              <w:szCs w:val="24"/>
            </w:rPr>
          </w:pPr>
        </w:p>
        <w:p w14:paraId="14B7110C" w14:textId="4E15ADA9" w:rsidR="001B50E1" w:rsidRPr="005C5F88" w:rsidRDefault="001B50E1" w:rsidP="00556419">
          <w:pPr>
            <w:rPr>
              <w:sz w:val="24"/>
              <w:szCs w:val="24"/>
            </w:rPr>
          </w:pPr>
        </w:p>
        <w:p w14:paraId="30B3FDFE" w14:textId="0423CBB3" w:rsidR="001B50E1" w:rsidRPr="005C5F88" w:rsidRDefault="001B50E1" w:rsidP="00556419">
          <w:pPr>
            <w:rPr>
              <w:sz w:val="24"/>
              <w:szCs w:val="24"/>
            </w:rPr>
          </w:pPr>
        </w:p>
        <w:p w14:paraId="6C4A3E02" w14:textId="7739C477" w:rsidR="001B50E1" w:rsidRPr="005C5F88" w:rsidRDefault="001B50E1" w:rsidP="00556419">
          <w:pPr>
            <w:rPr>
              <w:sz w:val="24"/>
              <w:szCs w:val="24"/>
            </w:rPr>
          </w:pPr>
        </w:p>
        <w:p w14:paraId="7E32FF3D" w14:textId="0576CAAA" w:rsidR="001B50E1" w:rsidRPr="005C5F88" w:rsidRDefault="001B50E1" w:rsidP="00556419">
          <w:pPr>
            <w:rPr>
              <w:sz w:val="24"/>
              <w:szCs w:val="24"/>
            </w:rPr>
          </w:pPr>
        </w:p>
        <w:p w14:paraId="394986D8" w14:textId="54C6D0F4" w:rsidR="001B50E1" w:rsidRPr="005C5F88" w:rsidRDefault="001B50E1" w:rsidP="00556419">
          <w:pPr>
            <w:rPr>
              <w:sz w:val="24"/>
              <w:szCs w:val="24"/>
            </w:rPr>
          </w:pPr>
        </w:p>
        <w:p w14:paraId="6A4AFB3A" w14:textId="5994D110" w:rsidR="001B50E1" w:rsidRPr="005C5F88" w:rsidRDefault="001B50E1" w:rsidP="00556419">
          <w:pPr>
            <w:rPr>
              <w:sz w:val="24"/>
              <w:szCs w:val="24"/>
            </w:rPr>
          </w:pPr>
        </w:p>
        <w:p w14:paraId="3D25295B" w14:textId="77777777" w:rsidR="001B50E1" w:rsidRPr="005C5F88" w:rsidRDefault="001B50E1" w:rsidP="00556419">
          <w:pPr>
            <w:rPr>
              <w:sz w:val="24"/>
              <w:szCs w:val="24"/>
            </w:rPr>
          </w:pPr>
        </w:p>
        <w:p w14:paraId="1C27187C" w14:textId="4E8ED1B3" w:rsidR="001E4BF3" w:rsidRPr="005C5F88" w:rsidRDefault="001E4BF3">
          <w:pPr>
            <w:rPr>
              <w:rFonts w:asciiTheme="majorHAnsi" w:eastAsiaTheme="majorEastAsia" w:hAnsiTheme="majorHAnsi" w:cstheme="majorBidi"/>
              <w:color w:val="2E74B5" w:themeColor="accent1" w:themeShade="BF"/>
              <w:sz w:val="24"/>
              <w:szCs w:val="24"/>
            </w:rPr>
          </w:pPr>
        </w:p>
        <w:p w14:paraId="1E214B80" w14:textId="6ABF0988" w:rsidR="00556419" w:rsidRPr="00AE78F9" w:rsidRDefault="00AE78F9" w:rsidP="00AE78F9">
          <w:pPr>
            <w:pStyle w:val="Heading1"/>
          </w:pPr>
          <w:bookmarkStart w:id="9" w:name="_Toc219108396"/>
          <w:r>
            <w:t>3.</w:t>
          </w:r>
          <w:r w:rsidR="00556419" w:rsidRPr="00AE78F9">
            <w:t>Recommendations</w:t>
          </w:r>
          <w:bookmarkEnd w:id="9"/>
        </w:p>
        <w:p w14:paraId="5B29136F" w14:textId="77777777" w:rsidR="00C75851" w:rsidRPr="005C5F88" w:rsidRDefault="00C75851" w:rsidP="00C75851">
          <w:pPr>
            <w:jc w:val="both"/>
            <w:rPr>
              <w:sz w:val="24"/>
              <w:szCs w:val="24"/>
            </w:rPr>
          </w:pPr>
          <w:r w:rsidRPr="005C5F88">
            <w:rPr>
              <w:sz w:val="24"/>
              <w:szCs w:val="24"/>
            </w:rPr>
            <w:t xml:space="preserve">There is strong international evidence that early, sustained educational interventions combining role models, applied learning and teacher support can positively influence girls’ interest in engineering and related STEM careers. Large-scale evaluations demonstrate that hands-on engineering activities and exposure to real engineers significantly improve girls’ self-efficacy and intention to pursue engineering pathways, particularly when interventions occur before subject specialisation (EngineeringUK, 2023; Clavert, 2024). Finland provides a well-documented example of success through its nationally coordinated LUMA STEM strategy, which integrates teacher professional development, university outreach and long-term funding, resulting in consistently high female participation in STEM education (Mäkelä </w:t>
          </w:r>
          <w:r w:rsidRPr="000339D4">
            <w:rPr>
              <w:i/>
              <w:iCs/>
              <w:sz w:val="24"/>
              <w:szCs w:val="24"/>
            </w:rPr>
            <w:t>et al</w:t>
          </w:r>
          <w:r w:rsidRPr="005C5F88">
            <w:rPr>
              <w:sz w:val="24"/>
              <w:szCs w:val="24"/>
            </w:rPr>
            <w:t>., 2022).</w:t>
          </w:r>
        </w:p>
        <w:p w14:paraId="51DB67E2" w14:textId="77777777" w:rsidR="00C75851" w:rsidRPr="005C5F88" w:rsidRDefault="00C75851" w:rsidP="00C75851">
          <w:pPr>
            <w:jc w:val="both"/>
            <w:rPr>
              <w:sz w:val="24"/>
              <w:szCs w:val="24"/>
            </w:rPr>
          </w:pPr>
        </w:p>
        <w:p w14:paraId="692D2BC8" w14:textId="77777777" w:rsidR="00C75851" w:rsidRPr="005C5F88" w:rsidRDefault="00C75851" w:rsidP="00C75851">
          <w:pPr>
            <w:jc w:val="both"/>
            <w:rPr>
              <w:sz w:val="24"/>
              <w:szCs w:val="24"/>
            </w:rPr>
          </w:pPr>
          <w:r w:rsidRPr="005C5F88">
            <w:rPr>
              <w:sz w:val="24"/>
              <w:szCs w:val="24"/>
            </w:rPr>
            <w:t xml:space="preserve">At organisational level, evidence shows that structured recruitment and promotion processes reduce gender bias in male-dominated professions. Studies demonstrate that structured interviews and transparent promotion criteria are significantly less prone to discrimination than informal or unstructured decision-making, supporting the inclusion of calibrated promotion panels and standardised criteria in the action plan (Kith </w:t>
          </w:r>
          <w:r w:rsidRPr="000339D4">
            <w:rPr>
              <w:i/>
              <w:iCs/>
              <w:sz w:val="24"/>
              <w:szCs w:val="24"/>
            </w:rPr>
            <w:t>et al</w:t>
          </w:r>
          <w:r w:rsidRPr="005C5F88">
            <w:rPr>
              <w:sz w:val="24"/>
              <w:szCs w:val="24"/>
            </w:rPr>
            <w:t>., 2022; Xu, 2024). These mechanisms directly address informal power dynamics that often limit women’s access to leadership roles.</w:t>
          </w:r>
        </w:p>
        <w:p w14:paraId="04F579F7" w14:textId="77777777" w:rsidR="00C75851" w:rsidRPr="005C5F88" w:rsidRDefault="00C75851" w:rsidP="00C75851">
          <w:pPr>
            <w:jc w:val="both"/>
            <w:rPr>
              <w:sz w:val="24"/>
              <w:szCs w:val="24"/>
            </w:rPr>
          </w:pPr>
        </w:p>
        <w:p w14:paraId="5854B832" w14:textId="77777777" w:rsidR="00C75851" w:rsidRPr="005C5F88" w:rsidRDefault="00C75851" w:rsidP="00C75851">
          <w:pPr>
            <w:jc w:val="both"/>
            <w:rPr>
              <w:sz w:val="24"/>
              <w:szCs w:val="24"/>
            </w:rPr>
          </w:pPr>
          <w:r w:rsidRPr="005C5F88">
            <w:rPr>
              <w:sz w:val="24"/>
              <w:szCs w:val="24"/>
            </w:rPr>
            <w:t>Retention-focused initiatives such as returner programmes have also shown positive outcomes. UK evaluations of STEM returnship schemes indicate high re-entry and retention rates for women returning after career breaks, alongside improved confidence and skill utilisation, making them an effective and scalable intervention (UK Government, 2024).</w:t>
          </w:r>
        </w:p>
        <w:p w14:paraId="452B2A3C" w14:textId="77777777" w:rsidR="00C75851" w:rsidRPr="005C5F88" w:rsidRDefault="00C75851" w:rsidP="00C75851">
          <w:pPr>
            <w:jc w:val="both"/>
            <w:rPr>
              <w:sz w:val="24"/>
              <w:szCs w:val="24"/>
            </w:rPr>
          </w:pPr>
        </w:p>
        <w:p w14:paraId="655C09B6" w14:textId="5E06C91D" w:rsidR="00556419" w:rsidRPr="005C5F88" w:rsidRDefault="00C75851" w:rsidP="00C75851">
          <w:pPr>
            <w:jc w:val="both"/>
            <w:rPr>
              <w:sz w:val="24"/>
              <w:szCs w:val="24"/>
            </w:rPr>
          </w:pPr>
          <w:r w:rsidRPr="005C5F88">
            <w:rPr>
              <w:sz w:val="24"/>
              <w:szCs w:val="24"/>
            </w:rPr>
            <w:t xml:space="preserve">Progression into leadership is further supported by evidence distinguishing sponsorship from mentoring. Recent research shows that sponsorship—where senior leaders actively advocate for women’s advancement and allocation to high-visibility projects—has a measurable impact on promotion outcomes and leadership representation (Gröschl, 2024). Finally, interventions that strengthen psychological safety and speak-up cultures are associated with improved inclusion, reduced misconduct risk and stronger employee voice, particularly when leadership accountability is embedded (Jones </w:t>
          </w:r>
          <w:r w:rsidRPr="001F595F">
            <w:rPr>
              <w:i/>
              <w:iCs/>
              <w:sz w:val="24"/>
              <w:szCs w:val="24"/>
            </w:rPr>
            <w:t>et al</w:t>
          </w:r>
          <w:r w:rsidRPr="005C5F88">
            <w:rPr>
              <w:sz w:val="24"/>
              <w:szCs w:val="24"/>
            </w:rPr>
            <w:t>., 2021). Together, this evidence demonstrates that the proposed actions are grounded in proven practice and adaptable across national contexts such as the UK and Romania.</w:t>
          </w:r>
        </w:p>
        <w:p w14:paraId="2EB3C0BE" w14:textId="77777777" w:rsidR="00556419" w:rsidRPr="005C5F88" w:rsidRDefault="00556419" w:rsidP="00AA2A91">
          <w:pPr>
            <w:pStyle w:val="Heading1"/>
            <w:rPr>
              <w:sz w:val="24"/>
              <w:szCs w:val="24"/>
            </w:rPr>
          </w:pPr>
        </w:p>
        <w:p w14:paraId="3A02482F" w14:textId="77777777" w:rsidR="00556419" w:rsidRPr="005C5F88" w:rsidRDefault="00556419" w:rsidP="00AA2A91">
          <w:pPr>
            <w:pStyle w:val="Heading1"/>
            <w:rPr>
              <w:sz w:val="24"/>
              <w:szCs w:val="24"/>
            </w:rPr>
          </w:pPr>
        </w:p>
        <w:p w14:paraId="5714CB9C" w14:textId="77777777" w:rsidR="00556419" w:rsidRPr="005C5F88" w:rsidRDefault="00556419" w:rsidP="00AA2A91">
          <w:pPr>
            <w:pStyle w:val="Heading1"/>
            <w:rPr>
              <w:sz w:val="24"/>
              <w:szCs w:val="24"/>
            </w:rPr>
          </w:pPr>
        </w:p>
        <w:p w14:paraId="0A4AF7E6" w14:textId="77777777" w:rsidR="00556419" w:rsidRPr="005C5F88" w:rsidRDefault="00556419" w:rsidP="00AA2A91">
          <w:pPr>
            <w:pStyle w:val="Heading1"/>
            <w:rPr>
              <w:sz w:val="24"/>
              <w:szCs w:val="24"/>
            </w:rPr>
          </w:pPr>
        </w:p>
        <w:p w14:paraId="560697A8" w14:textId="79588DB0" w:rsidR="00C65E3B" w:rsidRPr="005C5F88" w:rsidRDefault="00C65E3B">
          <w:pPr>
            <w:rPr>
              <w:rFonts w:asciiTheme="majorHAnsi" w:eastAsiaTheme="majorEastAsia" w:hAnsiTheme="majorHAnsi" w:cstheme="majorBidi"/>
              <w:color w:val="2E74B5" w:themeColor="accent1" w:themeShade="BF"/>
              <w:sz w:val="24"/>
              <w:szCs w:val="24"/>
            </w:rPr>
          </w:pPr>
        </w:p>
        <w:p w14:paraId="5C67928C" w14:textId="1534976B" w:rsidR="00AA2A91" w:rsidRPr="005C5F88" w:rsidRDefault="005C5F88" w:rsidP="005C5F88">
          <w:pPr>
            <w:pStyle w:val="Heading1"/>
          </w:pPr>
          <w:bookmarkStart w:id="10" w:name="_Toc219108397"/>
          <w:r>
            <w:t>4.</w:t>
          </w:r>
          <w:r w:rsidR="00AA2A91" w:rsidRPr="005C5F88">
            <w:t>Conclusion</w:t>
          </w:r>
          <w:bookmarkEnd w:id="10"/>
        </w:p>
        <w:p w14:paraId="0C6DEB97" w14:textId="77777777" w:rsidR="00AA2A91" w:rsidRPr="005C5F88" w:rsidRDefault="00AA2A91" w:rsidP="00AA2A91">
          <w:pPr>
            <w:rPr>
              <w:sz w:val="24"/>
              <w:szCs w:val="24"/>
            </w:rPr>
          </w:pPr>
        </w:p>
        <w:p w14:paraId="3FB5BC64" w14:textId="05233487" w:rsidR="00F35AA4" w:rsidRPr="005C5F88" w:rsidRDefault="00A43D33" w:rsidP="00A43D33">
          <w:pPr>
            <w:jc w:val="both"/>
            <w:rPr>
              <w:sz w:val="24"/>
              <w:szCs w:val="24"/>
            </w:rPr>
          </w:pPr>
          <w:r w:rsidRPr="005C5F88">
            <w:rPr>
              <w:sz w:val="24"/>
              <w:szCs w:val="24"/>
            </w:rPr>
            <w:t>This implementation plan has demonstrated that gender imbalance in mechanical engineering is not the result of individual deficit but of interconnected educational, organisational and cultural systems that shape participation, retention and leadership progression (EngineeringUK, 2024). The comparative analysis of the UK and Romania highlights that while access to STEM education is necessary, it is insufficient without aligned organisational practices, ethical leadership and sustained cultural change. The recommendations emphasise the importance of inclusive education pathways, transparent progression systems, sponsorship-based leadership development and psychologically safe organisational environments that enable women to remain and progress within the sector. Framed through the Four V’s model of ethical leadership, the plan underscores the need to align values and vision with consistent action and employee voice, ensuring that ethical intentions are translated into everyday leadership practice (</w:t>
          </w:r>
          <w:r w:rsidR="001F595F">
            <w:rPr>
              <w:sz w:val="24"/>
              <w:szCs w:val="24"/>
            </w:rPr>
            <w:t>Batz-Barbarich, Strah and Tay, 2024</w:t>
          </w:r>
          <w:r w:rsidRPr="005C5F88">
            <w:rPr>
              <w:sz w:val="24"/>
              <w:szCs w:val="24"/>
            </w:rPr>
            <w:t xml:space="preserve">). </w:t>
          </w:r>
        </w:p>
        <w:p w14:paraId="6FF3B474" w14:textId="459A61B3" w:rsidR="00AA2A91" w:rsidRPr="005C5F88" w:rsidRDefault="00A43D33" w:rsidP="00A43D33">
          <w:pPr>
            <w:jc w:val="both"/>
            <w:rPr>
              <w:sz w:val="24"/>
              <w:szCs w:val="24"/>
            </w:rPr>
          </w:pPr>
          <w:r w:rsidRPr="005C5F88">
            <w:rPr>
              <w:sz w:val="24"/>
              <w:szCs w:val="24"/>
            </w:rPr>
            <w:t>The SMART objectives, phased timeline and action plan provide a realistic and evidence-based route for implementation, balancing early intervention with long-term sustainability. Overall, the analysis reinforces that meaningful progress depends on leadership accountability, systemic redesign and the rejection of persistent assumptions about women’s aspirations in engineering. By embedding ethical leadership principles into policy and organisational practice, institutions and employers in both the UK and Romania can create more inclusive, resilient and effective mechanical engineering sectors (</w:t>
          </w:r>
          <w:r w:rsidR="00000BB5">
            <w:rPr>
              <w:sz w:val="24"/>
              <w:szCs w:val="24"/>
            </w:rPr>
            <w:t>Dogaru</w:t>
          </w:r>
          <w:r w:rsidRPr="005C5F88">
            <w:rPr>
              <w:sz w:val="24"/>
              <w:szCs w:val="24"/>
            </w:rPr>
            <w:t>, 202</w:t>
          </w:r>
          <w:r w:rsidR="00000BB5">
            <w:rPr>
              <w:sz w:val="24"/>
              <w:szCs w:val="24"/>
            </w:rPr>
            <w:t>5</w:t>
          </w:r>
          <w:r w:rsidRPr="005C5F88">
            <w:rPr>
              <w:sz w:val="24"/>
              <w:szCs w:val="24"/>
            </w:rPr>
            <w:t>).</w:t>
          </w:r>
        </w:p>
        <w:p w14:paraId="735EB39C" w14:textId="77777777" w:rsidR="00AA2A91" w:rsidRPr="005C5F88" w:rsidRDefault="00AA2A91" w:rsidP="00AA2A91">
          <w:pPr>
            <w:rPr>
              <w:sz w:val="24"/>
              <w:szCs w:val="24"/>
            </w:rPr>
          </w:pPr>
        </w:p>
        <w:p w14:paraId="131D500D" w14:textId="77777777" w:rsidR="00AA2A91" w:rsidRPr="005C5F88" w:rsidRDefault="00AA2A91" w:rsidP="00AA2A91">
          <w:pPr>
            <w:rPr>
              <w:sz w:val="24"/>
              <w:szCs w:val="24"/>
            </w:rPr>
          </w:pPr>
        </w:p>
        <w:p w14:paraId="6694B73F" w14:textId="77777777" w:rsidR="00AA2A91" w:rsidRPr="005C5F88" w:rsidRDefault="00AA2A91" w:rsidP="00AA2A91">
          <w:pPr>
            <w:rPr>
              <w:sz w:val="24"/>
              <w:szCs w:val="24"/>
            </w:rPr>
          </w:pPr>
        </w:p>
        <w:p w14:paraId="7246D263" w14:textId="77777777" w:rsidR="00AA2A91" w:rsidRPr="005C5F88" w:rsidRDefault="00AA2A91" w:rsidP="00AA2A91">
          <w:pPr>
            <w:rPr>
              <w:sz w:val="24"/>
              <w:szCs w:val="24"/>
            </w:rPr>
          </w:pPr>
        </w:p>
        <w:p w14:paraId="22020C63" w14:textId="77777777" w:rsidR="00AA2A91" w:rsidRPr="005C5F88" w:rsidRDefault="00AA2A91" w:rsidP="00AA2A91">
          <w:pPr>
            <w:rPr>
              <w:sz w:val="24"/>
              <w:szCs w:val="24"/>
            </w:rPr>
          </w:pPr>
        </w:p>
        <w:p w14:paraId="43A20583" w14:textId="77777777" w:rsidR="00AA2A91" w:rsidRPr="005C5F88" w:rsidRDefault="00AA2A91" w:rsidP="00AA2A91">
          <w:pPr>
            <w:rPr>
              <w:sz w:val="24"/>
              <w:szCs w:val="24"/>
            </w:rPr>
          </w:pPr>
        </w:p>
        <w:p w14:paraId="39BA3A5F" w14:textId="77777777" w:rsidR="00AA2A91" w:rsidRPr="005C5F88" w:rsidRDefault="00AA2A91" w:rsidP="00AA2A91">
          <w:pPr>
            <w:rPr>
              <w:sz w:val="24"/>
              <w:szCs w:val="24"/>
            </w:rPr>
          </w:pPr>
        </w:p>
        <w:p w14:paraId="120D3BCF" w14:textId="77777777" w:rsidR="00AA2A91" w:rsidRPr="005C5F88" w:rsidRDefault="00AA2A91" w:rsidP="00AA2A91">
          <w:pPr>
            <w:rPr>
              <w:sz w:val="24"/>
              <w:szCs w:val="24"/>
            </w:rPr>
          </w:pPr>
        </w:p>
        <w:p w14:paraId="0ABC39D3" w14:textId="77777777" w:rsidR="00AA2A91" w:rsidRDefault="00AA2A91" w:rsidP="00AA2A91"/>
        <w:p w14:paraId="7202FDFC" w14:textId="77777777" w:rsidR="00AA2A91" w:rsidRDefault="00AA2A91" w:rsidP="00AA2A91">
          <w:pPr>
            <w:pStyle w:val="Heading1"/>
          </w:pPr>
          <w:bookmarkStart w:id="11" w:name="_Toc219108398"/>
          <w:r>
            <w:t>Bibliography</w:t>
          </w:r>
          <w:bookmarkEnd w:id="11"/>
        </w:p>
        <w:p w14:paraId="05DEB320" w14:textId="77777777" w:rsidR="00E426AB" w:rsidRDefault="00E426AB" w:rsidP="00E426AB"/>
        <w:p w14:paraId="6764B602" w14:textId="18BFD141" w:rsidR="00FB3594" w:rsidRPr="00E426AB" w:rsidRDefault="00FB3594" w:rsidP="008647F2">
          <w:pPr>
            <w:jc w:val="both"/>
          </w:pPr>
          <w:r w:rsidRPr="00FB3594">
            <w:t xml:space="preserve">Ahmed, S.Y. and Sadiq, M. (2025) ‘Effects of gender diversity, inclusive leadership, and psychological safety on contextual performance: exploring moderating role of cultural and social norms’, </w:t>
          </w:r>
          <w:r w:rsidRPr="00FB3594">
            <w:rPr>
              <w:i/>
              <w:iCs/>
            </w:rPr>
            <w:t>Population Review</w:t>
          </w:r>
          <w:r w:rsidRPr="00FB3594">
            <w:t>, 64(1), pp. 1–21.</w:t>
          </w:r>
        </w:p>
        <w:p w14:paraId="77D69E6F" w14:textId="2A9C3702" w:rsidR="004A11F6" w:rsidRDefault="00E426AB" w:rsidP="008647F2">
          <w:pPr>
            <w:jc w:val="both"/>
          </w:pPr>
          <w:r w:rsidRPr="00E426AB">
            <w:t xml:space="preserve">Armstrong, M. (2016) </w:t>
          </w:r>
          <w:r w:rsidRPr="00E426AB">
            <w:rPr>
              <w:i/>
              <w:iCs/>
            </w:rPr>
            <w:t>Armstrong’s Handbook of Management and Leadership for HR: Developing Effective People Skills for Better Leadership and Management</w:t>
          </w:r>
          <w:r w:rsidRPr="00E426AB">
            <w:t>. Kogan Page.</w:t>
          </w:r>
        </w:p>
        <w:p w14:paraId="44EA6C1F" w14:textId="289CA32C" w:rsidR="007F7D6E" w:rsidRDefault="007F7D6E" w:rsidP="008647F2">
          <w:pPr>
            <w:jc w:val="both"/>
          </w:pPr>
          <w:r>
            <w:t xml:space="preserve">Barber, J. and McCann, G. (2021) ‘Refining our Leadership Roles in Changing Times’, </w:t>
          </w:r>
          <w:r w:rsidRPr="007F7D6E">
            <w:rPr>
              <w:i/>
              <w:iCs/>
            </w:rPr>
            <w:t>Trusts and Estates</w:t>
          </w:r>
          <w:r>
            <w:t>, pp.48.</w:t>
          </w:r>
        </w:p>
        <w:p w14:paraId="1EF9E0B7" w14:textId="0D1BCB79" w:rsidR="00326936" w:rsidRDefault="00326936" w:rsidP="008647F2">
          <w:pPr>
            <w:jc w:val="both"/>
          </w:pPr>
          <w:r w:rsidRPr="00326936">
            <w:t xml:space="preserve">Batz-Barbarich, C., Strah, N. and Tay, L. (2024) ‘The impact of changing engineering perceptions on women’s attitudes and behavioral intentions towards engineering pursuits’, </w:t>
          </w:r>
          <w:r w:rsidRPr="00326936">
            <w:rPr>
              <w:i/>
              <w:iCs/>
            </w:rPr>
            <w:t>International Journal of STEM Education</w:t>
          </w:r>
          <w:r w:rsidRPr="00326936">
            <w:t>, 11</w:t>
          </w:r>
          <w:r>
            <w:t>(</w:t>
          </w:r>
          <w:r w:rsidRPr="00326936">
            <w:t>23</w:t>
          </w:r>
          <w:r>
            <w:t>)</w:t>
          </w:r>
          <w:r w:rsidRPr="00326936">
            <w:t>.</w:t>
          </w:r>
        </w:p>
        <w:p w14:paraId="6F2DBF83" w14:textId="2598156C" w:rsidR="001644D9" w:rsidRDefault="001644D9" w:rsidP="008647F2">
          <w:pPr>
            <w:jc w:val="both"/>
          </w:pPr>
          <w:r w:rsidRPr="001644D9">
            <w:t xml:space="preserve">Beer, M. (2020) ‘Why leadership training fails—and what to do about it’, </w:t>
          </w:r>
          <w:r w:rsidRPr="001644D9">
            <w:rPr>
              <w:i/>
              <w:iCs/>
            </w:rPr>
            <w:t>Harvard Business Review</w:t>
          </w:r>
          <w:r w:rsidRPr="001644D9">
            <w:t>, 98(1), pp. 50–57.</w:t>
          </w:r>
        </w:p>
        <w:p w14:paraId="73EA017D" w14:textId="17FE3384" w:rsidR="00636902" w:rsidRDefault="00636902" w:rsidP="008647F2">
          <w:pPr>
            <w:jc w:val="both"/>
          </w:pPr>
          <w:r>
            <w:t>Chartered Institute of Personnel and Development (CIPD) (2022</w:t>
          </w:r>
          <w:r w:rsidRPr="00636902">
            <w:rPr>
              <w:i/>
              <w:iCs/>
            </w:rPr>
            <w:t>) Inclusion at work: Perspectives on progressing diversity, equity and inclusion</w:t>
          </w:r>
          <w:r>
            <w:t>. Available at: https://www.cipd.org/uk/knowledge/reports/inclusion-at-work/</w:t>
          </w:r>
          <w:r>
            <w:t xml:space="preserve"> </w:t>
          </w:r>
          <w:r>
            <w:t>(</w:t>
          </w:r>
          <w:r>
            <w:t>A</w:t>
          </w:r>
          <w:r>
            <w:t>ccessed 3 January 2026).</w:t>
          </w:r>
        </w:p>
        <w:p w14:paraId="72C3A372" w14:textId="3E5CC719" w:rsidR="003A1241" w:rsidRDefault="003A1241" w:rsidP="008647F2">
          <w:pPr>
            <w:jc w:val="both"/>
          </w:pPr>
          <w:r>
            <w:t xml:space="preserve">Chartered Institute of Personnel and Development (CIPD) (2024) </w:t>
          </w:r>
          <w:r w:rsidRPr="003A1241">
            <w:rPr>
              <w:i/>
              <w:iCs/>
            </w:rPr>
            <w:t xml:space="preserve">Trust and psychological safety: </w:t>
          </w:r>
          <w:proofErr w:type="gramStart"/>
          <w:r w:rsidRPr="003A1241">
            <w:rPr>
              <w:i/>
              <w:iCs/>
            </w:rPr>
            <w:t>An evidence</w:t>
          </w:r>
          <w:proofErr w:type="gramEnd"/>
          <w:r w:rsidRPr="003A1241">
            <w:rPr>
              <w:i/>
              <w:iCs/>
            </w:rPr>
            <w:t xml:space="preserve"> review (Scientific summary)</w:t>
          </w:r>
          <w:r>
            <w:t>.  Available at: https://www.cipd.org/globalassets/media/knowledge/knowledge-hub/evidence-reviews/2024-pdfs/8550-psychological-safety-scientific-summary.pdf(</w:t>
          </w:r>
          <w:r>
            <w:t>A</w:t>
          </w:r>
          <w:r>
            <w:t xml:space="preserve">ccessed </w:t>
          </w:r>
          <w:r>
            <w:t>2</w:t>
          </w:r>
          <w:r>
            <w:t xml:space="preserve"> January 2026).</w:t>
          </w:r>
        </w:p>
        <w:p w14:paraId="6A6E8CEE" w14:textId="680F1E5A" w:rsidR="001C0FA5" w:rsidRDefault="001C0FA5" w:rsidP="008647F2">
          <w:pPr>
            <w:jc w:val="both"/>
          </w:pPr>
          <w:r>
            <w:t xml:space="preserve">Chiriac, A. (2021) </w:t>
          </w:r>
          <w:r w:rsidRPr="001C0FA5">
            <w:rPr>
              <w:i/>
              <w:iCs/>
            </w:rPr>
            <w:t>Women in Leadership: Challenges and Opportunities in the Romanian Business Environment.</w:t>
          </w:r>
          <w:r>
            <w:t xml:space="preserve"> Editura ASE</w:t>
          </w:r>
          <w:r w:rsidR="00535815">
            <w:t>.</w:t>
          </w:r>
        </w:p>
        <w:p w14:paraId="4FCDC3AA" w14:textId="200B66FE" w:rsidR="00CB4AC0" w:rsidRDefault="00CB4AC0" w:rsidP="008647F2">
          <w:pPr>
            <w:jc w:val="both"/>
          </w:pPr>
          <w:r>
            <w:t xml:space="preserve">Clavert, M. (2024) ‘Increasing interest towards engineering in the context of university-led STEM outreach activities’, </w:t>
          </w:r>
          <w:r w:rsidRPr="00CB4AC0">
            <w:rPr>
              <w:i/>
              <w:iCs/>
            </w:rPr>
            <w:t>European Journal of Engineering Education</w:t>
          </w:r>
          <w:r>
            <w:t>, 49(2), pp. 215–231. Available at: https://www.tandfonline.com/doi/full/10.1080/03043797.2024.2440080(</w:t>
          </w:r>
          <w:r>
            <w:t>A</w:t>
          </w:r>
          <w:r>
            <w:t xml:space="preserve">ccessed </w:t>
          </w:r>
          <w:r>
            <w:t>4</w:t>
          </w:r>
          <w:r>
            <w:t xml:space="preserve"> January 2026).</w:t>
          </w:r>
        </w:p>
        <w:p w14:paraId="36958841" w14:textId="7556FBD9" w:rsidR="00AE2323" w:rsidRPr="00480651" w:rsidRDefault="00AE2323" w:rsidP="008647F2">
          <w:pPr>
            <w:jc w:val="both"/>
            <w:rPr>
              <w:lang w:val="ro-RO"/>
            </w:rPr>
          </w:pPr>
          <w:r>
            <w:t xml:space="preserve">Dârloșan, R. (2022) </w:t>
          </w:r>
          <w:r w:rsidRPr="004362EC">
            <w:rPr>
              <w:i/>
              <w:iCs/>
            </w:rPr>
            <w:t>Leadership and Gender Equality in Romanian Organisations: A Contemporary Approach</w:t>
          </w:r>
          <w:r>
            <w:t>. Presa Universitara Clujeana.</w:t>
          </w:r>
        </w:p>
        <w:p w14:paraId="47D5790B" w14:textId="72C0E53B" w:rsidR="00B32C92" w:rsidRDefault="00B32C92" w:rsidP="008647F2">
          <w:pPr>
            <w:jc w:val="both"/>
          </w:pPr>
          <w:r w:rsidRPr="00B32C92">
            <w:t xml:space="preserve">Dietl, J.E., Derksen, F. and Lang, A. (2023) ‘How psychological safety fosters communication and increases safety’, </w:t>
          </w:r>
          <w:r w:rsidRPr="00B32C92">
            <w:rPr>
              <w:i/>
              <w:iCs/>
            </w:rPr>
            <w:t>Human Factors</w:t>
          </w:r>
          <w:r w:rsidRPr="00B32C92">
            <w:t>, 65(6), pp. 1012–1026.</w:t>
          </w:r>
        </w:p>
        <w:p w14:paraId="2708C857" w14:textId="2B4E5F6B" w:rsidR="006C1863" w:rsidRDefault="006C1863" w:rsidP="008647F2">
          <w:pPr>
            <w:jc w:val="both"/>
          </w:pPr>
          <w:r w:rsidRPr="006C1863">
            <w:t xml:space="preserve">Dobbin, F. and Kalev, A. (2021) ‘The promise and peril of sexual harassment programs’, </w:t>
          </w:r>
          <w:r w:rsidRPr="006C1863">
            <w:rPr>
              <w:i/>
              <w:iCs/>
            </w:rPr>
            <w:t>Proceedings of the National Academy of Sciences,</w:t>
          </w:r>
          <w:r w:rsidRPr="006C1863">
            <w:t xml:space="preserve"> 118(41), e2109439118. </w:t>
          </w:r>
          <w:hyperlink r:id="rId12" w:history="1">
            <w:r w:rsidR="00983CC8" w:rsidRPr="00A70F36">
              <w:rPr>
                <w:rStyle w:val="Hyperlink"/>
              </w:rPr>
              <w:t>https://doi.org/10.1073/pnas.2109439118</w:t>
            </w:r>
          </w:hyperlink>
          <w:r w:rsidR="00983CC8">
            <w:t>.</w:t>
          </w:r>
        </w:p>
        <w:p w14:paraId="6E8FAA67" w14:textId="61AA6631" w:rsidR="00B70B1D" w:rsidRDefault="00B70B1D" w:rsidP="008647F2">
          <w:pPr>
            <w:jc w:val="both"/>
          </w:pPr>
          <w:r w:rsidRPr="00B70B1D">
            <w:t>Dogaru, M.  (2025) ‘STEM career: essential factors for student</w:t>
          </w:r>
          <w:r>
            <w:t>s</w:t>
          </w:r>
          <w:r w:rsidRPr="00B70B1D">
            <w:t xml:space="preserve">’ </w:t>
          </w:r>
          <w:r w:rsidRPr="00B70B1D">
            <w:rPr>
              <w:i/>
              <w:iCs/>
            </w:rPr>
            <w:t>Frontiers in Education</w:t>
          </w:r>
          <w:r>
            <w:rPr>
              <w:i/>
              <w:iCs/>
            </w:rPr>
            <w:t xml:space="preserve">, </w:t>
          </w:r>
          <w:r>
            <w:t>43(1).</w:t>
          </w:r>
        </w:p>
        <w:p w14:paraId="7E033339" w14:textId="2F72886E" w:rsidR="00E71644" w:rsidRPr="00B70B1D" w:rsidRDefault="00E71644" w:rsidP="008647F2">
          <w:pPr>
            <w:jc w:val="both"/>
          </w:pPr>
          <w:r w:rsidRPr="00E71644">
            <w:t xml:space="preserve">Dos Santos, L.M. (2022) ‘Female engineering students’ motivations, career decisions and decision-making processes: A Social Cognitive Career and Motivation Theory’, </w:t>
          </w:r>
          <w:r w:rsidRPr="00E71644">
            <w:rPr>
              <w:i/>
              <w:iCs/>
            </w:rPr>
            <w:t>International Journal of Instruction,</w:t>
          </w:r>
          <w:r w:rsidRPr="00E71644">
            <w:t xml:space="preserve"> 15(4), pp. 437–454</w:t>
          </w:r>
          <w:r>
            <w:t>.</w:t>
          </w:r>
        </w:p>
        <w:p w14:paraId="54D15C80" w14:textId="78F75074" w:rsidR="00983CC8" w:rsidRDefault="00983CC8" w:rsidP="008647F2">
          <w:pPr>
            <w:jc w:val="both"/>
          </w:pPr>
          <w:r w:rsidRPr="00983CC8">
            <w:lastRenderedPageBreak/>
            <w:t xml:space="preserve">Edmondson, A.C. (2023) </w:t>
          </w:r>
          <w:r w:rsidRPr="00983CC8">
            <w:rPr>
              <w:i/>
              <w:iCs/>
            </w:rPr>
            <w:t>Right Kind of Wrong: Why Learning to Fail Can Teach Us to Thrive</w:t>
          </w:r>
          <w:r w:rsidRPr="00983CC8">
            <w:t>. Picador.</w:t>
          </w:r>
        </w:p>
        <w:p w14:paraId="3067E4DC" w14:textId="594157AF" w:rsidR="00003771" w:rsidRDefault="00003771" w:rsidP="008647F2">
          <w:pPr>
            <w:jc w:val="both"/>
          </w:pPr>
          <w:r>
            <w:t xml:space="preserve">EngineeringUK (2023) </w:t>
          </w:r>
          <w:r w:rsidRPr="00003771">
            <w:rPr>
              <w:i/>
              <w:iCs/>
            </w:rPr>
            <w:t>Rapid evidence review: Girls’ STEM aspirations</w:t>
          </w:r>
          <w:r>
            <w:t>. Available at: https://www.engineeringuk.com/media/aeukdtqr/rapid-evidence-review-girls-stem-aspirations-engineeringuk-june-2023.pdf</w:t>
          </w:r>
          <w:r>
            <w:t xml:space="preserve"> </w:t>
          </w:r>
          <w:r>
            <w:t>(</w:t>
          </w:r>
          <w:r>
            <w:t>A</w:t>
          </w:r>
          <w:r>
            <w:t xml:space="preserve">ccessed </w:t>
          </w:r>
          <w:r>
            <w:t>4</w:t>
          </w:r>
          <w:r>
            <w:t xml:space="preserve"> January 2026).</w:t>
          </w:r>
        </w:p>
        <w:p w14:paraId="0AA46147" w14:textId="0F4B4359" w:rsidR="00F5166A" w:rsidRDefault="00F5166A" w:rsidP="008647F2">
          <w:pPr>
            <w:jc w:val="both"/>
          </w:pPr>
          <w:r>
            <w:t xml:space="preserve">EngineeringUK (2024) </w:t>
          </w:r>
          <w:r w:rsidRPr="00F5166A">
            <w:rPr>
              <w:i/>
              <w:iCs/>
            </w:rPr>
            <w:t>Women in engineering and diversity challenges</w:t>
          </w:r>
          <w:r>
            <w:t>. Available at: https://www.engineeringuk.com/research-and-insights/industry-and-workforce/women-in-engineering-and-diversity-challenges/ (</w:t>
          </w:r>
          <w:r>
            <w:t>A</w:t>
          </w:r>
          <w:r>
            <w:t xml:space="preserve">ccessed </w:t>
          </w:r>
          <w:r>
            <w:t>4</w:t>
          </w:r>
          <w:r>
            <w:t xml:space="preserve"> January 2026).</w:t>
          </w:r>
        </w:p>
        <w:p w14:paraId="5ADBDAA6" w14:textId="5954F836" w:rsidR="00B47391" w:rsidRDefault="00B47391" w:rsidP="008647F2">
          <w:pPr>
            <w:jc w:val="both"/>
          </w:pPr>
          <w:r>
            <w:t xml:space="preserve">EngineeringUK (2025) </w:t>
          </w:r>
          <w:r w:rsidRPr="00B47391">
            <w:rPr>
              <w:i/>
              <w:iCs/>
            </w:rPr>
            <w:t>Engineering and technology workforce – May 2025 update</w:t>
          </w:r>
          <w:r>
            <w:t>. Available at: https://www.engineeringuk.com/research-and-insights/our-research-and-evaluation-reports/engineering-and-technology-workforce-may-2025-update/</w:t>
          </w:r>
          <w:r>
            <w:t xml:space="preserve"> </w:t>
          </w:r>
          <w:r>
            <w:t>(</w:t>
          </w:r>
          <w:r>
            <w:t>A</w:t>
          </w:r>
          <w:r>
            <w:t xml:space="preserve">ccessed </w:t>
          </w:r>
          <w:r>
            <w:t>4</w:t>
          </w:r>
          <w:r>
            <w:t xml:space="preserve"> January 2026).</w:t>
          </w:r>
        </w:p>
        <w:p w14:paraId="150DC7F8" w14:textId="1E426C86" w:rsidR="00C25AAA" w:rsidRDefault="00C25AAA" w:rsidP="008647F2">
          <w:pPr>
            <w:jc w:val="both"/>
          </w:pPr>
          <w:r>
            <w:t>European Commission (2023</w:t>
          </w:r>
          <w:r w:rsidRPr="00C25AAA">
            <w:rPr>
              <w:i/>
              <w:iCs/>
            </w:rPr>
            <w:t>) She figures 2023: Gender in research and innovation</w:t>
          </w:r>
          <w:r>
            <w:t>. Publications Office of the European Union. Available at: https://research-and-innovation.ec.europa.eu/statistics/she-figures_en(</w:t>
          </w:r>
          <w:r>
            <w:t>A</w:t>
          </w:r>
          <w:r>
            <w:t xml:space="preserve">ccessed </w:t>
          </w:r>
          <w:r>
            <w:t>4</w:t>
          </w:r>
          <w:r>
            <w:t xml:space="preserve"> January 2026).</w:t>
          </w:r>
        </w:p>
        <w:p w14:paraId="62BF8CC1" w14:textId="2A166D2F" w:rsidR="00A66E3A" w:rsidRDefault="00A66E3A" w:rsidP="008647F2">
          <w:pPr>
            <w:jc w:val="both"/>
          </w:pPr>
          <w:r w:rsidRPr="00A66E3A">
            <w:t xml:space="preserve">European Commission (2025) </w:t>
          </w:r>
          <w:r w:rsidRPr="00A66E3A">
            <w:rPr>
              <w:i/>
              <w:iCs/>
            </w:rPr>
            <w:t>Education and Training Monitor 2025: Finland</w:t>
          </w:r>
          <w:r w:rsidRPr="00A66E3A">
            <w:t>.  Publications Office of the European Union.</w:t>
          </w:r>
        </w:p>
        <w:p w14:paraId="782B6400" w14:textId="05FF67B0" w:rsidR="00B30EFB" w:rsidRDefault="00B30EFB" w:rsidP="008647F2">
          <w:pPr>
            <w:jc w:val="both"/>
          </w:pPr>
          <w:r>
            <w:t>Eurostat (2024) ‘Women totalled almost a third of STEM graduates in 2021’</w:t>
          </w:r>
          <w:r w:rsidRPr="00B30EFB">
            <w:rPr>
              <w:i/>
              <w:iCs/>
            </w:rPr>
            <w:t>. Eurostat News (8 March</w:t>
          </w:r>
          <w:r>
            <w:t xml:space="preserve">). Available at: </w:t>
          </w:r>
          <w:hyperlink r:id="rId13" w:history="1">
            <w:r w:rsidRPr="00A70F36">
              <w:rPr>
                <w:rStyle w:val="Hyperlink"/>
              </w:rPr>
              <w:t>https://ec.europa.eu/eurostat/web/products-eurostat-news/w/ddn-20240308-2</w:t>
            </w:r>
          </w:hyperlink>
          <w:r>
            <w:t xml:space="preserve"> </w:t>
          </w:r>
          <w:r>
            <w:t>(</w:t>
          </w:r>
          <w:r>
            <w:t>A</w:t>
          </w:r>
          <w:r>
            <w:t>ccessed 11 January 2026).</w:t>
          </w:r>
        </w:p>
        <w:p w14:paraId="07FE0BAC" w14:textId="52476BA5" w:rsidR="00F12A81" w:rsidRDefault="00F12A81" w:rsidP="008647F2">
          <w:pPr>
            <w:jc w:val="both"/>
          </w:pPr>
          <w:r w:rsidRPr="00F12A81">
            <w:t xml:space="preserve">Ewim, D.R.E. and Dosunmu, A.G. (2025) ‘Bridging gaps: the intersection of women in engineering and gender studies — challenges, advances, and future directions’, </w:t>
          </w:r>
          <w:r w:rsidRPr="00F12A81">
            <w:rPr>
              <w:i/>
              <w:iCs/>
            </w:rPr>
            <w:t>Discover Engineering</w:t>
          </w:r>
          <w:r w:rsidRPr="00F12A81">
            <w:t>, 3</w:t>
          </w:r>
          <w:r>
            <w:t>(</w:t>
          </w:r>
          <w:r w:rsidRPr="00F12A81">
            <w:t>43</w:t>
          </w:r>
          <w:r>
            <w:t>)</w:t>
          </w:r>
          <w:r w:rsidRPr="00F12A81">
            <w:t>.</w:t>
          </w:r>
        </w:p>
        <w:p w14:paraId="66D22BE9" w14:textId="5D7EECC8" w:rsidR="004C4081" w:rsidRDefault="004C4081" w:rsidP="008647F2">
          <w:pPr>
            <w:jc w:val="both"/>
          </w:pPr>
          <w:r>
            <w:t xml:space="preserve">Galsanjigmed, E. and Sekiguchi, T. (2023) ‘Challenges women experience in leadership careers: An overview and future directions’, </w:t>
          </w:r>
          <w:r w:rsidRPr="004C4081">
            <w:rPr>
              <w:i/>
              <w:iCs/>
            </w:rPr>
            <w:t>Administrative Sciences</w:t>
          </w:r>
          <w:r>
            <w:t xml:space="preserve">, 13(2), 21. Available at: </w:t>
          </w:r>
          <w:hyperlink r:id="rId14" w:history="1">
            <w:r w:rsidR="00D36FB7" w:rsidRPr="00A70F36">
              <w:rPr>
                <w:rStyle w:val="Hyperlink"/>
              </w:rPr>
              <w:t>https://www.mdpi.com/2673-8104/3/2/21</w:t>
            </w:r>
          </w:hyperlink>
          <w:r w:rsidR="00D36FB7">
            <w:t xml:space="preserve"> </w:t>
          </w:r>
          <w:r>
            <w:t>(</w:t>
          </w:r>
          <w:r>
            <w:t>A</w:t>
          </w:r>
          <w:r>
            <w:t xml:space="preserve">ccessed </w:t>
          </w:r>
          <w:r>
            <w:t>7</w:t>
          </w:r>
          <w:r>
            <w:t xml:space="preserve"> January 2026).</w:t>
          </w:r>
        </w:p>
        <w:p w14:paraId="2EAED8CE" w14:textId="1D54DF6E" w:rsidR="003D1BC6" w:rsidRDefault="003D1BC6" w:rsidP="008647F2">
          <w:pPr>
            <w:jc w:val="both"/>
          </w:pPr>
          <w:r w:rsidRPr="003D1BC6">
            <w:t xml:space="preserve">Gröschl, S. (2024) ‘The emergence and effects of sponsors for women leaders’, </w:t>
          </w:r>
          <w:r w:rsidRPr="003D1BC6">
            <w:rPr>
              <w:i/>
              <w:iCs/>
            </w:rPr>
            <w:t>Gender, Work &amp; Organi</w:t>
          </w:r>
          <w:r w:rsidRPr="003D1BC6">
            <w:rPr>
              <w:i/>
              <w:iCs/>
            </w:rPr>
            <w:t>s</w:t>
          </w:r>
          <w:r w:rsidRPr="003D1BC6">
            <w:rPr>
              <w:i/>
              <w:iCs/>
            </w:rPr>
            <w:t>ation</w:t>
          </w:r>
          <w:r w:rsidRPr="003D1BC6">
            <w:t>, 31(2), pp. 455–472. https://doi.org/10.1111/gwao.13217</w:t>
          </w:r>
          <w:r>
            <w:t>.</w:t>
          </w:r>
        </w:p>
        <w:p w14:paraId="40B048DD" w14:textId="2425B541" w:rsidR="00271003" w:rsidRDefault="00271003" w:rsidP="008647F2">
          <w:pPr>
            <w:jc w:val="both"/>
          </w:pPr>
          <w:r>
            <w:t xml:space="preserve">Hall, W. (2023) ‘Collectively constructing gender-inclusive work cultures in STEM’. </w:t>
          </w:r>
          <w:r w:rsidRPr="00271003">
            <w:rPr>
              <w:i/>
              <w:iCs/>
            </w:rPr>
            <w:t>European Review of Social Psychology</w:t>
          </w:r>
          <w:r>
            <w:t xml:space="preserve">, 34(1), pp. 1–45. Available at: </w:t>
          </w:r>
          <w:hyperlink r:id="rId15" w:history="1">
            <w:r w:rsidRPr="00A70F36">
              <w:rPr>
                <w:rStyle w:val="Hyperlink"/>
              </w:rPr>
              <w:t>https://www.tandfonline.com/doi/full/10.1080/10463283.2022.2109294</w:t>
            </w:r>
          </w:hyperlink>
          <w:r w:rsidR="008A4F29">
            <w:t xml:space="preserve"> </w:t>
          </w:r>
          <w:r>
            <w:t>(</w:t>
          </w:r>
          <w:r w:rsidR="006049A8">
            <w:t>A</w:t>
          </w:r>
          <w:r>
            <w:t xml:space="preserve">ccessed </w:t>
          </w:r>
          <w:r>
            <w:t>3</w:t>
          </w:r>
          <w:r>
            <w:t xml:space="preserve"> January 2026).</w:t>
          </w:r>
        </w:p>
        <w:p w14:paraId="50175177" w14:textId="7E612F80" w:rsidR="009D4F3B" w:rsidRDefault="009D4F3B" w:rsidP="008647F2">
          <w:pPr>
            <w:jc w:val="both"/>
          </w:pPr>
          <w:r w:rsidRPr="009D4F3B">
            <w:t xml:space="preserve">Hing, L.S.S., Bobocel, D.R. and Zanna, M.P. (2023) ‘Gender inequities in the workplace: A holistic review of bias in evaluation and treatment’, </w:t>
          </w:r>
          <w:r w:rsidRPr="009D4F3B">
            <w:rPr>
              <w:i/>
              <w:iCs/>
            </w:rPr>
            <w:t>Organi</w:t>
          </w:r>
          <w:r w:rsidRPr="009D4F3B">
            <w:rPr>
              <w:i/>
              <w:iCs/>
            </w:rPr>
            <w:t>s</w:t>
          </w:r>
          <w:r w:rsidRPr="009D4F3B">
            <w:rPr>
              <w:i/>
              <w:iCs/>
            </w:rPr>
            <w:t>ational Behavior and Human Decision Processes</w:t>
          </w:r>
          <w:r w:rsidRPr="009D4F3B">
            <w:t>, 176, pp. 104–127.</w:t>
          </w:r>
        </w:p>
        <w:p w14:paraId="77538B09" w14:textId="6587B2C4" w:rsidR="00305893" w:rsidRDefault="00305893" w:rsidP="008647F2">
          <w:pPr>
            <w:jc w:val="both"/>
          </w:pPr>
          <w:r>
            <w:t xml:space="preserve">Horton, J. (2023) </w:t>
          </w:r>
          <w:r w:rsidRPr="00305893">
            <w:rPr>
              <w:i/>
              <w:iCs/>
            </w:rPr>
            <w:t>Trends in women in the engineering workforce between 2010 and 2021 (UK Data Service working paper).</w:t>
          </w:r>
          <w:r>
            <w:t xml:space="preserve">  Available at: </w:t>
          </w:r>
          <w:hyperlink r:id="rId16" w:history="1">
            <w:r w:rsidRPr="00A70F36">
              <w:rPr>
                <w:rStyle w:val="Hyperlink"/>
              </w:rPr>
              <w:t>https://ukdataservice.ac.uk/app/uploads/horton2023-02-02.pdf</w:t>
            </w:r>
          </w:hyperlink>
          <w:r>
            <w:t xml:space="preserve"> </w:t>
          </w:r>
          <w:r>
            <w:t>(</w:t>
          </w:r>
          <w:r>
            <w:t>A</w:t>
          </w:r>
          <w:r>
            <w:t>ccessed 11 January 2026).</w:t>
          </w:r>
        </w:p>
        <w:p w14:paraId="254F63EA" w14:textId="190E472F" w:rsidR="00D46DFB" w:rsidRDefault="00D46DFB" w:rsidP="008647F2">
          <w:pPr>
            <w:jc w:val="both"/>
          </w:pPr>
          <w:r>
            <w:t xml:space="preserve">House of Commons Science and Technology Committee (2023) </w:t>
          </w:r>
          <w:r w:rsidRPr="00D46DFB">
            <w:rPr>
              <w:i/>
              <w:iCs/>
            </w:rPr>
            <w:t>Diversity and inclusion in STEM: Government response (report</w:t>
          </w:r>
          <w:r>
            <w:t>). Available at: https://publications.parliament.uk/pa/cm5803/cmselect/cmsctech/1427/report.html(</w:t>
          </w:r>
          <w:r>
            <w:t>A</w:t>
          </w:r>
          <w:r>
            <w:t xml:space="preserve">ccessed </w:t>
          </w:r>
          <w:r>
            <w:t>8</w:t>
          </w:r>
          <w:r>
            <w:t xml:space="preserve"> January 2026).</w:t>
          </w:r>
        </w:p>
        <w:p w14:paraId="48C0F250" w14:textId="6D93D8EF" w:rsidR="00F86F04" w:rsidRDefault="00F86F04" w:rsidP="008647F2">
          <w:pPr>
            <w:jc w:val="both"/>
          </w:pPr>
          <w:r w:rsidRPr="00F86F04">
            <w:lastRenderedPageBreak/>
            <w:t xml:space="preserve">Kith, S., Eikmann, A. and Melchers, K.G. (2022) ‘The structured interview’s resistance to gender discrimination in highly gendered jobs’, </w:t>
          </w:r>
          <w:r w:rsidRPr="00F86F04">
            <w:rPr>
              <w:i/>
              <w:iCs/>
            </w:rPr>
            <w:t>International Journal of Selection and Assessment</w:t>
          </w:r>
          <w:r w:rsidRPr="00F86F04">
            <w:t>, 30(3–4), pp. 388–402.</w:t>
          </w:r>
        </w:p>
        <w:p w14:paraId="5818652F" w14:textId="56EB85B8" w:rsidR="00B13CD3" w:rsidRDefault="00B13CD3" w:rsidP="008647F2">
          <w:pPr>
            <w:jc w:val="both"/>
          </w:pPr>
          <w:r w:rsidRPr="00B13CD3">
            <w:t xml:space="preserve">Mäkelä, T., Helfenstein, S., Lerkkanen, M.K. and Poikkeus, A.M. (2022) ‘Enablers and constraints of a nationwide STEM programme: Lessons from Finland’, </w:t>
          </w:r>
          <w:r w:rsidRPr="00B13CD3">
            <w:rPr>
              <w:i/>
              <w:iCs/>
            </w:rPr>
            <w:t>Frontiers in Education</w:t>
          </w:r>
          <w:r w:rsidRPr="00B13CD3">
            <w:t>, 7, 856640.</w:t>
          </w:r>
        </w:p>
        <w:p w14:paraId="3013FC94" w14:textId="5EC1BAF0" w:rsidR="00910270" w:rsidRDefault="00910270" w:rsidP="008647F2">
          <w:pPr>
            <w:jc w:val="both"/>
          </w:pPr>
          <w:r>
            <w:t xml:space="preserve">Martínez, </w:t>
          </w:r>
          <w:proofErr w:type="gramStart"/>
          <w:r>
            <w:t>M.(</w:t>
          </w:r>
          <w:proofErr w:type="gramEnd"/>
          <w:r>
            <w:t xml:space="preserve">2023) ‘The gender gap in STEM careers: An inter-regional and experimental analysis’, </w:t>
          </w:r>
          <w:r w:rsidRPr="00910270">
            <w:rPr>
              <w:i/>
              <w:iCs/>
            </w:rPr>
            <w:t>Education Sciences</w:t>
          </w:r>
          <w:r>
            <w:t>, 13(7), 649. Available at: https://www.mdpi.com/2227-7102/13/7/649(</w:t>
          </w:r>
          <w:r>
            <w:t>A</w:t>
          </w:r>
          <w:r>
            <w:t>ccessed 11 January 2026).</w:t>
          </w:r>
        </w:p>
        <w:p w14:paraId="32281EBF" w14:textId="00E10ECA" w:rsidR="008F6E84" w:rsidRDefault="008F6E84" w:rsidP="008647F2">
          <w:pPr>
            <w:jc w:val="both"/>
          </w:pPr>
          <w:r w:rsidRPr="008F6E84">
            <w:t xml:space="preserve">McKie, L. and Jyrkinen, M. (2024) ‘Women returners and re-entry to professional work’, </w:t>
          </w:r>
          <w:r w:rsidRPr="008F6E84">
            <w:rPr>
              <w:i/>
              <w:iCs/>
            </w:rPr>
            <w:t>Sociology</w:t>
          </w:r>
          <w:r w:rsidRPr="008F6E84">
            <w:t>, 58(5), pp. 1043–1060.</w:t>
          </w:r>
        </w:p>
        <w:p w14:paraId="778BF8C2" w14:textId="018FD3A3" w:rsidR="00E32E43" w:rsidRPr="00E32E43" w:rsidRDefault="00E32E43" w:rsidP="008647F2">
          <w:pPr>
            <w:jc w:val="both"/>
            <w:rPr>
              <w:i/>
              <w:iCs/>
            </w:rPr>
          </w:pPr>
          <w:r w:rsidRPr="00E32E43">
            <w:t xml:space="preserve">Mitroi-Luca, G. (2025) ‘Gender equality in Romania: challenges and progress’, </w:t>
          </w:r>
          <w:r w:rsidRPr="00E32E43">
            <w:rPr>
              <w:i/>
              <w:iCs/>
            </w:rPr>
            <w:t>Journal of European Social Policy</w:t>
          </w:r>
          <w:r w:rsidR="00222603">
            <w:rPr>
              <w:i/>
              <w:iCs/>
            </w:rPr>
            <w:t xml:space="preserve">, </w:t>
          </w:r>
          <w:r w:rsidR="00222603" w:rsidRPr="00222603">
            <w:t>32(1)</w:t>
          </w:r>
          <w:r w:rsidR="00222603">
            <w:t>.</w:t>
          </w:r>
        </w:p>
        <w:p w14:paraId="427B5F23" w14:textId="5CCB7198" w:rsidR="0062370D" w:rsidRDefault="0062370D" w:rsidP="008647F2">
          <w:pPr>
            <w:jc w:val="both"/>
          </w:pPr>
          <w:r w:rsidRPr="0062370D">
            <w:t xml:space="preserve">Mullins, L.J. and Christy, G. (2016) </w:t>
          </w:r>
          <w:r w:rsidRPr="0062370D">
            <w:rPr>
              <w:i/>
              <w:iCs/>
            </w:rPr>
            <w:t>Management and Organisational Behaviour</w:t>
          </w:r>
          <w:r w:rsidRPr="0062370D">
            <w:t>. 11th edn. Pearson.</w:t>
          </w:r>
        </w:p>
        <w:p w14:paraId="0EACDAF1" w14:textId="4FCA0102" w:rsidR="00F14915" w:rsidRDefault="00F14915" w:rsidP="008647F2">
          <w:pPr>
            <w:jc w:val="both"/>
          </w:pPr>
          <w:r w:rsidRPr="00F14915">
            <w:t xml:space="preserve">Northouse, P.G. (2021) </w:t>
          </w:r>
          <w:r w:rsidRPr="00F14915">
            <w:rPr>
              <w:i/>
              <w:iCs/>
            </w:rPr>
            <w:t>Leadership: Theory and Practice</w:t>
          </w:r>
          <w:r w:rsidRPr="00F14915">
            <w:t>. 9th edn. Thousand Oaks.</w:t>
          </w:r>
        </w:p>
        <w:p w14:paraId="4B927016" w14:textId="09CF294F" w:rsidR="00BF20E3" w:rsidRDefault="00BF20E3" w:rsidP="008647F2">
          <w:pPr>
            <w:jc w:val="both"/>
          </w:pPr>
          <w:r w:rsidRPr="00BF20E3">
            <w:t xml:space="preserve">O’Donovan, R., McAuliffe, E. and De Brún, A. (2020) ‘Interventions to improve speaking up and voice behaviour in organisations: A systematic review’, </w:t>
          </w:r>
          <w:r w:rsidRPr="00BF20E3">
            <w:rPr>
              <w:i/>
              <w:iCs/>
            </w:rPr>
            <w:t>BMC Health Services Research</w:t>
          </w:r>
          <w:r w:rsidRPr="00BF20E3">
            <w:t>, 20</w:t>
          </w:r>
          <w:r>
            <w:t>(</w:t>
          </w:r>
          <w:r w:rsidRPr="00BF20E3">
            <w:t>101</w:t>
          </w:r>
          <w:r>
            <w:t>)</w:t>
          </w:r>
          <w:r w:rsidRPr="00BF20E3">
            <w:t xml:space="preserve">. </w:t>
          </w:r>
        </w:p>
        <w:p w14:paraId="4F5C5ADB" w14:textId="4C05272A" w:rsidR="004B0CCC" w:rsidRPr="007D1947" w:rsidRDefault="004B0CCC" w:rsidP="008647F2">
          <w:pPr>
            <w:jc w:val="both"/>
          </w:pPr>
          <w:r w:rsidRPr="004B0CCC">
            <w:t xml:space="preserve">OECD (2021) </w:t>
          </w:r>
          <w:r w:rsidRPr="004B0CCC">
            <w:rPr>
              <w:i/>
              <w:iCs/>
            </w:rPr>
            <w:t>Bridging the digital gender divide: Include, upskill, innovate</w:t>
          </w:r>
          <w:r w:rsidRPr="004B0CCC">
            <w:t>. OECD Publishing. https://doi.org/10.1787/5890a0c8-en</w:t>
          </w:r>
        </w:p>
        <w:p w14:paraId="0D6825DB" w14:textId="4758DA4F" w:rsidR="00556419" w:rsidRDefault="00644173" w:rsidP="008647F2">
          <w:pPr>
            <w:jc w:val="both"/>
          </w:pPr>
          <w:r>
            <w:t xml:space="preserve">Oncioiu, I. (2023) </w:t>
          </w:r>
          <w:r w:rsidRPr="00644173">
            <w:rPr>
              <w:i/>
              <w:iCs/>
            </w:rPr>
            <w:t>Female Entrepreneureship and Management in the Digital Era: The Case of Romania</w:t>
          </w:r>
          <w:r>
            <w:t>. Editura Economica.</w:t>
          </w:r>
        </w:p>
        <w:p w14:paraId="571DE2CF" w14:textId="328DF105" w:rsidR="00480651" w:rsidRDefault="00480651" w:rsidP="008647F2">
          <w:pPr>
            <w:jc w:val="both"/>
          </w:pPr>
          <w:r>
            <w:t xml:space="preserve">Pânișoară, G. and Pânișoară, I.O. (2021) </w:t>
          </w:r>
          <w:r w:rsidRPr="00480651">
            <w:rPr>
              <w:i/>
              <w:iCs/>
            </w:rPr>
            <w:t>Management of Human Resources</w:t>
          </w:r>
          <w:r>
            <w:t>. 4</w:t>
          </w:r>
          <w:r w:rsidRPr="00480651">
            <w:rPr>
              <w:vertAlign w:val="superscript"/>
            </w:rPr>
            <w:t>th</w:t>
          </w:r>
          <w:r>
            <w:t xml:space="preserve"> edn. Polirom.</w:t>
          </w:r>
        </w:p>
        <w:p w14:paraId="78C3DEEF" w14:textId="0DAF8AE8" w:rsidR="00C27BF7" w:rsidRDefault="00C27BF7" w:rsidP="008647F2">
          <w:pPr>
            <w:jc w:val="both"/>
          </w:pPr>
          <w:r w:rsidRPr="00C27BF7">
            <w:t xml:space="preserve">Prieto-Rodríguez, E., Gore, J. and Holmes, K. (2022) ‘The impact of outreach interventions on secondary students’ STEM identity’, </w:t>
          </w:r>
          <w:r w:rsidRPr="00C27BF7">
            <w:rPr>
              <w:i/>
              <w:iCs/>
            </w:rPr>
            <w:t>Gender and Education</w:t>
          </w:r>
          <w:r w:rsidRPr="00C27BF7">
            <w:t>, 34(6), pp. 745–763.</w:t>
          </w:r>
        </w:p>
        <w:p w14:paraId="1F2FDEEC" w14:textId="40F6154B" w:rsidR="004327FF" w:rsidRDefault="004327FF" w:rsidP="008647F2">
          <w:pPr>
            <w:jc w:val="both"/>
          </w:pPr>
          <w:r w:rsidRPr="004327FF">
            <w:t xml:space="preserve">Rees, W.D. and Porter, C. (2015) </w:t>
          </w:r>
          <w:r w:rsidRPr="004327FF">
            <w:rPr>
              <w:i/>
              <w:iCs/>
            </w:rPr>
            <w:t>Skills of Management and Leadership: Managing People in Organisations</w:t>
          </w:r>
          <w:r w:rsidRPr="004327FF">
            <w:t>. Bloomsbury Academic.</w:t>
          </w:r>
        </w:p>
        <w:p w14:paraId="0695CBF8" w14:textId="7117B976" w:rsidR="004C4629" w:rsidRDefault="004C4629" w:rsidP="008647F2">
          <w:pPr>
            <w:jc w:val="both"/>
          </w:pPr>
          <w:r w:rsidRPr="004C4629">
            <w:t>Royal Academy of Engineering (2023) Equality, Diversity and Inclusion: Evidence Review. Royal Academy of Engineering.</w:t>
          </w:r>
        </w:p>
        <w:p w14:paraId="193E3554" w14:textId="25E008D8" w:rsidR="004B6E7B" w:rsidRDefault="004B6E7B" w:rsidP="008647F2">
          <w:pPr>
            <w:jc w:val="both"/>
          </w:pPr>
          <w:r w:rsidRPr="004B6E7B">
            <w:t xml:space="preserve">Sáinz, M., García-Cueto, E. and Meneses, J. (2022) ‘Interventions to increase young people’s interest in STEM: A scoping review’, </w:t>
          </w:r>
          <w:r w:rsidRPr="004B6E7B">
            <w:rPr>
              <w:i/>
              <w:iCs/>
            </w:rPr>
            <w:t>Frontiers in Psychology</w:t>
          </w:r>
          <w:r w:rsidRPr="004B6E7B">
            <w:t>, 13, 954996.</w:t>
          </w:r>
        </w:p>
        <w:p w14:paraId="715C0A28" w14:textId="2D03FE43" w:rsidR="00446D2C" w:rsidRDefault="00446D2C" w:rsidP="008647F2">
          <w:pPr>
            <w:jc w:val="both"/>
          </w:pPr>
          <w:r w:rsidRPr="00446D2C">
            <w:t xml:space="preserve">Smith, N.E. (2023) ‘Examining the Effectiveness of Gender Equity Initiatives to Change Organisational Culture in Engineering: Lessons from New Zealand’, </w:t>
          </w:r>
          <w:r w:rsidRPr="00446D2C">
            <w:rPr>
              <w:i/>
              <w:iCs/>
            </w:rPr>
            <w:t>Proceedings of the Institution of Mechanical Engineers, Part E: Journal of Process Mechanical Engineering</w:t>
          </w:r>
          <w:r w:rsidRPr="00446D2C">
            <w:t>, 237(1), pp. 45–55.</w:t>
          </w:r>
        </w:p>
        <w:p w14:paraId="32B3B682" w14:textId="7A41A71D" w:rsidR="00767E96" w:rsidRDefault="00767E96" w:rsidP="008647F2">
          <w:pPr>
            <w:jc w:val="both"/>
          </w:pPr>
          <w:r>
            <w:t>UK Government (2024) STEM ReCharge programme evaluation. Department for Science, Innovation and Technology. Available at: https://www.gov.uk/government/publications/stem-recharge-programme-evaluation(</w:t>
          </w:r>
          <w:r>
            <w:t>A</w:t>
          </w:r>
          <w:r>
            <w:t xml:space="preserve">ccessed </w:t>
          </w:r>
          <w:r>
            <w:t>5</w:t>
          </w:r>
          <w:r>
            <w:t xml:space="preserve"> January 2026).</w:t>
          </w:r>
        </w:p>
        <w:p w14:paraId="1AEC42EA" w14:textId="65DB4EA0" w:rsidR="00AD54A4" w:rsidRDefault="00AD54A4" w:rsidP="008647F2">
          <w:pPr>
            <w:jc w:val="both"/>
          </w:pPr>
          <w:r>
            <w:t xml:space="preserve">Verdugo-Castro, S., García-Holgado, A. and Sánchez-Gómez, M.C. (2022) ‘The gender gap in higher STEM studies: A systematic literature review’, </w:t>
          </w:r>
          <w:r w:rsidRPr="00AD54A4">
            <w:rPr>
              <w:i/>
              <w:iCs/>
            </w:rPr>
            <w:t>Heliyon</w:t>
          </w:r>
          <w:r>
            <w:t xml:space="preserve">, 8(8), e10300. Available at: https://pubmed.ncbi.nlm.nih.gov/36090203/ (accessed </w:t>
          </w:r>
          <w:r>
            <w:t>3</w:t>
          </w:r>
          <w:r>
            <w:t xml:space="preserve"> January 2026).</w:t>
          </w:r>
        </w:p>
        <w:p w14:paraId="7E27DEE6" w14:textId="4B307E95" w:rsidR="00612187" w:rsidRDefault="00612187" w:rsidP="008647F2">
          <w:pPr>
            <w:jc w:val="both"/>
          </w:pPr>
          <w:r>
            <w:lastRenderedPageBreak/>
            <w:t xml:space="preserve">Women in STEM (2021) </w:t>
          </w:r>
          <w:r w:rsidRPr="00612187">
            <w:rPr>
              <w:i/>
              <w:iCs/>
            </w:rPr>
            <w:t>Sector collaboration gets returners back on track</w:t>
          </w:r>
          <w:r>
            <w:t>. Available at: https://www.womeninstem.co.uk(</w:t>
          </w:r>
          <w:r>
            <w:t>A</w:t>
          </w:r>
          <w:r>
            <w:t>ccessed 2 January 2026).</w:t>
          </w:r>
        </w:p>
        <w:p w14:paraId="7348111E" w14:textId="3561645D" w:rsidR="00FE2AE9" w:rsidRDefault="00FE2AE9" w:rsidP="008647F2">
          <w:pPr>
            <w:jc w:val="both"/>
          </w:pPr>
          <w:r>
            <w:t xml:space="preserve">Wyatt, S. (2020) </w:t>
          </w:r>
          <w:r w:rsidRPr="00FE2AE9">
            <w:rPr>
              <w:i/>
              <w:iCs/>
            </w:rPr>
            <w:t>Leadership and Management in the 4’th Industrial Revolution</w:t>
          </w:r>
          <w:r>
            <w:t>, Kogan.</w:t>
          </w:r>
        </w:p>
        <w:p w14:paraId="14A81132" w14:textId="65E7D905" w:rsidR="004C0416" w:rsidRDefault="004C0416" w:rsidP="008647F2">
          <w:pPr>
            <w:jc w:val="both"/>
          </w:pPr>
          <w:r w:rsidRPr="004C0416">
            <w:t xml:space="preserve">Xu, J. (2024) ‘The gender gap in executive promotions’, </w:t>
          </w:r>
          <w:r w:rsidRPr="004C0416">
            <w:rPr>
              <w:i/>
              <w:iCs/>
            </w:rPr>
            <w:t>Labour Economics</w:t>
          </w:r>
          <w:r w:rsidRPr="004C0416">
            <w:t>, 88, 102417.</w:t>
          </w:r>
        </w:p>
        <w:p w14:paraId="34CF32B6" w14:textId="4A4F95FC" w:rsidR="00A053C7" w:rsidRDefault="00A053C7" w:rsidP="008647F2">
          <w:pPr>
            <w:jc w:val="both"/>
          </w:pPr>
          <w:r w:rsidRPr="00A053C7">
            <w:t xml:space="preserve">Yukl, G. and Gardner, W.L. (2020) </w:t>
          </w:r>
          <w:r w:rsidRPr="00A053C7">
            <w:rPr>
              <w:i/>
              <w:iCs/>
            </w:rPr>
            <w:t>Leadership in Organizations</w:t>
          </w:r>
          <w:r w:rsidRPr="00A053C7">
            <w:t>. 9th edn. Pearson.</w:t>
          </w:r>
        </w:p>
        <w:p w14:paraId="3F43A1C6" w14:textId="26984344" w:rsidR="00556419" w:rsidRDefault="00CA74EA" w:rsidP="008647F2">
          <w:pPr>
            <w:jc w:val="both"/>
          </w:pPr>
          <w:r>
            <w:t xml:space="preserve">Zbuchea, A. and Brătianu, C. (2022) </w:t>
          </w:r>
          <w:r w:rsidRPr="00CA74EA">
            <w:rPr>
              <w:i/>
              <w:iCs/>
            </w:rPr>
            <w:t>Contemporary Management and Leadership in Romania</w:t>
          </w:r>
          <w:r>
            <w:t>. Tritonic.</w:t>
          </w:r>
        </w:p>
        <w:p w14:paraId="001DAA97" w14:textId="77777777" w:rsidR="00556419" w:rsidRDefault="00556419" w:rsidP="008647F2">
          <w:pPr>
            <w:jc w:val="both"/>
          </w:pPr>
        </w:p>
        <w:p w14:paraId="5064373A" w14:textId="73A2CCBA" w:rsidR="00556419" w:rsidRDefault="00000000"/>
      </w:sdtContent>
    </w:sdt>
    <w:p w14:paraId="7E3800BB" w14:textId="77777777" w:rsidR="00E84AE0" w:rsidRDefault="00E84AE0">
      <w:pPr>
        <w:rPr>
          <w:rFonts w:asciiTheme="majorHAnsi" w:eastAsiaTheme="majorEastAsia" w:hAnsiTheme="majorHAnsi" w:cstheme="majorBidi"/>
          <w:color w:val="2E74B5" w:themeColor="accent1" w:themeShade="BF"/>
          <w:sz w:val="32"/>
          <w:szCs w:val="32"/>
        </w:rPr>
      </w:pPr>
      <w:r>
        <w:br w:type="page"/>
      </w:r>
    </w:p>
    <w:p w14:paraId="7F890C1F" w14:textId="49DB5426" w:rsidR="00CA09F3" w:rsidRDefault="00556419" w:rsidP="00556419">
      <w:pPr>
        <w:pStyle w:val="Heading1"/>
      </w:pPr>
      <w:bookmarkStart w:id="12" w:name="_Toc219108399"/>
      <w:r>
        <w:lastRenderedPageBreak/>
        <w:t>Appendix</w:t>
      </w:r>
      <w:bookmarkEnd w:id="12"/>
    </w:p>
    <w:p w14:paraId="5DFD4EAB" w14:textId="77777777" w:rsidR="00556419" w:rsidRPr="00556419" w:rsidRDefault="00556419" w:rsidP="00556419"/>
    <w:p w14:paraId="1693D10F" w14:textId="30B43ACF" w:rsidR="00556419" w:rsidRDefault="00556419" w:rsidP="00556419">
      <w:pPr>
        <w:pStyle w:val="Heading2"/>
      </w:pPr>
      <w:bookmarkStart w:id="13" w:name="_Toc219108400"/>
      <w:r>
        <w:t>Appendix 1</w:t>
      </w:r>
      <w:bookmarkEnd w:id="13"/>
    </w:p>
    <w:p w14:paraId="114861F6" w14:textId="77777777" w:rsidR="00824117" w:rsidRDefault="00824117" w:rsidP="00824117"/>
    <w:p w14:paraId="367B9A9A" w14:textId="778F22A6" w:rsidR="00824117" w:rsidRDefault="00824117" w:rsidP="00824117">
      <w:r>
        <w:rPr>
          <w:noProof/>
        </w:rPr>
        <w:drawing>
          <wp:inline distT="0" distB="0" distL="0" distR="0" wp14:anchorId="5FF78565" wp14:editId="0CAC3527">
            <wp:extent cx="5731510" cy="4299585"/>
            <wp:effectExtent l="0" t="7938" r="0" b="0"/>
            <wp:docPr id="2907014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5731510" cy="4299585"/>
                    </a:xfrm>
                    <a:prstGeom prst="rect">
                      <a:avLst/>
                    </a:prstGeom>
                    <a:noFill/>
                    <a:ln>
                      <a:noFill/>
                    </a:ln>
                  </pic:spPr>
                </pic:pic>
              </a:graphicData>
            </a:graphic>
          </wp:inline>
        </w:drawing>
      </w:r>
    </w:p>
    <w:p w14:paraId="2D0116E6" w14:textId="77777777" w:rsidR="00824117" w:rsidRDefault="00824117" w:rsidP="00824117"/>
    <w:p w14:paraId="03EFE659" w14:textId="77777777" w:rsidR="00824117" w:rsidRDefault="00824117" w:rsidP="00824117"/>
    <w:p w14:paraId="2A6A5B02" w14:textId="77777777" w:rsidR="00824117" w:rsidRDefault="00824117" w:rsidP="00824117"/>
    <w:p w14:paraId="3875E7A3" w14:textId="77777777" w:rsidR="00824117" w:rsidRDefault="00824117" w:rsidP="00824117"/>
    <w:p w14:paraId="311490C8" w14:textId="77777777" w:rsidR="00824117" w:rsidRDefault="00824117" w:rsidP="00824117"/>
    <w:p w14:paraId="6008919B" w14:textId="77777777" w:rsidR="00824117" w:rsidRDefault="00824117" w:rsidP="00824117"/>
    <w:p w14:paraId="5C95A475" w14:textId="77777777" w:rsidR="00824117" w:rsidRPr="00824117" w:rsidRDefault="00824117" w:rsidP="00824117"/>
    <w:p w14:paraId="0ECF943E" w14:textId="5FE458F0" w:rsidR="0077203A" w:rsidRDefault="008549FA" w:rsidP="008549FA">
      <w:pPr>
        <w:pStyle w:val="Heading2"/>
      </w:pPr>
      <w:bookmarkStart w:id="14" w:name="_Toc219108401"/>
      <w:r>
        <w:lastRenderedPageBreak/>
        <w:t>Appendix 2</w:t>
      </w:r>
      <w:bookmarkEnd w:id="14"/>
    </w:p>
    <w:p w14:paraId="45E7FC35" w14:textId="2F0C9D59" w:rsidR="002C70AB" w:rsidRDefault="002C70AB">
      <w:r w:rsidRPr="002C70AB">
        <w:t>Leadership Roles by Gender in Mechanical Engineering</w:t>
      </w:r>
    </w:p>
    <w:p w14:paraId="0F0CC366" w14:textId="7C40C43A" w:rsidR="004704CF" w:rsidRDefault="0006420B">
      <w:pPr>
        <w:rPr>
          <w:noProof/>
        </w:rPr>
      </w:pPr>
      <w:r>
        <w:t>(Royal Academy of Engineering, 2023)</w:t>
      </w:r>
    </w:p>
    <w:p w14:paraId="1AF9B0A8" w14:textId="77777777" w:rsidR="004704CF" w:rsidRDefault="004704CF"/>
    <w:p w14:paraId="6D1231E7" w14:textId="77777777" w:rsidR="004704CF" w:rsidRDefault="004704CF"/>
    <w:p w14:paraId="65B6DCA5" w14:textId="2C785F52" w:rsidR="0077203A" w:rsidRDefault="0077203A">
      <w:pPr>
        <w:rPr>
          <w:rFonts w:asciiTheme="majorHAnsi" w:eastAsiaTheme="majorEastAsia" w:hAnsiTheme="majorHAnsi" w:cstheme="majorBidi"/>
          <w:color w:val="2E74B5" w:themeColor="accent1" w:themeShade="BF"/>
          <w:sz w:val="26"/>
          <w:szCs w:val="26"/>
        </w:rPr>
      </w:pPr>
      <w:r>
        <w:rPr>
          <w:noProof/>
        </w:rPr>
        <w:drawing>
          <wp:inline distT="0" distB="0" distL="0" distR="0" wp14:anchorId="7F9966D7" wp14:editId="5E9B0BD1">
            <wp:extent cx="6169178" cy="3819525"/>
            <wp:effectExtent l="0" t="0" r="3175" b="0"/>
            <wp:docPr id="14465616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1844" cy="3827367"/>
                    </a:xfrm>
                    <a:prstGeom prst="rect">
                      <a:avLst/>
                    </a:prstGeom>
                    <a:noFill/>
                  </pic:spPr>
                </pic:pic>
              </a:graphicData>
            </a:graphic>
          </wp:inline>
        </w:drawing>
      </w:r>
      <w:r>
        <w:br w:type="page"/>
      </w:r>
    </w:p>
    <w:p w14:paraId="3276B861" w14:textId="18D2B001" w:rsidR="00556419" w:rsidRDefault="00556419" w:rsidP="00556419">
      <w:pPr>
        <w:pStyle w:val="Heading2"/>
      </w:pPr>
      <w:bookmarkStart w:id="15" w:name="_Toc219108402"/>
      <w:r>
        <w:lastRenderedPageBreak/>
        <w:t>Appendix 3</w:t>
      </w:r>
      <w:bookmarkEnd w:id="15"/>
    </w:p>
    <w:p w14:paraId="0E153C7A" w14:textId="77777777" w:rsidR="0002500E" w:rsidRDefault="0002500E" w:rsidP="0002500E"/>
    <w:p w14:paraId="38DBCF8C" w14:textId="77777777" w:rsidR="0002500E" w:rsidRDefault="0002500E" w:rsidP="0002500E"/>
    <w:p w14:paraId="599CEC56" w14:textId="7C8A2396" w:rsidR="0002500E" w:rsidRDefault="0002500E" w:rsidP="0002500E">
      <w:pPr>
        <w:jc w:val="both"/>
      </w:pPr>
      <w:r>
        <w:t>The Gantt chart</w:t>
      </w:r>
      <w:r w:rsidRPr="0002500E">
        <w:t xml:space="preserve"> illustrates the phased implementation timeline for the recommendations set out in this report. Education and visibility interventions are prioritised in the early stages to address identity formation and public perception, followed by organisational reforms focused on retention, leadership progression, and cultural change. Policy alignment and benchmarking extend across the later phases to ensure sustainability and accountability.</w:t>
      </w:r>
    </w:p>
    <w:p w14:paraId="0DCF187C" w14:textId="37C017E5" w:rsidR="0002500E" w:rsidRDefault="0002500E" w:rsidP="0002500E">
      <w:r>
        <w:rPr>
          <w:noProof/>
        </w:rPr>
        <w:drawing>
          <wp:inline distT="0" distB="0" distL="0" distR="0" wp14:anchorId="5CF7EAF7" wp14:editId="7C933E0B">
            <wp:extent cx="5487035" cy="3291840"/>
            <wp:effectExtent l="0" t="0" r="0" b="3810"/>
            <wp:docPr id="21057319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7035" cy="3291840"/>
                    </a:xfrm>
                    <a:prstGeom prst="rect">
                      <a:avLst/>
                    </a:prstGeom>
                    <a:noFill/>
                  </pic:spPr>
                </pic:pic>
              </a:graphicData>
            </a:graphic>
          </wp:inline>
        </w:drawing>
      </w:r>
    </w:p>
    <w:p w14:paraId="7E17BEFF" w14:textId="77777777" w:rsidR="00163694" w:rsidRDefault="00163694" w:rsidP="0002500E"/>
    <w:p w14:paraId="611A7166" w14:textId="77777777" w:rsidR="00163694" w:rsidRDefault="00163694" w:rsidP="0002500E"/>
    <w:p w14:paraId="370D0E8D" w14:textId="77777777" w:rsidR="00163694" w:rsidRDefault="00163694" w:rsidP="0002500E"/>
    <w:p w14:paraId="4C6850B7" w14:textId="77777777" w:rsidR="00163694" w:rsidRDefault="00163694" w:rsidP="0002500E"/>
    <w:p w14:paraId="2282EB92" w14:textId="77777777" w:rsidR="00163694" w:rsidRDefault="00163694" w:rsidP="0002500E"/>
    <w:p w14:paraId="2E1A1ED1" w14:textId="77777777" w:rsidR="00163694" w:rsidRDefault="00163694" w:rsidP="0002500E"/>
    <w:p w14:paraId="62488004" w14:textId="77777777" w:rsidR="00163694" w:rsidRDefault="00163694" w:rsidP="0002500E"/>
    <w:p w14:paraId="2178FEE6" w14:textId="77777777" w:rsidR="00163694" w:rsidRDefault="00163694" w:rsidP="0002500E"/>
    <w:p w14:paraId="1E145829" w14:textId="77777777" w:rsidR="00163694" w:rsidRDefault="00163694" w:rsidP="0002500E"/>
    <w:p w14:paraId="09A3CACA" w14:textId="77777777" w:rsidR="00163694" w:rsidRDefault="00163694" w:rsidP="0002500E"/>
    <w:p w14:paraId="0D9D83E0" w14:textId="77777777" w:rsidR="00163694" w:rsidRDefault="00163694" w:rsidP="0002500E"/>
    <w:p w14:paraId="0FB394AA" w14:textId="77777777" w:rsidR="00163694" w:rsidRDefault="00163694" w:rsidP="0002500E"/>
    <w:p w14:paraId="789A48CF" w14:textId="77777777" w:rsidR="00163694" w:rsidRDefault="00163694" w:rsidP="0002500E"/>
    <w:p w14:paraId="51343068" w14:textId="1D19A6C3" w:rsidR="00163694" w:rsidRDefault="00163694" w:rsidP="00E84AE0">
      <w:pPr>
        <w:pStyle w:val="Heading2"/>
      </w:pPr>
      <w:bookmarkStart w:id="16" w:name="_Toc219108403"/>
      <w:r>
        <w:lastRenderedPageBreak/>
        <w:t>Appendix 4</w:t>
      </w:r>
      <w:bookmarkEnd w:id="16"/>
    </w:p>
    <w:p w14:paraId="339FDF4B" w14:textId="77777777" w:rsidR="00163694" w:rsidRDefault="00163694" w:rsidP="00163694"/>
    <w:tbl>
      <w:tblPr>
        <w:tblpPr w:leftFromText="180" w:rightFromText="180" w:vertAnchor="text" w:horzAnchor="page" w:tblpX="1" w:tblpY="360"/>
        <w:tblW w:w="11467" w:type="dxa"/>
        <w:tblCellMar>
          <w:left w:w="0" w:type="dxa"/>
          <w:right w:w="0" w:type="dxa"/>
        </w:tblCellMar>
        <w:tblLook w:val="0600" w:firstRow="0" w:lastRow="0" w:firstColumn="0" w:lastColumn="0" w:noHBand="1" w:noVBand="1"/>
      </w:tblPr>
      <w:tblGrid>
        <w:gridCol w:w="3685"/>
        <w:gridCol w:w="3882"/>
        <w:gridCol w:w="3900"/>
      </w:tblGrid>
      <w:tr w:rsidR="00163694" w:rsidRPr="00163694" w14:paraId="5D702A38" w14:textId="77777777" w:rsidTr="00163694">
        <w:trPr>
          <w:trHeight w:val="776"/>
        </w:trPr>
        <w:tc>
          <w:tcPr>
            <w:tcW w:w="3685" w:type="dxa"/>
            <w:tcBorders>
              <w:top w:val="nil"/>
              <w:left w:val="nil"/>
              <w:bottom w:val="nil"/>
              <w:right w:val="nil"/>
            </w:tcBorders>
            <w:tcMar>
              <w:top w:w="54" w:type="dxa"/>
              <w:left w:w="107" w:type="dxa"/>
              <w:bottom w:w="54" w:type="dxa"/>
              <w:right w:w="107" w:type="dxa"/>
            </w:tcMar>
            <w:vAlign w:val="center"/>
            <w:hideMark/>
          </w:tcPr>
          <w:p w14:paraId="7BAAC544"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4-V Model Element</w:t>
            </w:r>
          </w:p>
        </w:tc>
        <w:tc>
          <w:tcPr>
            <w:tcW w:w="3882" w:type="dxa"/>
            <w:tcBorders>
              <w:top w:val="nil"/>
              <w:left w:val="nil"/>
              <w:bottom w:val="nil"/>
              <w:right w:val="nil"/>
            </w:tcBorders>
            <w:tcMar>
              <w:top w:w="54" w:type="dxa"/>
              <w:left w:w="107" w:type="dxa"/>
              <w:bottom w:w="54" w:type="dxa"/>
              <w:right w:w="107" w:type="dxa"/>
            </w:tcMar>
            <w:vAlign w:val="center"/>
            <w:hideMark/>
          </w:tcPr>
          <w:p w14:paraId="615EA91A"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How it links to women leaders in Mechanical Engineering</w:t>
            </w:r>
          </w:p>
        </w:tc>
        <w:tc>
          <w:tcPr>
            <w:tcW w:w="3900" w:type="dxa"/>
            <w:tcBorders>
              <w:top w:val="nil"/>
              <w:left w:val="nil"/>
              <w:bottom w:val="nil"/>
              <w:right w:val="nil"/>
            </w:tcBorders>
            <w:tcMar>
              <w:top w:w="54" w:type="dxa"/>
              <w:left w:w="107" w:type="dxa"/>
              <w:bottom w:w="54" w:type="dxa"/>
              <w:right w:w="107" w:type="dxa"/>
            </w:tcMar>
            <w:vAlign w:val="center"/>
            <w:hideMark/>
          </w:tcPr>
          <w:p w14:paraId="078A3DC4"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Why it matters now</w:t>
            </w:r>
          </w:p>
        </w:tc>
      </w:tr>
      <w:tr w:rsidR="00163694" w:rsidRPr="00163694" w14:paraId="255404C7" w14:textId="77777777" w:rsidTr="00163694">
        <w:trPr>
          <w:trHeight w:val="1705"/>
        </w:trPr>
        <w:tc>
          <w:tcPr>
            <w:tcW w:w="3685" w:type="dxa"/>
            <w:tcBorders>
              <w:top w:val="nil"/>
              <w:left w:val="nil"/>
              <w:bottom w:val="nil"/>
              <w:right w:val="nil"/>
            </w:tcBorders>
            <w:tcMar>
              <w:top w:w="54" w:type="dxa"/>
              <w:left w:w="107" w:type="dxa"/>
              <w:bottom w:w="54" w:type="dxa"/>
              <w:right w:w="107" w:type="dxa"/>
            </w:tcMar>
            <w:vAlign w:val="center"/>
            <w:hideMark/>
          </w:tcPr>
          <w:p w14:paraId="33109204"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b/>
                <w:bCs/>
                <w:color w:val="000000" w:themeColor="text1"/>
                <w:kern w:val="24"/>
                <w:lang w:eastAsia="en-GB"/>
              </w:rPr>
              <w:t>Values</w:t>
            </w:r>
          </w:p>
        </w:tc>
        <w:tc>
          <w:tcPr>
            <w:tcW w:w="3882" w:type="dxa"/>
            <w:tcBorders>
              <w:top w:val="nil"/>
              <w:left w:val="nil"/>
              <w:bottom w:val="nil"/>
              <w:right w:val="nil"/>
            </w:tcBorders>
            <w:tcMar>
              <w:top w:w="54" w:type="dxa"/>
              <w:left w:w="107" w:type="dxa"/>
              <w:bottom w:w="54" w:type="dxa"/>
              <w:right w:w="107" w:type="dxa"/>
            </w:tcMar>
            <w:vAlign w:val="center"/>
            <w:hideMark/>
          </w:tcPr>
          <w:p w14:paraId="1DBE7DF8"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 xml:space="preserve">Female engineers often bring strong focus on </w:t>
            </w:r>
            <w:r w:rsidRPr="00163694">
              <w:rPr>
                <w:rFonts w:ascii="Calibri" w:eastAsia="Times New Roman" w:hAnsi="Calibri" w:cs="Calibri"/>
                <w:b/>
                <w:bCs/>
                <w:color w:val="000000" w:themeColor="text1"/>
                <w:kern w:val="24"/>
                <w:lang w:eastAsia="en-GB"/>
              </w:rPr>
              <w:t>safety, sustainability, inclusiveness and user-experience</w:t>
            </w:r>
            <w:r w:rsidRPr="00163694">
              <w:rPr>
                <w:rFonts w:ascii="Calibri" w:eastAsia="Times New Roman" w:hAnsi="Calibri" w:cs="Calibri"/>
                <w:color w:val="000000" w:themeColor="text1"/>
                <w:kern w:val="24"/>
                <w:lang w:eastAsia="en-GB"/>
              </w:rPr>
              <w:t xml:space="preserve"> in design.</w:t>
            </w:r>
          </w:p>
        </w:tc>
        <w:tc>
          <w:tcPr>
            <w:tcW w:w="3900" w:type="dxa"/>
            <w:tcBorders>
              <w:top w:val="nil"/>
              <w:left w:val="nil"/>
              <w:bottom w:val="nil"/>
              <w:right w:val="nil"/>
            </w:tcBorders>
            <w:tcMar>
              <w:top w:w="54" w:type="dxa"/>
              <w:left w:w="107" w:type="dxa"/>
              <w:bottom w:w="54" w:type="dxa"/>
              <w:right w:w="107" w:type="dxa"/>
            </w:tcMar>
            <w:vAlign w:val="center"/>
            <w:hideMark/>
          </w:tcPr>
          <w:p w14:paraId="2FF356C1"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 xml:space="preserve">Mechanical engineering increasingly requires </w:t>
            </w:r>
            <w:r w:rsidRPr="00163694">
              <w:rPr>
                <w:rFonts w:ascii="Calibri" w:eastAsia="Times New Roman" w:hAnsi="Calibri" w:cs="Calibri"/>
                <w:b/>
                <w:bCs/>
                <w:color w:val="000000" w:themeColor="text1"/>
                <w:kern w:val="24"/>
                <w:lang w:eastAsia="en-GB"/>
              </w:rPr>
              <w:t>ethical decision-making</w:t>
            </w:r>
            <w:r w:rsidRPr="00163694">
              <w:rPr>
                <w:rFonts w:ascii="Calibri" w:eastAsia="Times New Roman" w:hAnsi="Calibri" w:cs="Calibri"/>
                <w:color w:val="000000" w:themeColor="text1"/>
                <w:kern w:val="24"/>
                <w:lang w:eastAsia="en-GB"/>
              </w:rPr>
              <w:t>: AI-driven systems, autonomous vehicles, automation impacts on workers.</w:t>
            </w:r>
          </w:p>
        </w:tc>
      </w:tr>
      <w:tr w:rsidR="00163694" w:rsidRPr="00163694" w14:paraId="08EBF5F7" w14:textId="77777777" w:rsidTr="00163694">
        <w:trPr>
          <w:trHeight w:val="1396"/>
        </w:trPr>
        <w:tc>
          <w:tcPr>
            <w:tcW w:w="3685" w:type="dxa"/>
            <w:tcBorders>
              <w:top w:val="nil"/>
              <w:left w:val="nil"/>
              <w:bottom w:val="nil"/>
              <w:right w:val="nil"/>
            </w:tcBorders>
            <w:tcMar>
              <w:top w:w="54" w:type="dxa"/>
              <w:left w:w="107" w:type="dxa"/>
              <w:bottom w:w="54" w:type="dxa"/>
              <w:right w:w="107" w:type="dxa"/>
            </w:tcMar>
            <w:vAlign w:val="center"/>
            <w:hideMark/>
          </w:tcPr>
          <w:p w14:paraId="234817E4"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b/>
                <w:bCs/>
                <w:color w:val="000000" w:themeColor="text1"/>
                <w:kern w:val="24"/>
                <w:lang w:eastAsia="en-GB"/>
              </w:rPr>
              <w:t>Vision</w:t>
            </w:r>
          </w:p>
        </w:tc>
        <w:tc>
          <w:tcPr>
            <w:tcW w:w="3882" w:type="dxa"/>
            <w:tcBorders>
              <w:top w:val="nil"/>
              <w:left w:val="nil"/>
              <w:bottom w:val="nil"/>
              <w:right w:val="nil"/>
            </w:tcBorders>
            <w:tcMar>
              <w:top w:w="54" w:type="dxa"/>
              <w:left w:w="107" w:type="dxa"/>
              <w:bottom w:w="54" w:type="dxa"/>
              <w:right w:w="107" w:type="dxa"/>
            </w:tcMar>
            <w:vAlign w:val="center"/>
            <w:hideMark/>
          </w:tcPr>
          <w:p w14:paraId="1FC95840"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 xml:space="preserve">Women leaders tend to emphasise </w:t>
            </w:r>
            <w:r w:rsidRPr="00163694">
              <w:rPr>
                <w:rFonts w:ascii="Calibri" w:eastAsia="Times New Roman" w:hAnsi="Calibri" w:cs="Calibri"/>
                <w:b/>
                <w:bCs/>
                <w:color w:val="000000" w:themeColor="text1"/>
                <w:kern w:val="24"/>
                <w:lang w:eastAsia="en-GB"/>
              </w:rPr>
              <w:t>human-centred innovation</w:t>
            </w:r>
            <w:r w:rsidRPr="00163694">
              <w:rPr>
                <w:rFonts w:ascii="Calibri" w:eastAsia="Times New Roman" w:hAnsi="Calibri" w:cs="Calibri"/>
                <w:color w:val="000000" w:themeColor="text1"/>
                <w:kern w:val="24"/>
                <w:lang w:eastAsia="en-GB"/>
              </w:rPr>
              <w:t>, mentoring and long-term societal benefit.</w:t>
            </w:r>
          </w:p>
        </w:tc>
        <w:tc>
          <w:tcPr>
            <w:tcW w:w="3900" w:type="dxa"/>
            <w:tcBorders>
              <w:top w:val="nil"/>
              <w:left w:val="nil"/>
              <w:bottom w:val="nil"/>
              <w:right w:val="nil"/>
            </w:tcBorders>
            <w:tcMar>
              <w:top w:w="54" w:type="dxa"/>
              <w:left w:w="107" w:type="dxa"/>
              <w:bottom w:w="54" w:type="dxa"/>
              <w:right w:w="107" w:type="dxa"/>
            </w:tcMar>
            <w:vAlign w:val="center"/>
            <w:hideMark/>
          </w:tcPr>
          <w:p w14:paraId="0A4B619A"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 xml:space="preserve">supports </w:t>
            </w:r>
            <w:r w:rsidRPr="00163694">
              <w:rPr>
                <w:rFonts w:ascii="Calibri" w:eastAsia="Times New Roman" w:hAnsi="Calibri" w:cs="Calibri"/>
                <w:b/>
                <w:bCs/>
                <w:color w:val="000000" w:themeColor="text1"/>
                <w:kern w:val="24"/>
                <w:lang w:eastAsia="en-GB"/>
              </w:rPr>
              <w:t>net-zero technologies, accessible design + gender-inclusive safety standards</w:t>
            </w:r>
            <w:r w:rsidRPr="00163694">
              <w:rPr>
                <w:rFonts w:ascii="Calibri" w:eastAsia="Times New Roman" w:hAnsi="Calibri" w:cs="Calibri"/>
                <w:color w:val="000000" w:themeColor="text1"/>
                <w:kern w:val="24"/>
                <w:lang w:eastAsia="en-GB"/>
              </w:rPr>
              <w:t>.</w:t>
            </w:r>
          </w:p>
        </w:tc>
      </w:tr>
      <w:tr w:rsidR="00163694" w:rsidRPr="00163694" w14:paraId="430900A7" w14:textId="77777777" w:rsidTr="00163694">
        <w:trPr>
          <w:trHeight w:val="1086"/>
        </w:trPr>
        <w:tc>
          <w:tcPr>
            <w:tcW w:w="3685" w:type="dxa"/>
            <w:tcBorders>
              <w:top w:val="nil"/>
              <w:left w:val="nil"/>
              <w:bottom w:val="nil"/>
              <w:right w:val="nil"/>
            </w:tcBorders>
            <w:tcMar>
              <w:top w:w="54" w:type="dxa"/>
              <w:left w:w="107" w:type="dxa"/>
              <w:bottom w:w="54" w:type="dxa"/>
              <w:right w:w="107" w:type="dxa"/>
            </w:tcMar>
            <w:vAlign w:val="center"/>
            <w:hideMark/>
          </w:tcPr>
          <w:p w14:paraId="5F47ADDD"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b/>
                <w:bCs/>
                <w:color w:val="000000" w:themeColor="text1"/>
                <w:kern w:val="24"/>
                <w:lang w:eastAsia="en-GB"/>
              </w:rPr>
              <w:t>Voice</w:t>
            </w:r>
          </w:p>
        </w:tc>
        <w:tc>
          <w:tcPr>
            <w:tcW w:w="3882" w:type="dxa"/>
            <w:tcBorders>
              <w:top w:val="nil"/>
              <w:left w:val="nil"/>
              <w:bottom w:val="nil"/>
              <w:right w:val="nil"/>
            </w:tcBorders>
            <w:tcMar>
              <w:top w:w="54" w:type="dxa"/>
              <w:left w:w="107" w:type="dxa"/>
              <w:bottom w:w="54" w:type="dxa"/>
              <w:right w:w="107" w:type="dxa"/>
            </w:tcMar>
            <w:vAlign w:val="center"/>
            <w:hideMark/>
          </w:tcPr>
          <w:p w14:paraId="5BE5ECC5"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Women in leadership roles give visibility, challenge biases, and reshape masculine cultures.</w:t>
            </w:r>
          </w:p>
        </w:tc>
        <w:tc>
          <w:tcPr>
            <w:tcW w:w="3900" w:type="dxa"/>
            <w:tcBorders>
              <w:top w:val="nil"/>
              <w:left w:val="nil"/>
              <w:bottom w:val="nil"/>
              <w:right w:val="nil"/>
            </w:tcBorders>
            <w:tcMar>
              <w:top w:w="54" w:type="dxa"/>
              <w:left w:w="107" w:type="dxa"/>
              <w:bottom w:w="54" w:type="dxa"/>
              <w:right w:w="107" w:type="dxa"/>
            </w:tcMar>
            <w:vAlign w:val="center"/>
            <w:hideMark/>
          </w:tcPr>
          <w:p w14:paraId="1EB93A94"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 xml:space="preserve">Inspires more women into mechanical engineering → </w:t>
            </w:r>
            <w:r w:rsidRPr="00163694">
              <w:rPr>
                <w:rFonts w:ascii="Calibri" w:eastAsia="Times New Roman" w:hAnsi="Calibri" w:cs="Calibri"/>
                <w:b/>
                <w:bCs/>
                <w:color w:val="000000" w:themeColor="text1"/>
                <w:kern w:val="24"/>
                <w:lang w:eastAsia="en-GB"/>
              </w:rPr>
              <w:t>fixing the pipeline</w:t>
            </w:r>
            <w:r w:rsidRPr="00163694">
              <w:rPr>
                <w:rFonts w:ascii="Calibri" w:eastAsia="Times New Roman" w:hAnsi="Calibri" w:cs="Calibri"/>
                <w:color w:val="000000" w:themeColor="text1"/>
                <w:kern w:val="24"/>
                <w:lang w:eastAsia="en-GB"/>
              </w:rPr>
              <w:t>.</w:t>
            </w:r>
          </w:p>
        </w:tc>
      </w:tr>
      <w:tr w:rsidR="00163694" w:rsidRPr="00163694" w14:paraId="6DB76D5D" w14:textId="77777777" w:rsidTr="00163694">
        <w:trPr>
          <w:trHeight w:val="1086"/>
        </w:trPr>
        <w:tc>
          <w:tcPr>
            <w:tcW w:w="3685" w:type="dxa"/>
            <w:tcBorders>
              <w:top w:val="nil"/>
              <w:left w:val="nil"/>
              <w:bottom w:val="nil"/>
              <w:right w:val="nil"/>
            </w:tcBorders>
            <w:tcMar>
              <w:top w:w="54" w:type="dxa"/>
              <w:left w:w="107" w:type="dxa"/>
              <w:bottom w:w="54" w:type="dxa"/>
              <w:right w:w="107" w:type="dxa"/>
            </w:tcMar>
            <w:vAlign w:val="center"/>
            <w:hideMark/>
          </w:tcPr>
          <w:p w14:paraId="4B6AEC0C"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b/>
                <w:bCs/>
                <w:color w:val="000000" w:themeColor="text1"/>
                <w:kern w:val="24"/>
                <w:lang w:eastAsia="en-GB"/>
              </w:rPr>
              <w:t>Virtue</w:t>
            </w:r>
          </w:p>
        </w:tc>
        <w:tc>
          <w:tcPr>
            <w:tcW w:w="3882" w:type="dxa"/>
            <w:tcBorders>
              <w:top w:val="nil"/>
              <w:left w:val="nil"/>
              <w:bottom w:val="nil"/>
              <w:right w:val="nil"/>
            </w:tcBorders>
            <w:tcMar>
              <w:top w:w="54" w:type="dxa"/>
              <w:left w:w="107" w:type="dxa"/>
              <w:bottom w:w="54" w:type="dxa"/>
              <w:right w:w="107" w:type="dxa"/>
            </w:tcMar>
            <w:vAlign w:val="center"/>
            <w:hideMark/>
          </w:tcPr>
          <w:p w14:paraId="5FEE58FB"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Women often advocate transparency, fairness and accountability in organisations.</w:t>
            </w:r>
          </w:p>
        </w:tc>
        <w:tc>
          <w:tcPr>
            <w:tcW w:w="3900" w:type="dxa"/>
            <w:tcBorders>
              <w:top w:val="nil"/>
              <w:left w:val="nil"/>
              <w:bottom w:val="nil"/>
              <w:right w:val="nil"/>
            </w:tcBorders>
            <w:tcMar>
              <w:top w:w="54" w:type="dxa"/>
              <w:left w:w="107" w:type="dxa"/>
              <w:bottom w:w="54" w:type="dxa"/>
              <w:right w:w="107" w:type="dxa"/>
            </w:tcMar>
            <w:vAlign w:val="center"/>
            <w:hideMark/>
          </w:tcPr>
          <w:p w14:paraId="55D8801B" w14:textId="77777777" w:rsidR="00163694" w:rsidRPr="00163694" w:rsidRDefault="00163694" w:rsidP="00163694">
            <w:pPr>
              <w:spacing w:after="0" w:line="240" w:lineRule="auto"/>
              <w:rPr>
                <w:rFonts w:ascii="Arial" w:eastAsia="Times New Roman" w:hAnsi="Arial" w:cs="Arial"/>
                <w:lang w:eastAsia="en-GB"/>
              </w:rPr>
            </w:pPr>
            <w:r w:rsidRPr="00163694">
              <w:rPr>
                <w:rFonts w:ascii="Calibri" w:eastAsia="Times New Roman" w:hAnsi="Calibri" w:cs="Calibri"/>
                <w:color w:val="000000" w:themeColor="text1"/>
                <w:kern w:val="24"/>
                <w:lang w:eastAsia="en-GB"/>
              </w:rPr>
              <w:t>Strengthens ethical climate, reduces attrition and improves leadership legitimacy.</w:t>
            </w:r>
          </w:p>
        </w:tc>
      </w:tr>
    </w:tbl>
    <w:p w14:paraId="78214720" w14:textId="3CD6CC45" w:rsidR="00163694" w:rsidRPr="00163694" w:rsidRDefault="00163694" w:rsidP="00163694">
      <w:pPr>
        <w:rPr>
          <w:sz w:val="24"/>
          <w:szCs w:val="24"/>
        </w:rPr>
      </w:pPr>
      <w:r w:rsidRPr="00163694">
        <w:rPr>
          <w:sz w:val="24"/>
          <w:szCs w:val="24"/>
        </w:rPr>
        <w:t>The 4 V Model</w:t>
      </w:r>
    </w:p>
    <w:p w14:paraId="0521D979" w14:textId="77777777" w:rsidR="00163694" w:rsidRDefault="00163694" w:rsidP="00163694"/>
    <w:p w14:paraId="75976BE8" w14:textId="3DB23879" w:rsidR="00163694" w:rsidRDefault="009F43BD" w:rsidP="00163694">
      <w:r w:rsidRPr="009F43BD">
        <w:t>(Smith, 2023; Ewim and Dosumnu, 2025)</w:t>
      </w:r>
    </w:p>
    <w:p w14:paraId="76069A83" w14:textId="77777777" w:rsidR="00163694" w:rsidRDefault="00163694" w:rsidP="00163694"/>
    <w:p w14:paraId="40311475" w14:textId="77777777" w:rsidR="00163694" w:rsidRDefault="00163694" w:rsidP="00163694"/>
    <w:p w14:paraId="71267024" w14:textId="77777777" w:rsidR="00163694" w:rsidRDefault="00163694" w:rsidP="00163694"/>
    <w:p w14:paraId="70AB5F0B" w14:textId="77777777" w:rsidR="00163694" w:rsidRPr="00163694" w:rsidRDefault="00163694" w:rsidP="00163694"/>
    <w:sectPr w:rsidR="00163694" w:rsidRPr="00163694" w:rsidSect="007D1947">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0F32B" w14:textId="77777777" w:rsidR="005A6B54" w:rsidRDefault="005A6B54" w:rsidP="00556419">
      <w:pPr>
        <w:spacing w:after="0" w:line="240" w:lineRule="auto"/>
      </w:pPr>
      <w:r>
        <w:separator/>
      </w:r>
    </w:p>
  </w:endnote>
  <w:endnote w:type="continuationSeparator" w:id="0">
    <w:p w14:paraId="51E8D101" w14:textId="77777777" w:rsidR="005A6B54" w:rsidRDefault="005A6B54" w:rsidP="0055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8306193"/>
      <w:docPartObj>
        <w:docPartGallery w:val="Page Numbers (Bottom of Page)"/>
        <w:docPartUnique/>
      </w:docPartObj>
    </w:sdtPr>
    <w:sdtContent>
      <w:p w14:paraId="6EA8290F" w14:textId="0B76A15D"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175">
          <w:rPr>
            <w:rStyle w:val="PageNumber"/>
            <w:noProof/>
          </w:rPr>
          <w:t>1</w:t>
        </w:r>
        <w:r>
          <w:rPr>
            <w:rStyle w:val="PageNumber"/>
          </w:rPr>
          <w:fldChar w:fldCharType="end"/>
        </w:r>
      </w:p>
    </w:sdtContent>
  </w:sdt>
  <w:p w14:paraId="363371F9" w14:textId="77777777" w:rsidR="00556419" w:rsidRDefault="00556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355912"/>
      <w:docPartObj>
        <w:docPartGallery w:val="Page Numbers (Bottom of Page)"/>
        <w:docPartUnique/>
      </w:docPartObj>
    </w:sdtPr>
    <w:sdtContent>
      <w:p w14:paraId="732AD353" w14:textId="4055F7C5"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13EE35" w14:textId="77777777" w:rsidR="00163694" w:rsidRDefault="00163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1D2E0" w14:textId="77777777" w:rsidR="005A6B54" w:rsidRDefault="005A6B54" w:rsidP="00556419">
      <w:pPr>
        <w:spacing w:after="0" w:line="240" w:lineRule="auto"/>
      </w:pPr>
      <w:r>
        <w:separator/>
      </w:r>
    </w:p>
  </w:footnote>
  <w:footnote w:type="continuationSeparator" w:id="0">
    <w:p w14:paraId="34CC82F2" w14:textId="77777777" w:rsidR="005A6B54" w:rsidRDefault="005A6B54" w:rsidP="00556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4344D8"/>
    <w:multiLevelType w:val="multilevel"/>
    <w:tmpl w:val="1C1E33F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59B96301"/>
    <w:multiLevelType w:val="hybridMultilevel"/>
    <w:tmpl w:val="81FE84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3147AC"/>
    <w:multiLevelType w:val="hybridMultilevel"/>
    <w:tmpl w:val="9572D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242106">
    <w:abstractNumId w:val="0"/>
  </w:num>
  <w:num w:numId="2" w16cid:durableId="2000496873">
    <w:abstractNumId w:val="1"/>
  </w:num>
  <w:num w:numId="3" w16cid:durableId="980310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BB5"/>
    <w:rsid w:val="00003771"/>
    <w:rsid w:val="000232C6"/>
    <w:rsid w:val="0002500E"/>
    <w:rsid w:val="000339D4"/>
    <w:rsid w:val="00043F88"/>
    <w:rsid w:val="0006420B"/>
    <w:rsid w:val="00097215"/>
    <w:rsid w:val="000C11FC"/>
    <w:rsid w:val="000C7F56"/>
    <w:rsid w:val="000E13CB"/>
    <w:rsid w:val="000F4531"/>
    <w:rsid w:val="001024F1"/>
    <w:rsid w:val="0010600B"/>
    <w:rsid w:val="00107936"/>
    <w:rsid w:val="00115B96"/>
    <w:rsid w:val="00163694"/>
    <w:rsid w:val="001644D9"/>
    <w:rsid w:val="00165538"/>
    <w:rsid w:val="0017794E"/>
    <w:rsid w:val="00181E47"/>
    <w:rsid w:val="001B50E1"/>
    <w:rsid w:val="001C0FA5"/>
    <w:rsid w:val="001E4BF3"/>
    <w:rsid w:val="001F0969"/>
    <w:rsid w:val="001F3370"/>
    <w:rsid w:val="001F595F"/>
    <w:rsid w:val="00201447"/>
    <w:rsid w:val="0020529C"/>
    <w:rsid w:val="00222603"/>
    <w:rsid w:val="00271003"/>
    <w:rsid w:val="00292977"/>
    <w:rsid w:val="002A70F6"/>
    <w:rsid w:val="002C70AB"/>
    <w:rsid w:val="002E1806"/>
    <w:rsid w:val="002F16D1"/>
    <w:rsid w:val="00305893"/>
    <w:rsid w:val="00306F82"/>
    <w:rsid w:val="00307352"/>
    <w:rsid w:val="00324CCD"/>
    <w:rsid w:val="00326936"/>
    <w:rsid w:val="003320E0"/>
    <w:rsid w:val="003935C8"/>
    <w:rsid w:val="003950A6"/>
    <w:rsid w:val="003A1241"/>
    <w:rsid w:val="003C4E05"/>
    <w:rsid w:val="003C5ABE"/>
    <w:rsid w:val="003D1BC6"/>
    <w:rsid w:val="003D6202"/>
    <w:rsid w:val="00405F3D"/>
    <w:rsid w:val="004214AC"/>
    <w:rsid w:val="004327FF"/>
    <w:rsid w:val="004362EC"/>
    <w:rsid w:val="00446D2C"/>
    <w:rsid w:val="004540D2"/>
    <w:rsid w:val="004704CF"/>
    <w:rsid w:val="00480651"/>
    <w:rsid w:val="00480872"/>
    <w:rsid w:val="004917D4"/>
    <w:rsid w:val="004A11F6"/>
    <w:rsid w:val="004B0CCC"/>
    <w:rsid w:val="004B6E7B"/>
    <w:rsid w:val="004C0416"/>
    <w:rsid w:val="004C4081"/>
    <w:rsid w:val="004C4629"/>
    <w:rsid w:val="004C4962"/>
    <w:rsid w:val="004D519C"/>
    <w:rsid w:val="005014C5"/>
    <w:rsid w:val="00535815"/>
    <w:rsid w:val="00556419"/>
    <w:rsid w:val="00576993"/>
    <w:rsid w:val="005A676C"/>
    <w:rsid w:val="005A6B54"/>
    <w:rsid w:val="005C3842"/>
    <w:rsid w:val="005C5F88"/>
    <w:rsid w:val="005C7175"/>
    <w:rsid w:val="00602EFA"/>
    <w:rsid w:val="006049A8"/>
    <w:rsid w:val="00612187"/>
    <w:rsid w:val="0062370D"/>
    <w:rsid w:val="00636902"/>
    <w:rsid w:val="00644173"/>
    <w:rsid w:val="00693E27"/>
    <w:rsid w:val="006C0358"/>
    <w:rsid w:val="006C1863"/>
    <w:rsid w:val="006D234D"/>
    <w:rsid w:val="006F7869"/>
    <w:rsid w:val="0072710B"/>
    <w:rsid w:val="0074377E"/>
    <w:rsid w:val="00767E96"/>
    <w:rsid w:val="0077203A"/>
    <w:rsid w:val="00792703"/>
    <w:rsid w:val="007D1947"/>
    <w:rsid w:val="007F465E"/>
    <w:rsid w:val="007F7D6E"/>
    <w:rsid w:val="00824117"/>
    <w:rsid w:val="00842524"/>
    <w:rsid w:val="008549FA"/>
    <w:rsid w:val="008647F2"/>
    <w:rsid w:val="00890FF2"/>
    <w:rsid w:val="008A4F29"/>
    <w:rsid w:val="008B2764"/>
    <w:rsid w:val="008D0D0B"/>
    <w:rsid w:val="008D4C45"/>
    <w:rsid w:val="008F6E84"/>
    <w:rsid w:val="00910270"/>
    <w:rsid w:val="00931CAA"/>
    <w:rsid w:val="00954800"/>
    <w:rsid w:val="0098192D"/>
    <w:rsid w:val="00983CC8"/>
    <w:rsid w:val="009A17F6"/>
    <w:rsid w:val="009A2CC0"/>
    <w:rsid w:val="009B3938"/>
    <w:rsid w:val="009D4F3B"/>
    <w:rsid w:val="009E5D23"/>
    <w:rsid w:val="009F43BD"/>
    <w:rsid w:val="00A053C7"/>
    <w:rsid w:val="00A11150"/>
    <w:rsid w:val="00A12B58"/>
    <w:rsid w:val="00A17E07"/>
    <w:rsid w:val="00A4233F"/>
    <w:rsid w:val="00A43D33"/>
    <w:rsid w:val="00A521A2"/>
    <w:rsid w:val="00A66E3A"/>
    <w:rsid w:val="00AA11DE"/>
    <w:rsid w:val="00AA2A91"/>
    <w:rsid w:val="00AD0E85"/>
    <w:rsid w:val="00AD54A4"/>
    <w:rsid w:val="00AE2323"/>
    <w:rsid w:val="00AE6046"/>
    <w:rsid w:val="00AE78F9"/>
    <w:rsid w:val="00B13CD3"/>
    <w:rsid w:val="00B30EFB"/>
    <w:rsid w:val="00B32C92"/>
    <w:rsid w:val="00B47391"/>
    <w:rsid w:val="00B70B1D"/>
    <w:rsid w:val="00B80BAB"/>
    <w:rsid w:val="00B827CC"/>
    <w:rsid w:val="00BE48EC"/>
    <w:rsid w:val="00BF20E3"/>
    <w:rsid w:val="00C17880"/>
    <w:rsid w:val="00C25AAA"/>
    <w:rsid w:val="00C27BF7"/>
    <w:rsid w:val="00C43E25"/>
    <w:rsid w:val="00C62579"/>
    <w:rsid w:val="00C65E3B"/>
    <w:rsid w:val="00C75851"/>
    <w:rsid w:val="00CA09F3"/>
    <w:rsid w:val="00CA74EA"/>
    <w:rsid w:val="00CB4AC0"/>
    <w:rsid w:val="00CC3450"/>
    <w:rsid w:val="00D17733"/>
    <w:rsid w:val="00D36FB7"/>
    <w:rsid w:val="00D46DFB"/>
    <w:rsid w:val="00D648E5"/>
    <w:rsid w:val="00D854A5"/>
    <w:rsid w:val="00DB65BD"/>
    <w:rsid w:val="00DD0C45"/>
    <w:rsid w:val="00DD2626"/>
    <w:rsid w:val="00DD7516"/>
    <w:rsid w:val="00DF72CD"/>
    <w:rsid w:val="00E32E43"/>
    <w:rsid w:val="00E426AB"/>
    <w:rsid w:val="00E558E2"/>
    <w:rsid w:val="00E71644"/>
    <w:rsid w:val="00E7582F"/>
    <w:rsid w:val="00E84AE0"/>
    <w:rsid w:val="00E853F5"/>
    <w:rsid w:val="00E91208"/>
    <w:rsid w:val="00ED6D4D"/>
    <w:rsid w:val="00F12A81"/>
    <w:rsid w:val="00F14915"/>
    <w:rsid w:val="00F24A27"/>
    <w:rsid w:val="00F35AA4"/>
    <w:rsid w:val="00F449E5"/>
    <w:rsid w:val="00F5166A"/>
    <w:rsid w:val="00F55366"/>
    <w:rsid w:val="00F803B3"/>
    <w:rsid w:val="00F83291"/>
    <w:rsid w:val="00F86F04"/>
    <w:rsid w:val="00FB1530"/>
    <w:rsid w:val="00FB3594"/>
    <w:rsid w:val="00FD163C"/>
    <w:rsid w:val="00FD7C6A"/>
    <w:rsid w:val="00FE2A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46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B153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556419"/>
    <w:pPr>
      <w:ind w:left="720"/>
      <w:contextualSpacing/>
    </w:pPr>
  </w:style>
  <w:style w:type="paragraph" w:styleId="Footer">
    <w:name w:val="footer"/>
    <w:basedOn w:val="Normal"/>
    <w:link w:val="FooterChar"/>
    <w:uiPriority w:val="99"/>
    <w:unhideWhenUsed/>
    <w:rsid w:val="00556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19"/>
  </w:style>
  <w:style w:type="character" w:styleId="PageNumber">
    <w:name w:val="page number"/>
    <w:basedOn w:val="DefaultParagraphFont"/>
    <w:uiPriority w:val="99"/>
    <w:semiHidden/>
    <w:unhideWhenUsed/>
    <w:rsid w:val="00556419"/>
  </w:style>
  <w:style w:type="paragraph" w:styleId="Caption">
    <w:name w:val="caption"/>
    <w:basedOn w:val="Normal"/>
    <w:next w:val="Normal"/>
    <w:uiPriority w:val="35"/>
    <w:unhideWhenUsed/>
    <w:qFormat/>
    <w:rsid w:val="00BE48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8EC"/>
    <w:pPr>
      <w:spacing w:after="0"/>
    </w:pPr>
  </w:style>
  <w:style w:type="character" w:customStyle="1" w:styleId="Heading3Char">
    <w:name w:val="Heading 3 Char"/>
    <w:basedOn w:val="DefaultParagraphFont"/>
    <w:link w:val="Heading3"/>
    <w:uiPriority w:val="9"/>
    <w:rsid w:val="007F465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F465E"/>
    <w:pPr>
      <w:spacing w:after="100"/>
      <w:ind w:left="440"/>
    </w:pPr>
  </w:style>
  <w:style w:type="paragraph" w:styleId="Header">
    <w:name w:val="header"/>
    <w:basedOn w:val="Normal"/>
    <w:link w:val="HeaderChar"/>
    <w:uiPriority w:val="99"/>
    <w:unhideWhenUsed/>
    <w:rsid w:val="005C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175"/>
  </w:style>
  <w:style w:type="table" w:styleId="TableGrid">
    <w:name w:val="Table Grid"/>
    <w:basedOn w:val="TableNormal"/>
    <w:uiPriority w:val="39"/>
    <w:rsid w:val="00C43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71003"/>
    <w:rPr>
      <w:color w:val="605E5C"/>
      <w:shd w:val="clear" w:color="auto" w:fill="E1DFDD"/>
    </w:rPr>
  </w:style>
  <w:style w:type="character" w:customStyle="1" w:styleId="Heading4Char">
    <w:name w:val="Heading 4 Char"/>
    <w:basedOn w:val="DefaultParagraphFont"/>
    <w:link w:val="Heading4"/>
    <w:uiPriority w:val="9"/>
    <w:rsid w:val="00FB1530"/>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1636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c.europa.eu/eurostat/web/products-eurostat-news/w/ddn-20240308-2" TargetMode="Externa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doi.org/10.1073/pnas.2109439118"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ukdataservice.ac.uk/app/uploads/horton2023-02-02.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andfonline.com/doi/full/10.1080/10463283.2022.2109294"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dpi.com/2673-8104/3/2/21"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74F4"/>
    <w:rsid w:val="00145AD8"/>
    <w:rsid w:val="00242260"/>
    <w:rsid w:val="002450A7"/>
    <w:rsid w:val="002C34BF"/>
    <w:rsid w:val="003203C2"/>
    <w:rsid w:val="004D25D2"/>
    <w:rsid w:val="009D7389"/>
    <w:rsid w:val="00A34C42"/>
    <w:rsid w:val="00B508CE"/>
    <w:rsid w:val="00BC1251"/>
    <w:rsid w:val="00C67429"/>
    <w:rsid w:val="00D020DE"/>
    <w:rsid w:val="00E853F5"/>
    <w:rsid w:val="00F829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1B84ED-D4A3-464E-8FF9-F2BB81A7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6635</TotalTime>
  <Pages>18</Pages>
  <Words>4406</Words>
  <Characters>25118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PLAN</dc:title>
  <dc:subject>IRINA KITLEY 2219546</dc:subject>
  <dc:creator>Marie Pitson</dc:creator>
  <cp:keywords/>
  <dc:description/>
  <cp:lastModifiedBy>Irina Kitley</cp:lastModifiedBy>
  <cp:revision>207</cp:revision>
  <cp:lastPrinted>2026-01-11T18:20:00Z</cp:lastPrinted>
  <dcterms:created xsi:type="dcterms:W3CDTF">2026-01-06T10:55:00Z</dcterms:created>
  <dcterms:modified xsi:type="dcterms:W3CDTF">2026-01-12T11:10:00Z</dcterms:modified>
</cp:coreProperties>
</file>