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F66A4B" w14:textId="2E448A08" w:rsidR="00C41523" w:rsidRDefault="00F7657D" w:rsidP="00FF53EE">
      <w:pPr>
        <w:pStyle w:val="Title"/>
      </w:pPr>
      <w:r w:rsidRPr="00F7657D">
        <w:t>WRITTEN EXERCISE ON EARLY TEXTUAL HISTORY &amp; PERFORMANCE</w:t>
      </w:r>
    </w:p>
    <w:p w14:paraId="3A5C6E4E" w14:textId="77777777" w:rsidR="00F7657D" w:rsidRDefault="00F7657D" w:rsidP="00FF53EE"/>
    <w:p w14:paraId="37E07FED" w14:textId="4C4AD822" w:rsidR="00F7657D" w:rsidRPr="0080369F" w:rsidRDefault="00F7657D" w:rsidP="00FF53EE">
      <w:r w:rsidRPr="0080369F">
        <w:t>THE | TRAGICALL | Hiſtory of D. Fauſtus. | As It Hath Bene Acted by the Right | Honorable Earle of Nottingham his ʃervants | Written by Ch. Marl. | [printer’s device] | LONDON | Written by V.S. for Thomas Buſhell 1604</w:t>
      </w:r>
      <w:r w:rsidR="006A35D5" w:rsidRPr="0080369F">
        <w:t>.</w:t>
      </w:r>
    </w:p>
    <w:p w14:paraId="66854A33" w14:textId="1C6C553A" w:rsidR="00F7657D" w:rsidRPr="0080369F" w:rsidRDefault="00F7657D" w:rsidP="00FF53EE">
      <w:r w:rsidRPr="0080369F">
        <w:t>The earliest printed version of Doctor Faustus, as was its later editions, was formatted in Quarto.</w:t>
      </w:r>
    </w:p>
    <w:p w14:paraId="35FE8C3A" w14:textId="0D406877" w:rsidR="00AD696A" w:rsidRPr="0080369F" w:rsidRDefault="00F7657D" w:rsidP="00FF53EE">
      <w:r w:rsidRPr="0080369F">
        <w:t>The first copy of Doctor Faustus was printed by Valentine Simmes for Thomas Bushell in 1604</w:t>
      </w:r>
      <w:r w:rsidR="00967085" w:rsidRPr="0080369F">
        <w:rPr>
          <w:rStyle w:val="FootnoteReference"/>
        </w:rPr>
        <w:footnoteReference w:id="1"/>
      </w:r>
      <w:r w:rsidRPr="0080369F">
        <w:t>. This copy, often referred to by scholars as the “A-Text”, was entered into the Stationers</w:t>
      </w:r>
      <w:r w:rsidR="00FC4875" w:rsidRPr="0080369F">
        <w:t xml:space="preserve">’ </w:t>
      </w:r>
      <w:r w:rsidRPr="0080369F">
        <w:t>Regist</w:t>
      </w:r>
      <w:r w:rsidR="00FC4875" w:rsidRPr="0080369F">
        <w:t>er</w:t>
      </w:r>
      <w:r w:rsidRPr="0080369F">
        <w:t xml:space="preserve"> on the 7</w:t>
      </w:r>
      <w:r w:rsidRPr="0080369F">
        <w:rPr>
          <w:vertAlign w:val="superscript"/>
        </w:rPr>
        <w:t>th</w:t>
      </w:r>
      <w:r w:rsidRPr="0080369F">
        <w:t xml:space="preserve"> of January 1601</w:t>
      </w:r>
      <w:r w:rsidR="00F25AEA">
        <w:t xml:space="preserve"> by Bushell</w:t>
      </w:r>
      <w:r w:rsidR="006A35D5" w:rsidRPr="0080369F">
        <w:rPr>
          <w:rStyle w:val="FootnoteReference"/>
        </w:rPr>
        <w:footnoteReference w:id="2"/>
      </w:r>
      <w:r w:rsidRPr="0080369F">
        <w:t xml:space="preserve">. </w:t>
      </w:r>
      <w:r w:rsidR="00FC4875" w:rsidRPr="0080369F">
        <w:t>Bushell had been born to tailor Robert Bushell</w:t>
      </w:r>
      <w:r w:rsidRPr="0080369F">
        <w:t xml:space="preserve"> </w:t>
      </w:r>
      <w:r w:rsidR="00FC4875" w:rsidRPr="0080369F">
        <w:t xml:space="preserve">and grew up the proverbial ranks as an apprentice to bookseller Nicholas Ling between the disputed dates of 1590 or 1591 to 1598 or 1599 before </w:t>
      </w:r>
      <w:r w:rsidR="00430813">
        <w:t>he was admitted to his freedom</w:t>
      </w:r>
      <w:r w:rsidR="00FC4875" w:rsidRPr="0080369F">
        <w:t>.</w:t>
      </w:r>
      <w:r w:rsidR="008E4348" w:rsidRPr="0080369F">
        <w:rPr>
          <w:rStyle w:val="FootnoteReference"/>
        </w:rPr>
        <w:footnoteReference w:id="3"/>
      </w:r>
    </w:p>
    <w:p w14:paraId="446E4EC7" w14:textId="77777777" w:rsidR="00430813" w:rsidRDefault="00FC4875" w:rsidP="00FF53EE">
      <w:r w:rsidRPr="0080369F">
        <w:t>On the other hand, Simmes was the son of Richard Symmes of Adderbury, a shereman</w:t>
      </w:r>
      <w:r w:rsidR="00F900FF" w:rsidRPr="0080369F">
        <w:t>. Much like Bushell, Simmes started his career apprenticing for stationer and bookseller, Henry Sutton, in 1576, but at h</w:t>
      </w:r>
      <w:r w:rsidR="00430813">
        <w:t xml:space="preserve">is master’s </w:t>
      </w:r>
      <w:r w:rsidR="00F900FF" w:rsidRPr="0080369F">
        <w:t xml:space="preserve">request, </w:t>
      </w:r>
      <w:r w:rsidR="00430813">
        <w:t xml:space="preserve">Simmes was </w:t>
      </w:r>
      <w:r w:rsidR="00F900FF" w:rsidRPr="0080369F">
        <w:t>transferred to printer Henry Bynneman</w:t>
      </w:r>
      <w:r w:rsidR="008E4348" w:rsidRPr="0080369F">
        <w:t xml:space="preserve">. </w:t>
      </w:r>
      <w:r w:rsidR="00F900FF" w:rsidRPr="0080369F">
        <w:t>Unfortunately, Bynneman died in 158</w:t>
      </w:r>
      <w:r w:rsidR="00AD696A" w:rsidRPr="0080369F">
        <w:t xml:space="preserve">4, and a year later, Simmes was “presented for his freedom” by the widowed Joane Sutton. From the beginning, Simmes was getting in trouble for publishing works contrary to England’s norm, referred to as being “obnoxious”, </w:t>
      </w:r>
      <w:r w:rsidR="00AD696A" w:rsidRPr="0080369F">
        <w:lastRenderedPageBreak/>
        <w:t>and other men’s property</w:t>
      </w:r>
      <w:r w:rsidR="00430813">
        <w:t xml:space="preserve"> without permission</w:t>
      </w:r>
      <w:r w:rsidR="00AD696A" w:rsidRPr="0080369F">
        <w:t>. In 1589, he was arrested alongside various other compositors at Martin</w:t>
      </w:r>
      <w:r w:rsidR="007A0538" w:rsidRPr="0080369F">
        <w:t xml:space="preserve"> </w:t>
      </w:r>
      <w:r w:rsidR="00AD696A" w:rsidRPr="0080369F">
        <w:t>Ma</w:t>
      </w:r>
      <w:r w:rsidR="007A0538" w:rsidRPr="0080369F">
        <w:t>r</w:t>
      </w:r>
      <w:r w:rsidR="00AD696A" w:rsidRPr="0080369F">
        <w:t xml:space="preserve">prelate Press. </w:t>
      </w:r>
    </w:p>
    <w:p w14:paraId="1DDD2DC2" w14:textId="2FCF72A7" w:rsidR="00F7657D" w:rsidRPr="0080369F" w:rsidRDefault="00AD696A" w:rsidP="00FF53EE">
      <w:r w:rsidRPr="0080369F">
        <w:t xml:space="preserve">Another incident occurred when he was caught printing the “Grammar and Accidents” in his own press in 1595. Authorities seized his press, melted his type (or letters for printing), and strong-armed him into </w:t>
      </w:r>
      <w:r w:rsidR="007A0538" w:rsidRPr="0080369F">
        <w:t xml:space="preserve">transferring his </w:t>
      </w:r>
      <w:r w:rsidR="000258F8" w:rsidRPr="0080369F">
        <w:t>apprentice</w:t>
      </w:r>
      <w:r w:rsidR="007A0538" w:rsidRPr="0080369F">
        <w:t xml:space="preserve"> to </w:t>
      </w:r>
      <w:r w:rsidRPr="0080369F">
        <w:t xml:space="preserve">James Roberts. </w:t>
      </w:r>
      <w:r w:rsidR="007A0538" w:rsidRPr="0080369F">
        <w:t>He was forbidden to take another until his last was “out of his time.”</w:t>
      </w:r>
      <w:r w:rsidR="00B75807" w:rsidRPr="0080369F">
        <w:rPr>
          <w:rStyle w:val="FootnoteReference"/>
        </w:rPr>
        <w:footnoteReference w:id="4"/>
      </w:r>
      <w:r w:rsidR="007A0538" w:rsidRPr="0080369F">
        <w:t xml:space="preserve"> Simmes even appeared as one of the fourteen names on a list of printers forbidden to print “satyres or epigrams.” He continued his morally ambiguous charades across London up until at least 1622, at which point he was prohibited by the High Commissioners from working as a master printer, rendering him only able to serve and not own.</w:t>
      </w:r>
      <w:r w:rsidR="00AC3418" w:rsidRPr="0080369F">
        <w:rPr>
          <w:rStyle w:val="FootnoteReference"/>
        </w:rPr>
        <w:t xml:space="preserve"> </w:t>
      </w:r>
      <w:r w:rsidR="00AC3418" w:rsidRPr="0080369F">
        <w:rPr>
          <w:rStyle w:val="FootnoteReference"/>
        </w:rPr>
        <w:footnoteReference w:id="5"/>
      </w:r>
    </w:p>
    <w:p w14:paraId="373A8B24" w14:textId="66B0BF2F" w:rsidR="0080369F" w:rsidRDefault="007A0538" w:rsidP="00FF53EE">
      <w:r w:rsidRPr="0080369F">
        <w:t xml:space="preserve">Despite </w:t>
      </w:r>
      <w:r w:rsidR="00F26A1C">
        <w:t>this</w:t>
      </w:r>
      <w:r w:rsidRPr="0080369F">
        <w:t xml:space="preserve">, Simmes’ press produced several of Shakespeare’s works, including the first quarto of “Much Ado About Nothing” and the second edition of “The First Part of King Henry the Fourth” for Matthew Lawe. His type was chiefly second-hand, yet this </w:t>
      </w:r>
      <w:r w:rsidR="005469FF" w:rsidRPr="0080369F">
        <w:t xml:space="preserve">allegedly had little effect on much of his </w:t>
      </w:r>
      <w:r w:rsidR="00F26A1C">
        <w:t xml:space="preserve">printed </w:t>
      </w:r>
      <w:r w:rsidR="005469FF" w:rsidRPr="0080369F">
        <w:t>work</w:t>
      </w:r>
      <w:r w:rsidR="00F26A1C">
        <w:t>s</w:t>
      </w:r>
      <w:r w:rsidR="008A1870" w:rsidRPr="0080369F">
        <w:rPr>
          <w:rStyle w:val="FootnoteReference"/>
        </w:rPr>
        <w:footnoteReference w:id="6"/>
      </w:r>
      <w:r w:rsidR="005469FF" w:rsidRPr="0080369F">
        <w:t xml:space="preserve">. </w:t>
      </w:r>
    </w:p>
    <w:p w14:paraId="5453B3D7" w14:textId="028B8224" w:rsidR="007A0538" w:rsidRPr="0080369F" w:rsidRDefault="0080369F" w:rsidP="00FF53EE">
      <w:r w:rsidRPr="0080369F">
        <w:t>In 1593, Christopher Marlowe was stabbed to death by Ingram Frizer after an argument broke out over who would pay the bill for their dinner</w:t>
      </w:r>
      <w:r w:rsidRPr="0080369F">
        <w:rPr>
          <w:rStyle w:val="FootnoteReference"/>
        </w:rPr>
        <w:footnoteReference w:id="7"/>
      </w:r>
      <w:r w:rsidRPr="0080369F">
        <w:t>. As a result, the most authentic version of Doctor Faustus may well have come from the</w:t>
      </w:r>
      <w:r>
        <w:t xml:space="preserve"> playing company, The</w:t>
      </w:r>
      <w:r w:rsidRPr="0080369F">
        <w:t xml:space="preserve"> Admiral’s Men. </w:t>
      </w:r>
      <w:r w:rsidRPr="0080369F">
        <w:lastRenderedPageBreak/>
        <w:t>Presumably, on the implications of the book’s title page, Bushell transcribed one of the performances to produce with Simmes the 1604 Quarto, the “A-Text” of Doctor Faustus</w:t>
      </w:r>
      <w:r w:rsidRPr="0080369F">
        <w:rPr>
          <w:rStyle w:val="FootnoteReference"/>
        </w:rPr>
        <w:footnoteReference w:id="8"/>
      </w:r>
      <w:r w:rsidRPr="0080369F">
        <w:t>.</w:t>
      </w:r>
    </w:p>
    <w:p w14:paraId="38A88263" w14:textId="7A4BB99F" w:rsidR="005469FF" w:rsidRPr="0080369F" w:rsidRDefault="00FF53EE" w:rsidP="00FF53EE">
      <w:r w:rsidRPr="0080369F">
        <w:t>The Admiral’s Men first formed in the 1570s</w:t>
      </w:r>
      <w:r w:rsidR="0080369F">
        <w:t>,</w:t>
      </w:r>
      <w:r w:rsidRPr="0080369F">
        <w:t xml:space="preserve"> patroned by </w:t>
      </w:r>
      <w:r w:rsidR="005469FF" w:rsidRPr="0080369F">
        <w:t>Charles Howard, First Earl of Nottingham</w:t>
      </w:r>
      <w:r w:rsidRPr="0080369F">
        <w:rPr>
          <w:rStyle w:val="FootnoteReference"/>
        </w:rPr>
        <w:footnoteReference w:id="9"/>
      </w:r>
      <w:r w:rsidRPr="0080369F">
        <w:t xml:space="preserve">. </w:t>
      </w:r>
      <w:r w:rsidR="005469FF" w:rsidRPr="0080369F">
        <w:t xml:space="preserve">When Howard became England’s Lord High Admiral in 1585, the company changed its name to the Admiral’s Men in </w:t>
      </w:r>
      <w:r w:rsidR="002E0988" w:rsidRPr="0080369F">
        <w:t>his honour</w:t>
      </w:r>
      <w:r w:rsidR="00AD2746" w:rsidRPr="0080369F">
        <w:t xml:space="preserve">. </w:t>
      </w:r>
    </w:p>
    <w:p w14:paraId="06A0E3DB" w14:textId="33E8E2F9" w:rsidR="00AD2746" w:rsidRPr="0080369F" w:rsidRDefault="001E46A5" w:rsidP="00FF53EE">
      <w:r w:rsidRPr="0080369F">
        <w:t>In the lattermost part of the 1580s, The Admiral’s Men established its long-term relationship with Philip Henslowe, producer</w:t>
      </w:r>
      <w:r w:rsidR="003515DB" w:rsidRPr="0080369F">
        <w:t>, impresario,</w:t>
      </w:r>
      <w:r w:rsidRPr="0080369F">
        <w:t xml:space="preserve"> and builder of Rose Theatre.</w:t>
      </w:r>
      <w:r w:rsidR="001136EA" w:rsidRPr="0080369F">
        <w:rPr>
          <w:rStyle w:val="FootnoteReference"/>
        </w:rPr>
        <w:footnoteReference w:id="10"/>
      </w:r>
      <w:r w:rsidR="00430813">
        <w:t xml:space="preserve"> In fact, leading man Edward Alleyn, who joined the company in 1587, married Henslowe’s stepdaughter Joan in 1592. </w:t>
      </w:r>
      <w:r w:rsidRPr="0080369F">
        <w:t xml:space="preserve">Henslowe was often referred to as the company’s manager, </w:t>
      </w:r>
      <w:r w:rsidR="00AD2746" w:rsidRPr="0080369F">
        <w:t xml:space="preserve">offering them residence at Rose and financial support. </w:t>
      </w:r>
    </w:p>
    <w:p w14:paraId="44617120" w14:textId="05BAC789" w:rsidR="00AD2746" w:rsidRPr="0080369F" w:rsidRDefault="00430813" w:rsidP="00FF53EE">
      <w:r>
        <w:t>Alleyn</w:t>
      </w:r>
      <w:r w:rsidR="003515DB" w:rsidRPr="0080369F">
        <w:t xml:space="preserve"> </w:t>
      </w:r>
      <w:r w:rsidR="00AD2746" w:rsidRPr="0080369F">
        <w:t xml:space="preserve">and his fellow actors, George Attewell, Thomas Downton, James Tunstall and Richard </w:t>
      </w:r>
      <w:r w:rsidR="003515DB" w:rsidRPr="0080369F">
        <w:t>Jones</w:t>
      </w:r>
      <w:r w:rsidR="00AD2746" w:rsidRPr="0080369F">
        <w:t xml:space="preserve">, </w:t>
      </w:r>
      <w:r w:rsidR="002E0988" w:rsidRPr="0080369F">
        <w:t>were</w:t>
      </w:r>
      <w:r w:rsidR="00AD2746" w:rsidRPr="0080369F">
        <w:t xml:space="preserve"> sensationalising London with their performance of Marlowe’s “Tamburlaine”, which would soon be printed in 1590 with their names on the title page</w:t>
      </w:r>
      <w:r w:rsidR="003515DB" w:rsidRPr="0080369F">
        <w:rPr>
          <w:rStyle w:val="FootnoteReference"/>
        </w:rPr>
        <w:footnoteReference w:id="11"/>
      </w:r>
      <w:r w:rsidR="00AD2746" w:rsidRPr="0080369F">
        <w:t xml:space="preserve">. Jones and Downton briefly defected to Pembroke’s Men, </w:t>
      </w:r>
      <w:r w:rsidR="00EE53D8" w:rsidRPr="0080369F">
        <w:t>until the</w:t>
      </w:r>
      <w:r w:rsidR="00AD2746" w:rsidRPr="0080369F">
        <w:t xml:space="preserve"> disastrous performance of Thomas Nashe and Ben Jonson’s “The Isle of Dogs”, they returned to Admiral’s Men.</w:t>
      </w:r>
      <w:r w:rsidR="00CA796C" w:rsidRPr="0080369F">
        <w:rPr>
          <w:rStyle w:val="FootnoteReference"/>
        </w:rPr>
        <w:footnoteReference w:id="12"/>
      </w:r>
      <w:r w:rsidR="00AD2746" w:rsidRPr="0080369F">
        <w:t xml:space="preserve"> </w:t>
      </w:r>
      <w:r w:rsidR="00FF53EE" w:rsidRPr="0080369F">
        <w:t xml:space="preserve">Beyond this, there is </w:t>
      </w:r>
      <w:r w:rsidR="00FF53EE" w:rsidRPr="0080369F">
        <w:lastRenderedPageBreak/>
        <w:t>little information on the actors, with the notable exception of Alleyn</w:t>
      </w:r>
      <w:r w:rsidR="000258F8" w:rsidRPr="0080369F">
        <w:t xml:space="preserve">, a Renaissance </w:t>
      </w:r>
      <w:r w:rsidR="00C1361F">
        <w:t>era</w:t>
      </w:r>
      <w:r w:rsidR="000258F8" w:rsidRPr="0080369F">
        <w:t xml:space="preserve"> celebrity</w:t>
      </w:r>
      <w:r w:rsidR="00FF53EE" w:rsidRPr="0080369F">
        <w:t xml:space="preserve">. </w:t>
      </w:r>
    </w:p>
    <w:p w14:paraId="06DCB204" w14:textId="42FA607A" w:rsidR="003515DB" w:rsidRPr="0080369F" w:rsidRDefault="00AD2746" w:rsidP="00FF53EE">
      <w:r w:rsidRPr="0080369F">
        <w:t>According to Philip Henslowe’s Diary, between 1594 and 1595, the Admiral’s Men were performing six days a week</w:t>
      </w:r>
      <w:r w:rsidR="003515DB" w:rsidRPr="0080369F">
        <w:t>, staging a total of 31 plays, almost two thirds of them being entirely new. T</w:t>
      </w:r>
      <w:r w:rsidR="00857617">
        <w:t xml:space="preserve">hey </w:t>
      </w:r>
      <w:r w:rsidR="003515DB" w:rsidRPr="0080369F">
        <w:t>played Marlowe’s “Tamburlaine Part One” fourteen times, followed by “Doctor Faustus” with twelve. Other Marlowe productions included “The Massacre at Paris”, “The Jew of Malta” and “Tamburlaine Part Two.”</w:t>
      </w:r>
      <w:r w:rsidR="003515DB" w:rsidRPr="0080369F">
        <w:rPr>
          <w:rStyle w:val="FootnoteReference"/>
        </w:rPr>
        <w:footnoteReference w:id="13"/>
      </w:r>
      <w:r w:rsidR="003515DB" w:rsidRPr="0080369F">
        <w:t xml:space="preserve"> </w:t>
      </w:r>
      <w:r w:rsidR="00FF53EE" w:rsidRPr="0080369F">
        <w:t xml:space="preserve">Edward Alleyn starred in all of these productions, garnering fame for both him and the company, to the point </w:t>
      </w:r>
      <w:r w:rsidR="00952134">
        <w:t>that</w:t>
      </w:r>
      <w:r w:rsidR="00FF53EE" w:rsidRPr="0080369F">
        <w:t xml:space="preserve"> it was expected by the audience</w:t>
      </w:r>
      <w:r w:rsidR="00952134">
        <w:t xml:space="preserve"> </w:t>
      </w:r>
      <w:r w:rsidR="00FF53EE" w:rsidRPr="0080369F">
        <w:t>he would continue to adopt similar, starring roles.</w:t>
      </w:r>
      <w:r w:rsidR="00FF53EE" w:rsidRPr="0080369F">
        <w:rPr>
          <w:rStyle w:val="FootnoteReference"/>
        </w:rPr>
        <w:footnoteReference w:id="14"/>
      </w:r>
    </w:p>
    <w:p w14:paraId="5A139D4C" w14:textId="77777777" w:rsidR="00F13FFC" w:rsidRDefault="001351DD" w:rsidP="00FF53EE">
      <w:r w:rsidRPr="0080369F">
        <w:t xml:space="preserve">Another print in Quarto was produced in 1609 by George Eld for John Wright, described as being </w:t>
      </w:r>
      <w:r w:rsidR="00952134">
        <w:t xml:space="preserve">almost </w:t>
      </w:r>
      <w:r w:rsidRPr="0080369F">
        <w:t>identical to the 1604 publication. A year later, Bushell transferred his rights to Faustus to Wright in the Stationers’ Register</w:t>
      </w:r>
      <w:r w:rsidR="006015BB" w:rsidRPr="0080369F">
        <w:rPr>
          <w:rStyle w:val="FootnoteReference"/>
        </w:rPr>
        <w:footnoteReference w:id="15"/>
      </w:r>
      <w:r w:rsidRPr="0080369F">
        <w:t xml:space="preserve">. </w:t>
      </w:r>
    </w:p>
    <w:p w14:paraId="4F105EAC" w14:textId="71030669" w:rsidR="00E27DDC" w:rsidRPr="0080369F" w:rsidRDefault="00F13FFC" w:rsidP="00FF53EE">
      <w:r>
        <w:t>A</w:t>
      </w:r>
      <w:r w:rsidR="001351DD" w:rsidRPr="0080369F">
        <w:t xml:space="preserve"> year after the transfer</w:t>
      </w:r>
      <w:r w:rsidR="00705622" w:rsidRPr="0080369F">
        <w:t>, another text was produced, presumably by Eld for Wright again, and presumably in the same format. But in 1616, a new version came out for John Wright, referred to as the “B-Text.” The “B-Text” may have been published by Wright himself and omitted 36 lines from the “A-Text” but added approximately 676 new ones, bulking the former’s 1485 words (a considerably short play for the English Renaissance) to about 2125</w:t>
      </w:r>
      <w:r w:rsidR="003710B5" w:rsidRPr="0080369F">
        <w:rPr>
          <w:rStyle w:val="FootnoteReference"/>
        </w:rPr>
        <w:footnoteReference w:id="16"/>
      </w:r>
      <w:r w:rsidR="00705622" w:rsidRPr="0080369F">
        <w:t>. Even small grammatical changes in the original</w:t>
      </w:r>
      <w:r w:rsidR="00952134">
        <w:t xml:space="preserve"> were discovered; i</w:t>
      </w:r>
      <w:r w:rsidR="00705622" w:rsidRPr="0080369F">
        <w:t xml:space="preserve">n </w:t>
      </w:r>
      <w:r w:rsidR="00420139" w:rsidRPr="0080369F">
        <w:t>A</w:t>
      </w:r>
      <w:r w:rsidR="00705622" w:rsidRPr="0080369F">
        <w:t xml:space="preserve">ct </w:t>
      </w:r>
      <w:r w:rsidR="00AA31DB" w:rsidRPr="0080369F">
        <w:t>II</w:t>
      </w:r>
      <w:r w:rsidR="00705622" w:rsidRPr="0080369F">
        <w:t xml:space="preserve"> scene </w:t>
      </w:r>
      <w:r w:rsidR="00AA31DB" w:rsidRPr="0080369F">
        <w:t>2-3</w:t>
      </w:r>
      <w:r w:rsidR="00705622" w:rsidRPr="0080369F">
        <w:t xml:space="preserve"> of the </w:t>
      </w:r>
      <w:r w:rsidR="00705622" w:rsidRPr="0080369F">
        <w:lastRenderedPageBreak/>
        <w:t xml:space="preserve">“A-Text”, the Good Angel </w:t>
      </w:r>
      <w:proofErr w:type="gramStart"/>
      <w:r w:rsidR="00705622" w:rsidRPr="0080369F">
        <w:t>states</w:t>
      </w:r>
      <w:proofErr w:type="gramEnd"/>
      <w:r w:rsidR="00705622" w:rsidRPr="0080369F">
        <w:t xml:space="preserve"> “Never too late, if Faustus can repent.”</w:t>
      </w:r>
      <w:r w:rsidR="00DF3FA1" w:rsidRPr="0080369F">
        <w:rPr>
          <w:rStyle w:val="FootnoteReference"/>
        </w:rPr>
        <w:footnoteReference w:id="17"/>
      </w:r>
      <w:r w:rsidR="00705622" w:rsidRPr="0080369F">
        <w:t xml:space="preserve"> In the “B-Text”, the angel instead says “Never too late, if Faustus will repent.”</w:t>
      </w:r>
      <w:r w:rsidR="0073386E" w:rsidRPr="0080369F">
        <w:rPr>
          <w:rStyle w:val="FootnoteReference"/>
        </w:rPr>
        <w:footnoteReference w:id="18"/>
      </w:r>
      <w:r w:rsidR="00705622" w:rsidRPr="0080369F">
        <w:t xml:space="preserve"> Such small grammatical changes have a drastic effect on the story. In this case, the “A-Text” offers Faustus the opportunity to repent, encourages </w:t>
      </w:r>
      <w:r w:rsidR="00E27DDC" w:rsidRPr="0080369F">
        <w:t xml:space="preserve">him to perhaps see reason. The “B-Text” in comparison takes that away, a more direct and precise voice, mimicking the expectations of that era. </w:t>
      </w:r>
    </w:p>
    <w:p w14:paraId="47E9E24A" w14:textId="1F6A52D1" w:rsidR="00E27DDC" w:rsidRDefault="00E27DDC" w:rsidP="00FF53EE">
      <w:r w:rsidRPr="0080369F">
        <w:t>Several more publications of “Doctor Faustus” were produced for John Wright in this new “B-Text” variation from 1620 to 1631, a decade before the start of the English civil wars. After the wars, when the monarchy was once more restored, in 1663, a new publication was released with even more changes to much further mimic the era and its beliefs, compounded by the gruelling decade of war. Sometimes, this is referred to as the “C-Text.”</w:t>
      </w:r>
      <w:r w:rsidR="00B00864" w:rsidRPr="0080369F">
        <w:rPr>
          <w:rStyle w:val="FootnoteReference"/>
        </w:rPr>
        <w:footnoteReference w:id="19"/>
      </w:r>
      <w:r>
        <w:t xml:space="preserve"> </w:t>
      </w:r>
    </w:p>
    <w:p w14:paraId="04B43D44" w14:textId="77777777" w:rsidR="00E27DDC" w:rsidRDefault="00E27DDC" w:rsidP="00FF53EE"/>
    <w:p w14:paraId="0CAFA0E1" w14:textId="0DDB1D28" w:rsidR="00B26D50" w:rsidRDefault="00B26D50" w:rsidP="00FF53EE">
      <w:r w:rsidRPr="00B26D50">
        <w:rPr>
          <w:b/>
          <w:bCs/>
        </w:rPr>
        <w:t>BIBLIOGRAPHY</w:t>
      </w:r>
      <w:r>
        <w:t xml:space="preserve">: </w:t>
      </w:r>
    </w:p>
    <w:p w14:paraId="2752F6B7" w14:textId="33840FDA" w:rsidR="00B26D50" w:rsidRDefault="00B26D50" w:rsidP="00B26D50">
      <w:r>
        <w:t>Arber, Edward,</w:t>
      </w:r>
      <w:r w:rsidRPr="006A35D5">
        <w:rPr>
          <w:i/>
          <w:iCs/>
        </w:rPr>
        <w:t xml:space="preserve"> A Transcript of the Stationers’ Registers</w:t>
      </w:r>
      <w:r>
        <w:t xml:space="preserve">. 1554-1640, vol. 3. </w:t>
      </w:r>
      <w:r w:rsidR="008931C7">
        <w:t xml:space="preserve">1836 to </w:t>
      </w:r>
      <w:r w:rsidR="006F277F">
        <w:t>1912</w:t>
      </w:r>
    </w:p>
    <w:p w14:paraId="07B919CD" w14:textId="77777777" w:rsidR="006F277F" w:rsidRDefault="006F277F" w:rsidP="00B26D50">
      <w:r w:rsidRPr="006F277F">
        <w:t xml:space="preserve"> Cerasano, S. P. </w:t>
      </w:r>
      <w:r w:rsidRPr="006F277F">
        <w:rPr>
          <w:i/>
          <w:iCs/>
        </w:rPr>
        <w:t>Medieval &amp; Renaissance Drama in England</w:t>
      </w:r>
      <w:r>
        <w:t>. 2005</w:t>
      </w:r>
    </w:p>
    <w:p w14:paraId="3C75A6C4" w14:textId="77777777" w:rsidR="00B23881" w:rsidRDefault="006F277F" w:rsidP="00B26D50">
      <w:r w:rsidRPr="006F277F">
        <w:t xml:space="preserve">Gurr, Andrew. </w:t>
      </w:r>
      <w:r w:rsidRPr="006F277F">
        <w:rPr>
          <w:i/>
          <w:iCs/>
        </w:rPr>
        <w:t>The Shakespearean Stage 1574-1642</w:t>
      </w:r>
      <w:r w:rsidRPr="006F277F">
        <w:t>. Third Edition, Cambridge, Cambridge University Press. 1992</w:t>
      </w:r>
      <w:r>
        <w:t>.</w:t>
      </w:r>
    </w:p>
    <w:p w14:paraId="69E59864" w14:textId="2A63D4C0" w:rsidR="00B23881" w:rsidRDefault="00B23881" w:rsidP="00B26D50">
      <w:r>
        <w:t xml:space="preserve">Henslowe, Philip. D. 1616. </w:t>
      </w:r>
      <w:r w:rsidRPr="00B23881">
        <w:rPr>
          <w:i/>
          <w:iCs/>
        </w:rPr>
        <w:t>Henslowe’s Diary</w:t>
      </w:r>
      <w:r>
        <w:t xml:space="preserve">. ed? W.W. Greg. London, 1904. </w:t>
      </w:r>
    </w:p>
    <w:p w14:paraId="657C484B" w14:textId="4AD730BD" w:rsidR="006F277F" w:rsidRDefault="006F277F" w:rsidP="00B26D50">
      <w:r w:rsidRPr="00DA3FA9">
        <w:lastRenderedPageBreak/>
        <w:t xml:space="preserve">Marlowe, C., 1564-1593. (1604). </w:t>
      </w:r>
      <w:r w:rsidRPr="006F277F">
        <w:rPr>
          <w:i/>
          <w:iCs/>
        </w:rPr>
        <w:t xml:space="preserve">The </w:t>
      </w:r>
      <w:proofErr w:type="spellStart"/>
      <w:r w:rsidRPr="006F277F">
        <w:rPr>
          <w:i/>
          <w:iCs/>
        </w:rPr>
        <w:t>tragicall</w:t>
      </w:r>
      <w:proofErr w:type="spellEnd"/>
      <w:r w:rsidRPr="006F277F">
        <w:rPr>
          <w:i/>
          <w:iCs/>
        </w:rPr>
        <w:t xml:space="preserve"> history of D. </w:t>
      </w:r>
      <w:proofErr w:type="spellStart"/>
      <w:r w:rsidRPr="006F277F">
        <w:rPr>
          <w:i/>
          <w:iCs/>
        </w:rPr>
        <w:t>faustus</w:t>
      </w:r>
      <w:proofErr w:type="spellEnd"/>
      <w:r w:rsidRPr="006F277F">
        <w:rPr>
          <w:i/>
          <w:iCs/>
        </w:rPr>
        <w:t xml:space="preserve"> as it hath bene acted by the right </w:t>
      </w:r>
      <w:proofErr w:type="spellStart"/>
      <w:r w:rsidRPr="006F277F">
        <w:rPr>
          <w:i/>
          <w:iCs/>
        </w:rPr>
        <w:t>honorable</w:t>
      </w:r>
      <w:proofErr w:type="spellEnd"/>
      <w:r w:rsidRPr="006F277F">
        <w:rPr>
          <w:i/>
          <w:iCs/>
        </w:rPr>
        <w:t xml:space="preserve"> the </w:t>
      </w:r>
      <w:proofErr w:type="spellStart"/>
      <w:r w:rsidRPr="006F277F">
        <w:rPr>
          <w:i/>
          <w:iCs/>
        </w:rPr>
        <w:t>earle</w:t>
      </w:r>
      <w:proofErr w:type="spellEnd"/>
      <w:r w:rsidRPr="006F277F">
        <w:rPr>
          <w:i/>
          <w:iCs/>
        </w:rPr>
        <w:t xml:space="preserve"> of </w:t>
      </w:r>
      <w:proofErr w:type="spellStart"/>
      <w:r w:rsidRPr="006F277F">
        <w:rPr>
          <w:i/>
          <w:iCs/>
        </w:rPr>
        <w:t>nottingham</w:t>
      </w:r>
      <w:proofErr w:type="spellEnd"/>
      <w:r w:rsidRPr="006F277F">
        <w:rPr>
          <w:i/>
          <w:iCs/>
        </w:rPr>
        <w:t xml:space="preserve"> his </w:t>
      </w:r>
      <w:proofErr w:type="spellStart"/>
      <w:r w:rsidRPr="006F277F">
        <w:rPr>
          <w:i/>
          <w:iCs/>
        </w:rPr>
        <w:t>seruants</w:t>
      </w:r>
      <w:proofErr w:type="spellEnd"/>
      <w:r w:rsidRPr="006F277F">
        <w:rPr>
          <w:i/>
          <w:iCs/>
        </w:rPr>
        <w:t xml:space="preserve">. written by </w:t>
      </w:r>
      <w:proofErr w:type="spellStart"/>
      <w:r w:rsidRPr="006F277F">
        <w:rPr>
          <w:i/>
          <w:iCs/>
        </w:rPr>
        <w:t>ch.</w:t>
      </w:r>
      <w:proofErr w:type="spellEnd"/>
      <w:r w:rsidRPr="006F277F">
        <w:rPr>
          <w:i/>
          <w:iCs/>
        </w:rPr>
        <w:t xml:space="preserve"> marl [Doctor Faustus].</w:t>
      </w:r>
      <w:r w:rsidRPr="00DA3FA9">
        <w:t xml:space="preserve"> London: Retrieved from </w:t>
      </w:r>
      <w:hyperlink r:id="rId6" w:history="1">
        <w:r w:rsidRPr="00045D32">
          <w:rPr>
            <w:rStyle w:val="Hyperlink"/>
          </w:rPr>
          <w:t>https://www.proquest.com/books/tragicall-history-d-faustus-as-hath-bene-acted/docview/2240937580/se-2</w:t>
        </w:r>
      </w:hyperlink>
    </w:p>
    <w:p w14:paraId="775A374D" w14:textId="77777777" w:rsidR="00C301E3" w:rsidRPr="006F277F" w:rsidRDefault="00C301E3" w:rsidP="00C301E3">
      <w:r w:rsidRPr="006F277F">
        <w:t>Marlowe, Christopher (1962)</w:t>
      </w:r>
      <w:r w:rsidRPr="006F277F">
        <w:rPr>
          <w:i/>
          <w:iCs/>
        </w:rPr>
        <w:t>. Doctor Faustus, A- and B-texts (1604, 1616).</w:t>
      </w:r>
      <w:r w:rsidRPr="006F277F">
        <w:t xml:space="preserve"> eds. David Bevington and Eric Rasmussen. Manchester: University of Manchester P. pp. 72–73 </w:t>
      </w:r>
    </w:p>
    <w:p w14:paraId="5B087F7B" w14:textId="77777777" w:rsidR="00C301E3" w:rsidRPr="006F277F" w:rsidRDefault="00C301E3" w:rsidP="00C301E3">
      <w:r w:rsidRPr="006F277F">
        <w:t xml:space="preserve">Marlowe, Christopher. </w:t>
      </w:r>
      <w:r w:rsidRPr="006F277F">
        <w:rPr>
          <w:i/>
          <w:iCs/>
        </w:rPr>
        <w:t>The Tragical History of Doctor Faustus</w:t>
      </w:r>
      <w:r w:rsidRPr="006F277F">
        <w:t xml:space="preserve">. ed. The Reverend Alexander Dyce. Quarto of 1604. </w:t>
      </w:r>
      <w:proofErr w:type="gramStart"/>
      <w:r w:rsidRPr="006F277F">
        <w:t>January,</w:t>
      </w:r>
      <w:proofErr w:type="gramEnd"/>
      <w:r w:rsidRPr="006F277F">
        <w:t xml:space="preserve"> 1997 &lt;https://www.gutenberg.org/files/779/779-h/779-h.htm&gt; </w:t>
      </w:r>
    </w:p>
    <w:p w14:paraId="62B93CB1" w14:textId="5DFBCEBF" w:rsidR="00C301E3" w:rsidRDefault="00C301E3" w:rsidP="00B26D50">
      <w:r w:rsidRPr="006F277F">
        <w:t xml:space="preserve">Marlowe, Christopher. The </w:t>
      </w:r>
      <w:proofErr w:type="spellStart"/>
      <w:r w:rsidRPr="006F277F">
        <w:t>Tragedie</w:t>
      </w:r>
      <w:proofErr w:type="spellEnd"/>
      <w:r w:rsidRPr="006F277F">
        <w:t xml:space="preserve"> of Doctor Faustus (B Text). Ed. Hilary Binda. Unknown date. &lt; </w:t>
      </w:r>
      <w:hyperlink r:id="rId7" w:history="1">
        <w:r w:rsidRPr="006F277F">
          <w:rPr>
            <w:rStyle w:val="Hyperlink"/>
          </w:rPr>
          <w:t>https://www.perseus.tufts.edu/hopper/text?doc=Perseus%3Atext%3A1999.03.0011%3Aact%3D2%3Ascene%3D2</w:t>
        </w:r>
      </w:hyperlink>
      <w:r w:rsidRPr="006F277F">
        <w:t xml:space="preserve">&gt; </w:t>
      </w:r>
    </w:p>
    <w:p w14:paraId="2CE53393" w14:textId="6FF866AA" w:rsidR="006F277F" w:rsidRDefault="006F277F" w:rsidP="00B26D50">
      <w:proofErr w:type="spellStart"/>
      <w:r>
        <w:t>McKerrow</w:t>
      </w:r>
      <w:proofErr w:type="spellEnd"/>
      <w:r>
        <w:t xml:space="preserve">, R. B. </w:t>
      </w:r>
      <w:r w:rsidRPr="008E4348">
        <w:rPr>
          <w:i/>
          <w:iCs/>
        </w:rPr>
        <w:t>Dictionary of Printers and Booksellers</w:t>
      </w:r>
      <w:r>
        <w:t xml:space="preserve">, </w:t>
      </w:r>
      <w:r w:rsidRPr="008E4348">
        <w:rPr>
          <w:i/>
          <w:iCs/>
        </w:rPr>
        <w:t>1557-1640.</w:t>
      </w:r>
      <w:r>
        <w:t xml:space="preserve"> 1950.</w:t>
      </w:r>
    </w:p>
    <w:p w14:paraId="4D95E39A" w14:textId="0A495CB2" w:rsidR="00B23881" w:rsidRDefault="00B23881" w:rsidP="00B26D50">
      <w:r>
        <w:t xml:space="preserve">Pinkerton, Jonathan. </w:t>
      </w:r>
      <w:r w:rsidRPr="00B23881">
        <w:rPr>
          <w:i/>
          <w:iCs/>
        </w:rPr>
        <w:t>Cut is the Branch: Faustus’s C Text.</w:t>
      </w:r>
      <w:r>
        <w:t xml:space="preserve"> University of Kent. Unknown date</w:t>
      </w:r>
    </w:p>
    <w:p w14:paraId="692F572A" w14:textId="194DCA72" w:rsidR="006F277F" w:rsidRDefault="006F277F" w:rsidP="00B26D50">
      <w:r w:rsidRPr="006F277F">
        <w:t xml:space="preserve">Unknown Author, “Who Was Christopher Marlowe.” </w:t>
      </w:r>
      <w:r w:rsidRPr="006F277F">
        <w:rPr>
          <w:i/>
          <w:iCs/>
        </w:rPr>
        <w:t>Royal Shakespeare Company</w:t>
      </w:r>
      <w:r w:rsidRPr="006F277F">
        <w:t xml:space="preserve">. Unknown date. &lt;https://www.rsc.org.uk/dido-queen-of-carthage/about-the-play/who-was-christopher-marlowe&gt; </w:t>
      </w:r>
    </w:p>
    <w:p w14:paraId="5A9F3E74" w14:textId="77777777" w:rsidR="006F277F" w:rsidRDefault="006F277F" w:rsidP="006F277F">
      <w:r>
        <w:t xml:space="preserve">Unknown Author. “Who were the Admiral’s </w:t>
      </w:r>
      <w:proofErr w:type="gramStart"/>
      <w:r>
        <w:t>Men?.</w:t>
      </w:r>
      <w:proofErr w:type="gramEnd"/>
      <w:r>
        <w:t xml:space="preserve">” </w:t>
      </w:r>
      <w:r w:rsidRPr="006F277F">
        <w:rPr>
          <w:i/>
          <w:iCs/>
        </w:rPr>
        <w:t>Henslowe’s Diary … as a Blog</w:t>
      </w:r>
      <w:r>
        <w:t xml:space="preserve">! 30 December 2021. &lt;http://hensloweasablog.blogspot.com/p/who-were-admirals-men.html&gt; </w:t>
      </w:r>
    </w:p>
    <w:p w14:paraId="3EFD5FB7" w14:textId="329DC231" w:rsidR="006F277F" w:rsidRPr="00FC4875" w:rsidRDefault="006F277F" w:rsidP="00B26D50">
      <w:r>
        <w:t xml:space="preserve">Unknown Author. “Admiral’s Men.” </w:t>
      </w:r>
      <w:r w:rsidRPr="006F277F">
        <w:rPr>
          <w:i/>
          <w:iCs/>
        </w:rPr>
        <w:t>Christopher Marlowe</w:t>
      </w:r>
      <w:r>
        <w:t xml:space="preserve">. Unknown date &lt;https://christopher.marlowe.at/admirals-men/ &gt; </w:t>
      </w:r>
    </w:p>
    <w:sectPr w:rsidR="006F277F" w:rsidRPr="00FC48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ACECD0" w14:textId="77777777" w:rsidR="00416636" w:rsidRDefault="00416636" w:rsidP="00FF53EE">
      <w:r>
        <w:separator/>
      </w:r>
    </w:p>
  </w:endnote>
  <w:endnote w:type="continuationSeparator" w:id="0">
    <w:p w14:paraId="503ED31D" w14:textId="77777777" w:rsidR="00416636" w:rsidRDefault="00416636" w:rsidP="00FF53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B808C6" w14:textId="77777777" w:rsidR="00416636" w:rsidRDefault="00416636" w:rsidP="00FF53EE">
      <w:r>
        <w:separator/>
      </w:r>
    </w:p>
  </w:footnote>
  <w:footnote w:type="continuationSeparator" w:id="0">
    <w:p w14:paraId="6F892233" w14:textId="77777777" w:rsidR="00416636" w:rsidRDefault="00416636" w:rsidP="00FF53EE">
      <w:r>
        <w:continuationSeparator/>
      </w:r>
    </w:p>
  </w:footnote>
  <w:footnote w:id="1">
    <w:p w14:paraId="5274FBC0" w14:textId="376480C4" w:rsidR="00967085" w:rsidRDefault="00967085">
      <w:pPr>
        <w:pStyle w:val="FootnoteText"/>
      </w:pPr>
      <w:r>
        <w:rPr>
          <w:rStyle w:val="FootnoteReference"/>
        </w:rPr>
        <w:footnoteRef/>
      </w:r>
      <w:r>
        <w:t xml:space="preserve"> </w:t>
      </w:r>
      <w:r w:rsidR="00DA3FA9" w:rsidRPr="00DA3FA9">
        <w:t xml:space="preserve">Marlowe, C., 1564-1593. (1604). </w:t>
      </w:r>
      <w:r w:rsidR="00DA3FA9" w:rsidRPr="00430813">
        <w:rPr>
          <w:i/>
          <w:iCs/>
        </w:rPr>
        <w:t xml:space="preserve">The </w:t>
      </w:r>
      <w:proofErr w:type="spellStart"/>
      <w:r w:rsidR="00DA3FA9" w:rsidRPr="00430813">
        <w:rPr>
          <w:i/>
          <w:iCs/>
        </w:rPr>
        <w:t>tragicall</w:t>
      </w:r>
      <w:proofErr w:type="spellEnd"/>
      <w:r w:rsidR="00DA3FA9" w:rsidRPr="00430813">
        <w:rPr>
          <w:i/>
          <w:iCs/>
        </w:rPr>
        <w:t xml:space="preserve"> history of D. </w:t>
      </w:r>
      <w:proofErr w:type="spellStart"/>
      <w:r w:rsidR="00DA3FA9" w:rsidRPr="00430813">
        <w:rPr>
          <w:i/>
          <w:iCs/>
        </w:rPr>
        <w:t>faustus</w:t>
      </w:r>
      <w:proofErr w:type="spellEnd"/>
      <w:r w:rsidR="00DA3FA9" w:rsidRPr="00430813">
        <w:rPr>
          <w:i/>
          <w:iCs/>
        </w:rPr>
        <w:t xml:space="preserve"> as it hath bene acted by the right </w:t>
      </w:r>
      <w:proofErr w:type="spellStart"/>
      <w:r w:rsidR="00DA3FA9" w:rsidRPr="00430813">
        <w:rPr>
          <w:i/>
          <w:iCs/>
        </w:rPr>
        <w:t>honorable</w:t>
      </w:r>
      <w:proofErr w:type="spellEnd"/>
      <w:r w:rsidR="00DA3FA9" w:rsidRPr="00430813">
        <w:rPr>
          <w:i/>
          <w:iCs/>
        </w:rPr>
        <w:t xml:space="preserve"> the </w:t>
      </w:r>
      <w:proofErr w:type="spellStart"/>
      <w:r w:rsidR="00DA3FA9" w:rsidRPr="00430813">
        <w:rPr>
          <w:i/>
          <w:iCs/>
        </w:rPr>
        <w:t>earle</w:t>
      </w:r>
      <w:proofErr w:type="spellEnd"/>
      <w:r w:rsidR="00DA3FA9" w:rsidRPr="00430813">
        <w:rPr>
          <w:i/>
          <w:iCs/>
        </w:rPr>
        <w:t xml:space="preserve"> of </w:t>
      </w:r>
      <w:proofErr w:type="spellStart"/>
      <w:r w:rsidR="00DA3FA9" w:rsidRPr="00430813">
        <w:rPr>
          <w:i/>
          <w:iCs/>
        </w:rPr>
        <w:t>nottingham</w:t>
      </w:r>
      <w:proofErr w:type="spellEnd"/>
      <w:r w:rsidR="00DA3FA9" w:rsidRPr="00430813">
        <w:rPr>
          <w:i/>
          <w:iCs/>
        </w:rPr>
        <w:t xml:space="preserve"> his </w:t>
      </w:r>
      <w:proofErr w:type="spellStart"/>
      <w:r w:rsidR="00DA3FA9" w:rsidRPr="00430813">
        <w:rPr>
          <w:i/>
          <w:iCs/>
        </w:rPr>
        <w:t>seruants</w:t>
      </w:r>
      <w:proofErr w:type="spellEnd"/>
      <w:r w:rsidR="00DA3FA9" w:rsidRPr="00DA3FA9">
        <w:t xml:space="preserve">. written by </w:t>
      </w:r>
      <w:proofErr w:type="spellStart"/>
      <w:r w:rsidR="00DA3FA9" w:rsidRPr="00DA3FA9">
        <w:t>ch.</w:t>
      </w:r>
      <w:proofErr w:type="spellEnd"/>
      <w:r w:rsidR="00DA3FA9" w:rsidRPr="00DA3FA9">
        <w:t xml:space="preserve"> marl [Doctor Faustus]. London: Retrieved from </w:t>
      </w:r>
      <w:hyperlink r:id="rId1" w:history="1">
        <w:r w:rsidR="00DA3FA9" w:rsidRPr="00045D32">
          <w:rPr>
            <w:rStyle w:val="Hyperlink"/>
          </w:rPr>
          <w:t>https://www.proquest.com/books/tragicall-history-d-faustus-as-hath-bene-acted/docview/2240937580/se-2</w:t>
        </w:r>
      </w:hyperlink>
      <w:r w:rsidR="00DA3FA9">
        <w:t xml:space="preserve"> </w:t>
      </w:r>
      <w:r w:rsidR="00B75807">
        <w:t>Accessed: 17 September 2024</w:t>
      </w:r>
    </w:p>
    <w:p w14:paraId="1A16B0C1" w14:textId="77777777" w:rsidR="00967085" w:rsidRDefault="00967085">
      <w:pPr>
        <w:pStyle w:val="FootnoteText"/>
      </w:pPr>
    </w:p>
  </w:footnote>
  <w:footnote w:id="2">
    <w:p w14:paraId="2530F26E" w14:textId="60F97A80" w:rsidR="006A35D5" w:rsidRDefault="006A35D5">
      <w:pPr>
        <w:pStyle w:val="FootnoteText"/>
      </w:pPr>
      <w:r>
        <w:rPr>
          <w:rStyle w:val="FootnoteReference"/>
        </w:rPr>
        <w:footnoteRef/>
      </w:r>
      <w:r>
        <w:t xml:space="preserve"> Arber, Edward,</w:t>
      </w:r>
      <w:r w:rsidRPr="006A35D5">
        <w:rPr>
          <w:i/>
          <w:iCs/>
        </w:rPr>
        <w:t xml:space="preserve"> A Transcript of the Stationers’ Registers</w:t>
      </w:r>
      <w:r>
        <w:t>. 1554-1640, vol. 3</w:t>
      </w:r>
      <w:r w:rsidR="00967085">
        <w:t xml:space="preserve">. </w:t>
      </w:r>
      <w:r w:rsidR="00952134">
        <w:t>p. 173</w:t>
      </w:r>
    </w:p>
    <w:p w14:paraId="5425811F" w14:textId="77777777" w:rsidR="00BB3EA7" w:rsidRDefault="00BB3EA7">
      <w:pPr>
        <w:pStyle w:val="FootnoteText"/>
      </w:pPr>
    </w:p>
  </w:footnote>
  <w:footnote w:id="3">
    <w:p w14:paraId="5714654B" w14:textId="23BFC93E" w:rsidR="008E4348" w:rsidRDefault="008E4348">
      <w:pPr>
        <w:pStyle w:val="FootnoteText"/>
      </w:pPr>
      <w:r>
        <w:rPr>
          <w:rStyle w:val="FootnoteReference"/>
        </w:rPr>
        <w:footnoteRef/>
      </w:r>
      <w:r>
        <w:t xml:space="preserve"> </w:t>
      </w:r>
      <w:proofErr w:type="spellStart"/>
      <w:r>
        <w:t>McKerrow</w:t>
      </w:r>
      <w:proofErr w:type="spellEnd"/>
      <w:r>
        <w:t xml:space="preserve">, R. B. </w:t>
      </w:r>
      <w:r w:rsidRPr="008E4348">
        <w:rPr>
          <w:i/>
          <w:iCs/>
        </w:rPr>
        <w:t>Dictionary of Printers and Booksellers</w:t>
      </w:r>
      <w:r>
        <w:t xml:space="preserve">, </w:t>
      </w:r>
      <w:r w:rsidRPr="008E4348">
        <w:rPr>
          <w:i/>
          <w:iCs/>
        </w:rPr>
        <w:t>1557-1640.</w:t>
      </w:r>
      <w:r w:rsidR="00D20E06">
        <w:t xml:space="preserve"> 1950</w:t>
      </w:r>
      <w:r w:rsidR="008C478D">
        <w:t>.</w:t>
      </w:r>
      <w:r>
        <w:t xml:space="preserve"> p. </w:t>
      </w:r>
      <w:r w:rsidR="0071477E">
        <w:t>58</w:t>
      </w:r>
    </w:p>
  </w:footnote>
  <w:footnote w:id="4">
    <w:p w14:paraId="472C4C5F" w14:textId="3D3340ED" w:rsidR="00B75807" w:rsidRDefault="00B75807">
      <w:pPr>
        <w:pStyle w:val="FootnoteText"/>
      </w:pPr>
    </w:p>
  </w:footnote>
  <w:footnote w:id="5">
    <w:p w14:paraId="795C3DA2" w14:textId="45CB0790" w:rsidR="00AC3418" w:rsidRDefault="00AC3418" w:rsidP="00AC3418">
      <w:pPr>
        <w:pStyle w:val="FootnoteText"/>
      </w:pPr>
      <w:r>
        <w:rPr>
          <w:rStyle w:val="FootnoteReference"/>
        </w:rPr>
        <w:footnoteRef/>
      </w:r>
      <w:r>
        <w:t xml:space="preserve"> </w:t>
      </w:r>
      <w:proofErr w:type="spellStart"/>
      <w:r>
        <w:t>McKerrow</w:t>
      </w:r>
      <w:proofErr w:type="spellEnd"/>
      <w:r>
        <w:t xml:space="preserve">, R. B. pp. </w:t>
      </w:r>
      <w:r w:rsidR="008E4348">
        <w:t>245</w:t>
      </w:r>
    </w:p>
    <w:p w14:paraId="58306482" w14:textId="77777777" w:rsidR="00AC3418" w:rsidRDefault="00AC3418" w:rsidP="00AC3418">
      <w:pPr>
        <w:pStyle w:val="FootnoteText"/>
      </w:pPr>
    </w:p>
  </w:footnote>
  <w:footnote w:id="6">
    <w:p w14:paraId="13AF0BE7" w14:textId="77777777" w:rsidR="008A1870" w:rsidRDefault="008A1870" w:rsidP="008A1870">
      <w:pPr>
        <w:pStyle w:val="FootnoteText"/>
      </w:pPr>
      <w:r>
        <w:rPr>
          <w:rStyle w:val="FootnoteReference"/>
        </w:rPr>
        <w:footnoteRef/>
      </w:r>
      <w:r>
        <w:t xml:space="preserve"> </w:t>
      </w:r>
      <w:proofErr w:type="spellStart"/>
      <w:r>
        <w:t>McKerrow</w:t>
      </w:r>
      <w:proofErr w:type="spellEnd"/>
      <w:r>
        <w:t>, R. B. pp. 246</w:t>
      </w:r>
    </w:p>
    <w:p w14:paraId="6D16FA85" w14:textId="77777777" w:rsidR="0080369F" w:rsidRDefault="0080369F" w:rsidP="008A1870">
      <w:pPr>
        <w:pStyle w:val="FootnoteText"/>
      </w:pPr>
    </w:p>
  </w:footnote>
  <w:footnote w:id="7">
    <w:p w14:paraId="5DAE2DA2" w14:textId="77777777" w:rsidR="0080369F" w:rsidRDefault="0080369F" w:rsidP="0080369F">
      <w:pPr>
        <w:pStyle w:val="FootnoteText"/>
      </w:pPr>
      <w:r>
        <w:rPr>
          <w:rStyle w:val="FootnoteReference"/>
        </w:rPr>
        <w:footnoteRef/>
      </w:r>
      <w:r>
        <w:t xml:space="preserve">  Unknown Author, “Who Was Christopher Marlowe.” </w:t>
      </w:r>
      <w:r w:rsidRPr="006015BB">
        <w:rPr>
          <w:i/>
          <w:iCs/>
        </w:rPr>
        <w:t>Royal Shakespeare Company</w:t>
      </w:r>
      <w:r>
        <w:t>. Unknown date. &lt;</w:t>
      </w:r>
      <w:hyperlink r:id="rId2" w:history="1">
        <w:r w:rsidRPr="00045D32">
          <w:rPr>
            <w:rStyle w:val="Hyperlink"/>
          </w:rPr>
          <w:t>https://www.rsc.org.uk/dido-queen-of-carthage/about-the-play/who-was-christopher-marlowe</w:t>
        </w:r>
      </w:hyperlink>
      <w:r>
        <w:t>&gt; Accessed: 21 September 2024</w:t>
      </w:r>
    </w:p>
    <w:p w14:paraId="7E198D65" w14:textId="77777777" w:rsidR="0080369F" w:rsidRDefault="0080369F" w:rsidP="0080369F">
      <w:pPr>
        <w:pStyle w:val="FootnoteText"/>
      </w:pPr>
    </w:p>
  </w:footnote>
  <w:footnote w:id="8">
    <w:p w14:paraId="35524AF6" w14:textId="77777777" w:rsidR="0080369F" w:rsidRPr="00E04999" w:rsidRDefault="0080369F" w:rsidP="0080369F">
      <w:pPr>
        <w:pStyle w:val="FootnoteText"/>
      </w:pPr>
      <w:r>
        <w:rPr>
          <w:rStyle w:val="FootnoteReference"/>
        </w:rPr>
        <w:footnoteRef/>
      </w:r>
      <w:r>
        <w:t xml:space="preserve"> </w:t>
      </w:r>
      <w:r w:rsidRPr="00E04999">
        <w:t xml:space="preserve">Marlowe, C., 1564-1593. (1604). </w:t>
      </w:r>
      <w:r w:rsidRPr="00E04999">
        <w:rPr>
          <w:i/>
          <w:iCs/>
        </w:rPr>
        <w:t xml:space="preserve">The </w:t>
      </w:r>
      <w:proofErr w:type="spellStart"/>
      <w:r w:rsidRPr="00E04999">
        <w:rPr>
          <w:i/>
          <w:iCs/>
        </w:rPr>
        <w:t>tragicall</w:t>
      </w:r>
      <w:proofErr w:type="spellEnd"/>
      <w:r w:rsidRPr="00E04999">
        <w:rPr>
          <w:i/>
          <w:iCs/>
        </w:rPr>
        <w:t xml:space="preserve"> history of D. </w:t>
      </w:r>
      <w:proofErr w:type="spellStart"/>
      <w:r w:rsidRPr="00E04999">
        <w:rPr>
          <w:i/>
          <w:iCs/>
        </w:rPr>
        <w:t>faustus</w:t>
      </w:r>
      <w:proofErr w:type="spellEnd"/>
      <w:r w:rsidRPr="00E04999">
        <w:rPr>
          <w:i/>
          <w:iCs/>
        </w:rPr>
        <w:t xml:space="preserve"> as it hath bene acted by the right </w:t>
      </w:r>
      <w:proofErr w:type="spellStart"/>
      <w:r w:rsidRPr="00E04999">
        <w:rPr>
          <w:i/>
          <w:iCs/>
        </w:rPr>
        <w:t>honorable</w:t>
      </w:r>
      <w:proofErr w:type="spellEnd"/>
      <w:r w:rsidRPr="00E04999">
        <w:rPr>
          <w:i/>
          <w:iCs/>
        </w:rPr>
        <w:t xml:space="preserve"> the </w:t>
      </w:r>
      <w:proofErr w:type="spellStart"/>
      <w:r w:rsidRPr="00E04999">
        <w:rPr>
          <w:i/>
          <w:iCs/>
        </w:rPr>
        <w:t>earle</w:t>
      </w:r>
      <w:proofErr w:type="spellEnd"/>
      <w:r w:rsidRPr="00E04999">
        <w:rPr>
          <w:i/>
          <w:iCs/>
        </w:rPr>
        <w:t xml:space="preserve"> of </w:t>
      </w:r>
      <w:proofErr w:type="spellStart"/>
      <w:r w:rsidRPr="00E04999">
        <w:rPr>
          <w:i/>
          <w:iCs/>
        </w:rPr>
        <w:t>nottingham</w:t>
      </w:r>
      <w:proofErr w:type="spellEnd"/>
      <w:r w:rsidRPr="00E04999">
        <w:rPr>
          <w:i/>
          <w:iCs/>
        </w:rPr>
        <w:t xml:space="preserve"> his </w:t>
      </w:r>
      <w:proofErr w:type="spellStart"/>
      <w:r w:rsidRPr="00E04999">
        <w:rPr>
          <w:i/>
          <w:iCs/>
        </w:rPr>
        <w:t>seruants</w:t>
      </w:r>
      <w:proofErr w:type="spellEnd"/>
      <w:r w:rsidRPr="00E04999">
        <w:rPr>
          <w:i/>
          <w:iCs/>
        </w:rPr>
        <w:t xml:space="preserve">. written by </w:t>
      </w:r>
      <w:proofErr w:type="spellStart"/>
      <w:r w:rsidRPr="00E04999">
        <w:rPr>
          <w:i/>
          <w:iCs/>
        </w:rPr>
        <w:t>ch.</w:t>
      </w:r>
      <w:proofErr w:type="spellEnd"/>
      <w:r w:rsidRPr="00E04999">
        <w:rPr>
          <w:i/>
          <w:iCs/>
        </w:rPr>
        <w:t xml:space="preserve"> marl</w:t>
      </w:r>
      <w:r w:rsidRPr="00E04999">
        <w:t xml:space="preserve"> [Doctor Faustus]. London: Retrieved from https://www.proquest.com/books/tragicall-history-d-faustus-as-hath-bene-acted/docview/2240937580/se-2 </w:t>
      </w:r>
      <w:r>
        <w:t>Accessed: 19 September 2024</w:t>
      </w:r>
    </w:p>
    <w:p w14:paraId="31128F2B" w14:textId="77777777" w:rsidR="0080369F" w:rsidRDefault="0080369F" w:rsidP="0080369F">
      <w:pPr>
        <w:pStyle w:val="FootnoteText"/>
      </w:pPr>
      <w:r>
        <w:t xml:space="preserve"> </w:t>
      </w:r>
    </w:p>
  </w:footnote>
  <w:footnote w:id="9">
    <w:p w14:paraId="353D36A9" w14:textId="1E3FA0F9" w:rsidR="00FF53EE" w:rsidRDefault="00FF53EE" w:rsidP="00FF53EE">
      <w:pPr>
        <w:pStyle w:val="FootnoteText"/>
      </w:pPr>
      <w:r w:rsidRPr="00FF53EE">
        <w:rPr>
          <w:rStyle w:val="FootnoteReference"/>
        </w:rPr>
        <w:footnoteRef/>
      </w:r>
      <w:r w:rsidRPr="00FF53EE">
        <w:t xml:space="preserve"> </w:t>
      </w:r>
      <w:r w:rsidR="009C36F0">
        <w:t xml:space="preserve">Unknown Author. “Who were the Admiral’s </w:t>
      </w:r>
      <w:proofErr w:type="gramStart"/>
      <w:r w:rsidR="009C36F0">
        <w:t>Men?.</w:t>
      </w:r>
      <w:proofErr w:type="gramEnd"/>
      <w:r w:rsidR="009C36F0">
        <w:t xml:space="preserve">” </w:t>
      </w:r>
      <w:r w:rsidR="009C36F0" w:rsidRPr="003E5A4F">
        <w:rPr>
          <w:i/>
          <w:iCs/>
        </w:rPr>
        <w:t>Henslowe’s Diary … as a Blog!</w:t>
      </w:r>
      <w:r w:rsidR="009C36F0">
        <w:t xml:space="preserve"> 30 December 2021. &lt;</w:t>
      </w:r>
      <w:hyperlink r:id="rId3" w:history="1">
        <w:r w:rsidR="009C36F0" w:rsidRPr="00045D32">
          <w:rPr>
            <w:rStyle w:val="Hyperlink"/>
          </w:rPr>
          <w:t>http://hensloweasablog.blogspot.com/p/who-were-admirals-men.html</w:t>
        </w:r>
      </w:hyperlink>
      <w:r w:rsidR="009C36F0">
        <w:t>&gt;</w:t>
      </w:r>
    </w:p>
    <w:p w14:paraId="382CD065" w14:textId="77777777" w:rsidR="001136EA" w:rsidRPr="00FF53EE" w:rsidRDefault="001136EA" w:rsidP="00FF53EE">
      <w:pPr>
        <w:pStyle w:val="FootnoteText"/>
      </w:pPr>
    </w:p>
  </w:footnote>
  <w:footnote w:id="10">
    <w:p w14:paraId="2D04B560" w14:textId="309E20D1" w:rsidR="001136EA" w:rsidRDefault="001136EA">
      <w:pPr>
        <w:pStyle w:val="FootnoteText"/>
      </w:pPr>
      <w:r>
        <w:rPr>
          <w:rStyle w:val="FootnoteReference"/>
        </w:rPr>
        <w:footnoteRef/>
      </w:r>
      <w:r>
        <w:t xml:space="preserve"> </w:t>
      </w:r>
      <w:r w:rsidR="001A4D77">
        <w:t xml:space="preserve"> </w:t>
      </w:r>
      <w:r w:rsidR="003E5A4F">
        <w:t xml:space="preserve">Unknown Author. “Who were the Admiral’s </w:t>
      </w:r>
      <w:proofErr w:type="gramStart"/>
      <w:r w:rsidR="003E5A4F">
        <w:t>Men?.</w:t>
      </w:r>
      <w:proofErr w:type="gramEnd"/>
      <w:r w:rsidR="003E5A4F">
        <w:t xml:space="preserve">” </w:t>
      </w:r>
      <w:r w:rsidR="003E5A4F" w:rsidRPr="003E5A4F">
        <w:rPr>
          <w:i/>
          <w:iCs/>
        </w:rPr>
        <w:t>Henslowe’s Diary … as a Blog!</w:t>
      </w:r>
      <w:r w:rsidR="003E5A4F">
        <w:t xml:space="preserve"> </w:t>
      </w:r>
      <w:r w:rsidR="009C36F0">
        <w:t>30 December 2021</w:t>
      </w:r>
      <w:r w:rsidR="003E5A4F">
        <w:t xml:space="preserve">. </w:t>
      </w:r>
      <w:r w:rsidR="001A4D77">
        <w:t>&lt;</w:t>
      </w:r>
      <w:hyperlink r:id="rId4" w:history="1">
        <w:r w:rsidR="001A4D77" w:rsidRPr="00045D32">
          <w:rPr>
            <w:rStyle w:val="Hyperlink"/>
          </w:rPr>
          <w:t>http://hensloweasablog.blogspot.com/p/who-were-admirals-men.html</w:t>
        </w:r>
      </w:hyperlink>
      <w:r w:rsidR="001A4D77">
        <w:t>&gt;</w:t>
      </w:r>
      <w:r>
        <w:t xml:space="preserve"> </w:t>
      </w:r>
    </w:p>
    <w:p w14:paraId="53ACFF2E" w14:textId="77777777" w:rsidR="001136EA" w:rsidRDefault="001136EA">
      <w:pPr>
        <w:pStyle w:val="FootnoteText"/>
      </w:pPr>
    </w:p>
  </w:footnote>
  <w:footnote w:id="11">
    <w:p w14:paraId="7953478E" w14:textId="64C2738F" w:rsidR="003515DB" w:rsidRPr="003515DB" w:rsidRDefault="003515DB" w:rsidP="00FF53EE">
      <w:pPr>
        <w:pStyle w:val="FootnoteText"/>
      </w:pPr>
      <w:r w:rsidRPr="003515DB">
        <w:rPr>
          <w:rStyle w:val="FootnoteReference"/>
        </w:rPr>
        <w:footnoteRef/>
      </w:r>
      <w:r w:rsidRPr="003515DB">
        <w:t xml:space="preserve"> </w:t>
      </w:r>
      <w:r w:rsidR="00574E04">
        <w:t xml:space="preserve">Unknown Author. “Admiral’s Men.” </w:t>
      </w:r>
      <w:r w:rsidR="00574E04" w:rsidRPr="00574E04">
        <w:rPr>
          <w:i/>
          <w:iCs/>
        </w:rPr>
        <w:t>Christopher Marlowe</w:t>
      </w:r>
      <w:r w:rsidR="00574E04">
        <w:t xml:space="preserve">. Unknown date </w:t>
      </w:r>
      <w:r w:rsidR="006015BB">
        <w:t>&lt;</w:t>
      </w:r>
      <w:hyperlink r:id="rId5" w:history="1">
        <w:r w:rsidR="006015BB" w:rsidRPr="00045D32">
          <w:rPr>
            <w:rStyle w:val="Hyperlink"/>
          </w:rPr>
          <w:t>https://christopher.marlowe.at/admirals-men/</w:t>
        </w:r>
      </w:hyperlink>
      <w:r w:rsidRPr="003515DB">
        <w:t xml:space="preserve"> </w:t>
      </w:r>
      <w:r w:rsidR="006015BB">
        <w:t>&gt;</w:t>
      </w:r>
      <w:r w:rsidR="00574E04">
        <w:t xml:space="preserve"> Accessed: </w:t>
      </w:r>
      <w:r w:rsidR="001A4D77">
        <w:t>19 September 2024</w:t>
      </w:r>
    </w:p>
    <w:p w14:paraId="72E30DF3" w14:textId="77777777" w:rsidR="003515DB" w:rsidRPr="003515DB" w:rsidRDefault="003515DB" w:rsidP="00FF53EE">
      <w:pPr>
        <w:pStyle w:val="FootnoteText"/>
      </w:pPr>
    </w:p>
  </w:footnote>
  <w:footnote w:id="12">
    <w:p w14:paraId="2D5513EF" w14:textId="13DD92C0" w:rsidR="00CA796C" w:rsidRDefault="00CA796C">
      <w:pPr>
        <w:pStyle w:val="FootnoteText"/>
      </w:pPr>
      <w:r>
        <w:rPr>
          <w:rStyle w:val="FootnoteReference"/>
        </w:rPr>
        <w:footnoteRef/>
      </w:r>
      <w:r>
        <w:t xml:space="preserve"> Henslowe, Philip. </w:t>
      </w:r>
      <w:r w:rsidR="00B23881">
        <w:t xml:space="preserve">D. 1616. </w:t>
      </w:r>
      <w:r w:rsidR="00B23881" w:rsidRPr="00B23881">
        <w:rPr>
          <w:i/>
          <w:iCs/>
        </w:rPr>
        <w:t>Henslowe’s Diary</w:t>
      </w:r>
      <w:r w:rsidR="00B23881">
        <w:t>. ed? W.W. Greg. London, 1904. pp. 69-71</w:t>
      </w:r>
    </w:p>
  </w:footnote>
  <w:footnote w:id="13">
    <w:p w14:paraId="32D589D7" w14:textId="7779A497" w:rsidR="003515DB" w:rsidRDefault="003515DB" w:rsidP="00FF53EE">
      <w:pPr>
        <w:pStyle w:val="FootnoteText"/>
      </w:pPr>
      <w:r w:rsidRPr="003515DB">
        <w:rPr>
          <w:rStyle w:val="FootnoteReference"/>
        </w:rPr>
        <w:footnoteRef/>
      </w:r>
      <w:r w:rsidRPr="003515DB">
        <w:t xml:space="preserve"> Gurr, An</w:t>
      </w:r>
      <w:r>
        <w:t xml:space="preserve">drew. The Shakespearean Stage 1574-1642. Third Edition, Cambridge, Cambridge University Press. 1992. pp. 103-104 </w:t>
      </w:r>
    </w:p>
    <w:p w14:paraId="596CBF74" w14:textId="77777777" w:rsidR="0057590D" w:rsidRPr="003515DB" w:rsidRDefault="0057590D" w:rsidP="00FF53EE">
      <w:pPr>
        <w:pStyle w:val="FootnoteText"/>
      </w:pPr>
    </w:p>
  </w:footnote>
  <w:footnote w:id="14">
    <w:p w14:paraId="1DC403A3" w14:textId="1FDE8CFF" w:rsidR="00FF53EE" w:rsidRPr="00FF53EE" w:rsidRDefault="00FF53EE" w:rsidP="00FF53EE">
      <w:pPr>
        <w:pStyle w:val="FootnoteText"/>
      </w:pPr>
      <w:r>
        <w:rPr>
          <w:rStyle w:val="FootnoteReference"/>
        </w:rPr>
        <w:footnoteRef/>
      </w:r>
      <w:r>
        <w:t xml:space="preserve"> </w:t>
      </w:r>
      <w:r w:rsidRPr="00FF53EE">
        <w:t xml:space="preserve">Cerasano, S. P. 2005. “Edward Alleyn, the New Model Actor, and the Rise of the Celebrity in the 1590s.” </w:t>
      </w:r>
      <w:r w:rsidRPr="00FF53EE">
        <w:rPr>
          <w:i/>
          <w:iCs/>
        </w:rPr>
        <w:t>Medieval &amp; Renaissance Drama in England</w:t>
      </w:r>
      <w:r w:rsidRPr="00FF53EE">
        <w:t xml:space="preserve"> 18: </w:t>
      </w:r>
      <w:r w:rsidR="0057590D">
        <w:t xml:space="preserve">pp. </w:t>
      </w:r>
      <w:r w:rsidRPr="00FF53EE">
        <w:t>47–59.</w:t>
      </w:r>
    </w:p>
    <w:p w14:paraId="078082F8" w14:textId="03CC3AFE" w:rsidR="00FF53EE" w:rsidRDefault="00FF53EE">
      <w:pPr>
        <w:pStyle w:val="FootnoteText"/>
      </w:pPr>
    </w:p>
  </w:footnote>
  <w:footnote w:id="15">
    <w:p w14:paraId="07D98556" w14:textId="5277268D" w:rsidR="006015BB" w:rsidRDefault="006015BB">
      <w:pPr>
        <w:pStyle w:val="FootnoteText"/>
      </w:pPr>
      <w:r>
        <w:rPr>
          <w:rStyle w:val="FootnoteReference"/>
        </w:rPr>
        <w:footnoteRef/>
      </w:r>
      <w:r>
        <w:t xml:space="preserve"> </w:t>
      </w:r>
      <w:r w:rsidR="009C36F0">
        <w:t>Arber, Edward. Vol. 3</w:t>
      </w:r>
      <w:r w:rsidR="00952134">
        <w:t xml:space="preserve"> p. 442</w:t>
      </w:r>
    </w:p>
    <w:p w14:paraId="6C8CE25C" w14:textId="77777777" w:rsidR="00952134" w:rsidRDefault="00952134">
      <w:pPr>
        <w:pStyle w:val="FootnoteText"/>
      </w:pPr>
    </w:p>
  </w:footnote>
  <w:footnote w:id="16">
    <w:p w14:paraId="143F7AA2" w14:textId="5D3FC978" w:rsidR="003710B5" w:rsidRDefault="003710B5">
      <w:pPr>
        <w:pStyle w:val="FootnoteText"/>
      </w:pPr>
      <w:r>
        <w:rPr>
          <w:rStyle w:val="FootnoteReference"/>
        </w:rPr>
        <w:footnoteRef/>
      </w:r>
      <w:r>
        <w:t xml:space="preserve"> </w:t>
      </w:r>
      <w:r w:rsidR="00A709BC" w:rsidRPr="00A709BC">
        <w:t>Marlowe, Christopher (1962)</w:t>
      </w:r>
      <w:r w:rsidR="00A709BC" w:rsidRPr="00A709BC">
        <w:rPr>
          <w:i/>
          <w:iCs/>
        </w:rPr>
        <w:t>. Doctor Faustus, A- and B-texts (1604, 1616</w:t>
      </w:r>
      <w:r w:rsidR="00CF1D43">
        <w:rPr>
          <w:i/>
          <w:iCs/>
        </w:rPr>
        <w:t>).</w:t>
      </w:r>
      <w:r w:rsidR="00A709BC" w:rsidRPr="00A709BC">
        <w:t xml:space="preserve"> </w:t>
      </w:r>
      <w:r w:rsidR="00CF1D43">
        <w:t>eds. David Bevington and</w:t>
      </w:r>
      <w:r w:rsidR="00A709BC" w:rsidRPr="00A709BC">
        <w:t xml:space="preserve"> Eric</w:t>
      </w:r>
      <w:r w:rsidR="00CF1D43">
        <w:t xml:space="preserve"> Rasmussen. </w:t>
      </w:r>
      <w:r w:rsidR="00A709BC" w:rsidRPr="00A709BC">
        <w:t>Manchester: University of Manchester P. pp. 72–73</w:t>
      </w:r>
      <w:r>
        <w:t xml:space="preserve"> </w:t>
      </w:r>
    </w:p>
    <w:p w14:paraId="154F7BED" w14:textId="77777777" w:rsidR="006F277F" w:rsidRDefault="006F277F">
      <w:pPr>
        <w:pStyle w:val="FootnoteText"/>
      </w:pPr>
    </w:p>
  </w:footnote>
  <w:footnote w:id="17">
    <w:p w14:paraId="638675BF" w14:textId="4508EFA2" w:rsidR="00DF3FA1" w:rsidRDefault="00DF3FA1">
      <w:pPr>
        <w:pStyle w:val="FootnoteText"/>
      </w:pPr>
      <w:r>
        <w:rPr>
          <w:rStyle w:val="FootnoteReference"/>
        </w:rPr>
        <w:footnoteRef/>
      </w:r>
      <w:r w:rsidR="00FD451C">
        <w:t xml:space="preserve"> Marlowe, Christopher. </w:t>
      </w:r>
      <w:r w:rsidR="00FD451C" w:rsidRPr="00105FB3">
        <w:rPr>
          <w:i/>
          <w:iCs/>
        </w:rPr>
        <w:t>The Tragical History of Doctor Faustus</w:t>
      </w:r>
      <w:r w:rsidR="00FD451C">
        <w:t xml:space="preserve">. </w:t>
      </w:r>
      <w:r w:rsidR="00650CAD">
        <w:t xml:space="preserve">ed. The Reverend Alexander </w:t>
      </w:r>
      <w:r w:rsidR="00105FB3">
        <w:t xml:space="preserve">Dyce. Quarto of 1604. </w:t>
      </w:r>
      <w:proofErr w:type="gramStart"/>
      <w:r w:rsidR="00105FB3">
        <w:t>January,</w:t>
      </w:r>
      <w:proofErr w:type="gramEnd"/>
      <w:r w:rsidR="00105FB3">
        <w:t xml:space="preserve"> 1997</w:t>
      </w:r>
      <w:r>
        <w:t xml:space="preserve"> &lt;</w:t>
      </w:r>
      <w:r w:rsidRPr="00DF3FA1">
        <w:t>https://www.gutenberg.org/files/779/779-h/779-h.htm</w:t>
      </w:r>
      <w:r>
        <w:t xml:space="preserve">&gt; Accessed: </w:t>
      </w:r>
      <w:r w:rsidR="00FD451C">
        <w:t>20 September 2024</w:t>
      </w:r>
    </w:p>
    <w:p w14:paraId="3F073266" w14:textId="77777777" w:rsidR="0073386E" w:rsidRDefault="0073386E">
      <w:pPr>
        <w:pStyle w:val="FootnoteText"/>
      </w:pPr>
    </w:p>
  </w:footnote>
  <w:footnote w:id="18">
    <w:p w14:paraId="5FF5F8F2" w14:textId="6BCF0B33" w:rsidR="0073386E" w:rsidRDefault="0073386E">
      <w:pPr>
        <w:pStyle w:val="FootnoteText"/>
      </w:pPr>
      <w:r>
        <w:rPr>
          <w:rStyle w:val="FootnoteReference"/>
        </w:rPr>
        <w:footnoteRef/>
      </w:r>
      <w:r>
        <w:t xml:space="preserve"> Marlowe</w:t>
      </w:r>
      <w:r w:rsidR="00900F17">
        <w:t xml:space="preserve">, Christopher. The </w:t>
      </w:r>
      <w:proofErr w:type="spellStart"/>
      <w:r w:rsidR="00900F17">
        <w:t>Tragedie</w:t>
      </w:r>
      <w:proofErr w:type="spellEnd"/>
      <w:r w:rsidR="00900F17">
        <w:t xml:space="preserve"> of Doctor Faustus (B Text). Ed. Hilary Binda. Unknown date. &lt;</w:t>
      </w:r>
      <w:r w:rsidR="00900F17" w:rsidRPr="00900F17">
        <w:t xml:space="preserve"> </w:t>
      </w:r>
      <w:hyperlink r:id="rId6" w:history="1">
        <w:r w:rsidR="00900F17" w:rsidRPr="00045D32">
          <w:rPr>
            <w:rStyle w:val="Hyperlink"/>
          </w:rPr>
          <w:t>https://www.perseus.tufts.edu/hopper/text?doc=Perseus%3Atext%3A1999.03.0011%3Aact%3D2%3Ascene%3D2</w:t>
        </w:r>
      </w:hyperlink>
      <w:r w:rsidR="00900F17">
        <w:t>&gt; Accessed: 20 September 2024</w:t>
      </w:r>
    </w:p>
    <w:p w14:paraId="66CA2478" w14:textId="77777777" w:rsidR="00B00864" w:rsidRDefault="00B00864">
      <w:pPr>
        <w:pStyle w:val="FootnoteText"/>
      </w:pPr>
    </w:p>
  </w:footnote>
  <w:footnote w:id="19">
    <w:p w14:paraId="4CF7EAC0" w14:textId="320696ED" w:rsidR="00B00864" w:rsidRDefault="00B00864">
      <w:pPr>
        <w:pStyle w:val="FootnoteText"/>
      </w:pPr>
      <w:r>
        <w:rPr>
          <w:rStyle w:val="FootnoteReference"/>
        </w:rPr>
        <w:footnoteRef/>
      </w:r>
      <w:r>
        <w:t xml:space="preserve"> </w:t>
      </w:r>
      <w:r w:rsidR="00B23881">
        <w:t xml:space="preserve">Pinkerton, Jonathan. </w:t>
      </w:r>
      <w:r w:rsidR="00B23881" w:rsidRPr="00B23881">
        <w:rPr>
          <w:i/>
          <w:iCs/>
        </w:rPr>
        <w:t>Cut is the Branch: Faustus’s C Text.</w:t>
      </w:r>
      <w:r w:rsidR="00B23881">
        <w:t xml:space="preserve"> University of Kent. Unknown date. p. 132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57D"/>
    <w:rsid w:val="000258F8"/>
    <w:rsid w:val="000A70D4"/>
    <w:rsid w:val="001041D1"/>
    <w:rsid w:val="00105FB3"/>
    <w:rsid w:val="001136EA"/>
    <w:rsid w:val="001351DD"/>
    <w:rsid w:val="00175102"/>
    <w:rsid w:val="001A4D77"/>
    <w:rsid w:val="001E46A5"/>
    <w:rsid w:val="002114A4"/>
    <w:rsid w:val="0021654D"/>
    <w:rsid w:val="00223042"/>
    <w:rsid w:val="00284E44"/>
    <w:rsid w:val="002E0988"/>
    <w:rsid w:val="003515DB"/>
    <w:rsid w:val="0036244E"/>
    <w:rsid w:val="003710B5"/>
    <w:rsid w:val="003E5A4F"/>
    <w:rsid w:val="00416636"/>
    <w:rsid w:val="00420139"/>
    <w:rsid w:val="00430813"/>
    <w:rsid w:val="00474F75"/>
    <w:rsid w:val="004B0495"/>
    <w:rsid w:val="004B38B2"/>
    <w:rsid w:val="004D4137"/>
    <w:rsid w:val="005469FF"/>
    <w:rsid w:val="00547DAE"/>
    <w:rsid w:val="00554081"/>
    <w:rsid w:val="00574E04"/>
    <w:rsid w:val="0057590D"/>
    <w:rsid w:val="006015BB"/>
    <w:rsid w:val="00650CAD"/>
    <w:rsid w:val="006A35D5"/>
    <w:rsid w:val="006F277F"/>
    <w:rsid w:val="00705622"/>
    <w:rsid w:val="0071477E"/>
    <w:rsid w:val="0073386E"/>
    <w:rsid w:val="007A0538"/>
    <w:rsid w:val="0080369F"/>
    <w:rsid w:val="00857617"/>
    <w:rsid w:val="008931C7"/>
    <w:rsid w:val="008A007F"/>
    <w:rsid w:val="008A1870"/>
    <w:rsid w:val="008C478D"/>
    <w:rsid w:val="008E4348"/>
    <w:rsid w:val="00900F17"/>
    <w:rsid w:val="00927B6A"/>
    <w:rsid w:val="009402FD"/>
    <w:rsid w:val="00952134"/>
    <w:rsid w:val="00967085"/>
    <w:rsid w:val="009C36F0"/>
    <w:rsid w:val="00A709BC"/>
    <w:rsid w:val="00AA31DB"/>
    <w:rsid w:val="00AC3418"/>
    <w:rsid w:val="00AD2746"/>
    <w:rsid w:val="00AD696A"/>
    <w:rsid w:val="00B00864"/>
    <w:rsid w:val="00B23881"/>
    <w:rsid w:val="00B26D50"/>
    <w:rsid w:val="00B75807"/>
    <w:rsid w:val="00BB3EA7"/>
    <w:rsid w:val="00BD62BE"/>
    <w:rsid w:val="00C1361F"/>
    <w:rsid w:val="00C301E3"/>
    <w:rsid w:val="00C35809"/>
    <w:rsid w:val="00C41523"/>
    <w:rsid w:val="00C8683D"/>
    <w:rsid w:val="00CA796C"/>
    <w:rsid w:val="00CF1D43"/>
    <w:rsid w:val="00D20E06"/>
    <w:rsid w:val="00DA3FA9"/>
    <w:rsid w:val="00DF3FA1"/>
    <w:rsid w:val="00E04999"/>
    <w:rsid w:val="00E27DDC"/>
    <w:rsid w:val="00EE53D8"/>
    <w:rsid w:val="00F13FFC"/>
    <w:rsid w:val="00F25AEA"/>
    <w:rsid w:val="00F26A1C"/>
    <w:rsid w:val="00F7657D"/>
    <w:rsid w:val="00F900FF"/>
    <w:rsid w:val="00FC4875"/>
    <w:rsid w:val="00FD451C"/>
    <w:rsid w:val="00FF5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52A015"/>
  <w15:chartTrackingRefBased/>
  <w15:docId w15:val="{9C76F902-E8C0-7A4A-BB30-1BC68929D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3EE"/>
    <w:rPr>
      <w:rFonts w:ascii="Times New Roman" w:hAnsi="Times New Roman" w:cs="Times New Roman"/>
    </w:rPr>
  </w:style>
  <w:style w:type="paragraph" w:styleId="Heading1">
    <w:name w:val="heading 1"/>
    <w:basedOn w:val="Normal"/>
    <w:next w:val="Normal"/>
    <w:link w:val="Heading1Char"/>
    <w:uiPriority w:val="9"/>
    <w:qFormat/>
    <w:rsid w:val="00F765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65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5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65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5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5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5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5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5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7657D"/>
    <w:pPr>
      <w:spacing w:after="0" w:line="240" w:lineRule="auto"/>
      <w:contextualSpacing/>
      <w:jc w:val="center"/>
    </w:pPr>
    <w:rPr>
      <w:rFonts w:ascii="Arial" w:eastAsiaTheme="majorEastAsia" w:hAnsi="Arial" w:cs="Arial"/>
      <w:b/>
      <w:bCs/>
      <w:spacing w:val="-10"/>
      <w:kern w:val="28"/>
      <w:sz w:val="28"/>
      <w:szCs w:val="28"/>
    </w:rPr>
  </w:style>
  <w:style w:type="character" w:customStyle="1" w:styleId="TitleChar">
    <w:name w:val="Title Char"/>
    <w:basedOn w:val="DefaultParagraphFont"/>
    <w:link w:val="Title"/>
    <w:uiPriority w:val="10"/>
    <w:rsid w:val="00F7657D"/>
    <w:rPr>
      <w:rFonts w:ascii="Arial" w:eastAsiaTheme="majorEastAsia" w:hAnsi="Arial" w:cs="Arial"/>
      <w:b/>
      <w:bCs/>
      <w:spacing w:val="-10"/>
      <w:kern w:val="28"/>
      <w:sz w:val="28"/>
      <w:szCs w:val="28"/>
    </w:rPr>
  </w:style>
  <w:style w:type="character" w:customStyle="1" w:styleId="Heading1Char">
    <w:name w:val="Heading 1 Char"/>
    <w:basedOn w:val="DefaultParagraphFont"/>
    <w:link w:val="Heading1"/>
    <w:uiPriority w:val="9"/>
    <w:rsid w:val="00F765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65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5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65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5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5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5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5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57D"/>
    <w:rPr>
      <w:rFonts w:eastAsiaTheme="majorEastAsia" w:cstheme="majorBidi"/>
      <w:color w:val="272727" w:themeColor="text1" w:themeTint="D8"/>
    </w:rPr>
  </w:style>
  <w:style w:type="paragraph" w:styleId="Subtitle">
    <w:name w:val="Subtitle"/>
    <w:basedOn w:val="Normal"/>
    <w:next w:val="Normal"/>
    <w:link w:val="SubtitleChar"/>
    <w:uiPriority w:val="11"/>
    <w:qFormat/>
    <w:rsid w:val="00F765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5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57D"/>
    <w:pPr>
      <w:spacing w:before="160"/>
      <w:jc w:val="center"/>
    </w:pPr>
    <w:rPr>
      <w:i/>
      <w:iCs/>
      <w:color w:val="404040" w:themeColor="text1" w:themeTint="BF"/>
    </w:rPr>
  </w:style>
  <w:style w:type="character" w:customStyle="1" w:styleId="QuoteChar">
    <w:name w:val="Quote Char"/>
    <w:basedOn w:val="DefaultParagraphFont"/>
    <w:link w:val="Quote"/>
    <w:uiPriority w:val="29"/>
    <w:rsid w:val="00F7657D"/>
    <w:rPr>
      <w:i/>
      <w:iCs/>
      <w:color w:val="404040" w:themeColor="text1" w:themeTint="BF"/>
    </w:rPr>
  </w:style>
  <w:style w:type="paragraph" w:styleId="ListParagraph">
    <w:name w:val="List Paragraph"/>
    <w:basedOn w:val="Normal"/>
    <w:uiPriority w:val="34"/>
    <w:qFormat/>
    <w:rsid w:val="00F7657D"/>
    <w:pPr>
      <w:ind w:left="720"/>
      <w:contextualSpacing/>
    </w:pPr>
  </w:style>
  <w:style w:type="character" w:styleId="IntenseEmphasis">
    <w:name w:val="Intense Emphasis"/>
    <w:basedOn w:val="DefaultParagraphFont"/>
    <w:uiPriority w:val="21"/>
    <w:qFormat/>
    <w:rsid w:val="00F7657D"/>
    <w:rPr>
      <w:i/>
      <w:iCs/>
      <w:color w:val="0F4761" w:themeColor="accent1" w:themeShade="BF"/>
    </w:rPr>
  </w:style>
  <w:style w:type="paragraph" w:styleId="IntenseQuote">
    <w:name w:val="Intense Quote"/>
    <w:basedOn w:val="Normal"/>
    <w:next w:val="Normal"/>
    <w:link w:val="IntenseQuoteChar"/>
    <w:uiPriority w:val="30"/>
    <w:qFormat/>
    <w:rsid w:val="00F765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57D"/>
    <w:rPr>
      <w:i/>
      <w:iCs/>
      <w:color w:val="0F4761" w:themeColor="accent1" w:themeShade="BF"/>
    </w:rPr>
  </w:style>
  <w:style w:type="character" w:styleId="IntenseReference">
    <w:name w:val="Intense Reference"/>
    <w:basedOn w:val="DefaultParagraphFont"/>
    <w:uiPriority w:val="32"/>
    <w:qFormat/>
    <w:rsid w:val="00F7657D"/>
    <w:rPr>
      <w:b/>
      <w:bCs/>
      <w:smallCaps/>
      <w:color w:val="0F4761" w:themeColor="accent1" w:themeShade="BF"/>
      <w:spacing w:val="5"/>
    </w:rPr>
  </w:style>
  <w:style w:type="paragraph" w:styleId="FootnoteText">
    <w:name w:val="footnote text"/>
    <w:basedOn w:val="Normal"/>
    <w:link w:val="FootnoteTextChar"/>
    <w:uiPriority w:val="99"/>
    <w:unhideWhenUsed/>
    <w:rsid w:val="003515DB"/>
    <w:pPr>
      <w:spacing w:after="0" w:line="240" w:lineRule="auto"/>
    </w:pPr>
    <w:rPr>
      <w:sz w:val="20"/>
      <w:szCs w:val="20"/>
    </w:rPr>
  </w:style>
  <w:style w:type="character" w:customStyle="1" w:styleId="FootnoteTextChar">
    <w:name w:val="Footnote Text Char"/>
    <w:basedOn w:val="DefaultParagraphFont"/>
    <w:link w:val="FootnoteText"/>
    <w:uiPriority w:val="99"/>
    <w:rsid w:val="003515DB"/>
    <w:rPr>
      <w:sz w:val="20"/>
      <w:szCs w:val="20"/>
    </w:rPr>
  </w:style>
  <w:style w:type="character" w:styleId="FootnoteReference">
    <w:name w:val="footnote reference"/>
    <w:basedOn w:val="DefaultParagraphFont"/>
    <w:uiPriority w:val="99"/>
    <w:semiHidden/>
    <w:unhideWhenUsed/>
    <w:rsid w:val="003515DB"/>
    <w:rPr>
      <w:vertAlign w:val="superscript"/>
    </w:rPr>
  </w:style>
  <w:style w:type="character" w:styleId="Hyperlink">
    <w:name w:val="Hyperlink"/>
    <w:basedOn w:val="DefaultParagraphFont"/>
    <w:uiPriority w:val="99"/>
    <w:unhideWhenUsed/>
    <w:rsid w:val="003515DB"/>
    <w:rPr>
      <w:color w:val="467886" w:themeColor="hyperlink"/>
      <w:u w:val="single"/>
    </w:rPr>
  </w:style>
  <w:style w:type="character" w:styleId="UnresolvedMention">
    <w:name w:val="Unresolved Mention"/>
    <w:basedOn w:val="DefaultParagraphFont"/>
    <w:uiPriority w:val="99"/>
    <w:semiHidden/>
    <w:unhideWhenUsed/>
    <w:rsid w:val="003515DB"/>
    <w:rPr>
      <w:color w:val="605E5C"/>
      <w:shd w:val="clear" w:color="auto" w:fill="E1DFDD"/>
    </w:rPr>
  </w:style>
  <w:style w:type="character" w:styleId="FollowedHyperlink">
    <w:name w:val="FollowedHyperlink"/>
    <w:basedOn w:val="DefaultParagraphFont"/>
    <w:uiPriority w:val="99"/>
    <w:semiHidden/>
    <w:unhideWhenUsed/>
    <w:rsid w:val="00C35809"/>
    <w:rPr>
      <w:color w:val="96607D" w:themeColor="followedHyperlink"/>
      <w:u w:val="single"/>
    </w:rPr>
  </w:style>
  <w:style w:type="paragraph" w:styleId="NormalWeb">
    <w:name w:val="Normal (Web)"/>
    <w:basedOn w:val="Normal"/>
    <w:uiPriority w:val="99"/>
    <w:semiHidden/>
    <w:unhideWhenUsed/>
    <w:rsid w:val="00E04999"/>
  </w:style>
  <w:style w:type="paragraph" w:styleId="Header">
    <w:name w:val="header"/>
    <w:basedOn w:val="Normal"/>
    <w:link w:val="HeaderChar"/>
    <w:uiPriority w:val="99"/>
    <w:unhideWhenUsed/>
    <w:rsid w:val="00B23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881"/>
    <w:rPr>
      <w:rFonts w:ascii="Times New Roman" w:hAnsi="Times New Roman" w:cs="Times New Roman"/>
    </w:rPr>
  </w:style>
  <w:style w:type="paragraph" w:styleId="Footer">
    <w:name w:val="footer"/>
    <w:basedOn w:val="Normal"/>
    <w:link w:val="FooterChar"/>
    <w:uiPriority w:val="99"/>
    <w:unhideWhenUsed/>
    <w:rsid w:val="00B23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88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913201">
      <w:bodyDiv w:val="1"/>
      <w:marLeft w:val="0"/>
      <w:marRight w:val="0"/>
      <w:marTop w:val="0"/>
      <w:marBottom w:val="0"/>
      <w:divBdr>
        <w:top w:val="none" w:sz="0" w:space="0" w:color="auto"/>
        <w:left w:val="none" w:sz="0" w:space="0" w:color="auto"/>
        <w:bottom w:val="none" w:sz="0" w:space="0" w:color="auto"/>
        <w:right w:val="none" w:sz="0" w:space="0" w:color="auto"/>
      </w:divBdr>
      <w:divsChild>
        <w:div w:id="1604460903">
          <w:marLeft w:val="0"/>
          <w:marRight w:val="0"/>
          <w:marTop w:val="0"/>
          <w:marBottom w:val="0"/>
          <w:divBdr>
            <w:top w:val="none" w:sz="0" w:space="0" w:color="auto"/>
            <w:left w:val="none" w:sz="0" w:space="0" w:color="auto"/>
            <w:bottom w:val="none" w:sz="0" w:space="0" w:color="auto"/>
            <w:right w:val="none" w:sz="0" w:space="0" w:color="auto"/>
          </w:divBdr>
          <w:divsChild>
            <w:div w:id="207612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848746">
      <w:bodyDiv w:val="1"/>
      <w:marLeft w:val="0"/>
      <w:marRight w:val="0"/>
      <w:marTop w:val="0"/>
      <w:marBottom w:val="0"/>
      <w:divBdr>
        <w:top w:val="none" w:sz="0" w:space="0" w:color="auto"/>
        <w:left w:val="none" w:sz="0" w:space="0" w:color="auto"/>
        <w:bottom w:val="none" w:sz="0" w:space="0" w:color="auto"/>
        <w:right w:val="none" w:sz="0" w:space="0" w:color="auto"/>
      </w:divBdr>
    </w:div>
    <w:div w:id="313412838">
      <w:bodyDiv w:val="1"/>
      <w:marLeft w:val="0"/>
      <w:marRight w:val="0"/>
      <w:marTop w:val="0"/>
      <w:marBottom w:val="0"/>
      <w:divBdr>
        <w:top w:val="none" w:sz="0" w:space="0" w:color="auto"/>
        <w:left w:val="none" w:sz="0" w:space="0" w:color="auto"/>
        <w:bottom w:val="none" w:sz="0" w:space="0" w:color="auto"/>
        <w:right w:val="none" w:sz="0" w:space="0" w:color="auto"/>
      </w:divBdr>
      <w:divsChild>
        <w:div w:id="1296256610">
          <w:marLeft w:val="0"/>
          <w:marRight w:val="0"/>
          <w:marTop w:val="0"/>
          <w:marBottom w:val="0"/>
          <w:divBdr>
            <w:top w:val="none" w:sz="0" w:space="0" w:color="auto"/>
            <w:left w:val="none" w:sz="0" w:space="0" w:color="auto"/>
            <w:bottom w:val="none" w:sz="0" w:space="0" w:color="auto"/>
            <w:right w:val="none" w:sz="0" w:space="0" w:color="auto"/>
          </w:divBdr>
          <w:divsChild>
            <w:div w:id="145799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607667">
      <w:bodyDiv w:val="1"/>
      <w:marLeft w:val="0"/>
      <w:marRight w:val="0"/>
      <w:marTop w:val="0"/>
      <w:marBottom w:val="0"/>
      <w:divBdr>
        <w:top w:val="none" w:sz="0" w:space="0" w:color="auto"/>
        <w:left w:val="none" w:sz="0" w:space="0" w:color="auto"/>
        <w:bottom w:val="none" w:sz="0" w:space="0" w:color="auto"/>
        <w:right w:val="none" w:sz="0" w:space="0" w:color="auto"/>
      </w:divBdr>
      <w:divsChild>
        <w:div w:id="1808084246">
          <w:marLeft w:val="0"/>
          <w:marRight w:val="0"/>
          <w:marTop w:val="0"/>
          <w:marBottom w:val="0"/>
          <w:divBdr>
            <w:top w:val="none" w:sz="0" w:space="0" w:color="auto"/>
            <w:left w:val="none" w:sz="0" w:space="0" w:color="auto"/>
            <w:bottom w:val="none" w:sz="0" w:space="0" w:color="auto"/>
            <w:right w:val="none" w:sz="0" w:space="0" w:color="auto"/>
          </w:divBdr>
          <w:divsChild>
            <w:div w:id="601500978">
              <w:marLeft w:val="0"/>
              <w:marRight w:val="0"/>
              <w:marTop w:val="0"/>
              <w:marBottom w:val="0"/>
              <w:divBdr>
                <w:top w:val="none" w:sz="0" w:space="0" w:color="auto"/>
                <w:left w:val="none" w:sz="0" w:space="0" w:color="auto"/>
                <w:bottom w:val="none" w:sz="0" w:space="0" w:color="auto"/>
                <w:right w:val="none" w:sz="0" w:space="0" w:color="auto"/>
              </w:divBdr>
              <w:divsChild>
                <w:div w:id="1711879783">
                  <w:marLeft w:val="0"/>
                  <w:marRight w:val="0"/>
                  <w:marTop w:val="0"/>
                  <w:marBottom w:val="0"/>
                  <w:divBdr>
                    <w:top w:val="none" w:sz="0" w:space="0" w:color="auto"/>
                    <w:left w:val="none" w:sz="0" w:space="0" w:color="auto"/>
                    <w:bottom w:val="none" w:sz="0" w:space="0" w:color="auto"/>
                    <w:right w:val="none" w:sz="0" w:space="0" w:color="auto"/>
                  </w:divBdr>
                  <w:divsChild>
                    <w:div w:id="23017742">
                      <w:marLeft w:val="0"/>
                      <w:marRight w:val="0"/>
                      <w:marTop w:val="0"/>
                      <w:marBottom w:val="0"/>
                      <w:divBdr>
                        <w:top w:val="none" w:sz="0" w:space="0" w:color="auto"/>
                        <w:left w:val="none" w:sz="0" w:space="0" w:color="auto"/>
                        <w:bottom w:val="none" w:sz="0" w:space="0" w:color="auto"/>
                        <w:right w:val="none" w:sz="0" w:space="0" w:color="auto"/>
                      </w:divBdr>
                      <w:divsChild>
                        <w:div w:id="1821339052">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3281589">
      <w:bodyDiv w:val="1"/>
      <w:marLeft w:val="0"/>
      <w:marRight w:val="0"/>
      <w:marTop w:val="0"/>
      <w:marBottom w:val="0"/>
      <w:divBdr>
        <w:top w:val="none" w:sz="0" w:space="0" w:color="auto"/>
        <w:left w:val="none" w:sz="0" w:space="0" w:color="auto"/>
        <w:bottom w:val="none" w:sz="0" w:space="0" w:color="auto"/>
        <w:right w:val="none" w:sz="0" w:space="0" w:color="auto"/>
      </w:divBdr>
      <w:divsChild>
        <w:div w:id="1352612255">
          <w:marLeft w:val="0"/>
          <w:marRight w:val="0"/>
          <w:marTop w:val="0"/>
          <w:marBottom w:val="0"/>
          <w:divBdr>
            <w:top w:val="none" w:sz="0" w:space="0" w:color="auto"/>
            <w:left w:val="none" w:sz="0" w:space="0" w:color="auto"/>
            <w:bottom w:val="none" w:sz="0" w:space="0" w:color="auto"/>
            <w:right w:val="none" w:sz="0" w:space="0" w:color="auto"/>
          </w:divBdr>
          <w:divsChild>
            <w:div w:id="188266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454593">
      <w:bodyDiv w:val="1"/>
      <w:marLeft w:val="0"/>
      <w:marRight w:val="0"/>
      <w:marTop w:val="0"/>
      <w:marBottom w:val="0"/>
      <w:divBdr>
        <w:top w:val="none" w:sz="0" w:space="0" w:color="auto"/>
        <w:left w:val="none" w:sz="0" w:space="0" w:color="auto"/>
        <w:bottom w:val="none" w:sz="0" w:space="0" w:color="auto"/>
        <w:right w:val="none" w:sz="0" w:space="0" w:color="auto"/>
      </w:divBdr>
    </w:div>
    <w:div w:id="1265041730">
      <w:bodyDiv w:val="1"/>
      <w:marLeft w:val="0"/>
      <w:marRight w:val="0"/>
      <w:marTop w:val="0"/>
      <w:marBottom w:val="0"/>
      <w:divBdr>
        <w:top w:val="none" w:sz="0" w:space="0" w:color="auto"/>
        <w:left w:val="none" w:sz="0" w:space="0" w:color="auto"/>
        <w:bottom w:val="none" w:sz="0" w:space="0" w:color="auto"/>
        <w:right w:val="none" w:sz="0" w:space="0" w:color="auto"/>
      </w:divBdr>
      <w:divsChild>
        <w:div w:id="385490581">
          <w:marLeft w:val="0"/>
          <w:marRight w:val="0"/>
          <w:marTop w:val="0"/>
          <w:marBottom w:val="0"/>
          <w:divBdr>
            <w:top w:val="none" w:sz="0" w:space="0" w:color="auto"/>
            <w:left w:val="none" w:sz="0" w:space="0" w:color="auto"/>
            <w:bottom w:val="none" w:sz="0" w:space="0" w:color="auto"/>
            <w:right w:val="none" w:sz="0" w:space="0" w:color="auto"/>
          </w:divBdr>
          <w:divsChild>
            <w:div w:id="103581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742290">
      <w:bodyDiv w:val="1"/>
      <w:marLeft w:val="0"/>
      <w:marRight w:val="0"/>
      <w:marTop w:val="0"/>
      <w:marBottom w:val="0"/>
      <w:divBdr>
        <w:top w:val="none" w:sz="0" w:space="0" w:color="auto"/>
        <w:left w:val="none" w:sz="0" w:space="0" w:color="auto"/>
        <w:bottom w:val="none" w:sz="0" w:space="0" w:color="auto"/>
        <w:right w:val="none" w:sz="0" w:space="0" w:color="auto"/>
      </w:divBdr>
      <w:divsChild>
        <w:div w:id="568467167">
          <w:marLeft w:val="0"/>
          <w:marRight w:val="0"/>
          <w:marTop w:val="0"/>
          <w:marBottom w:val="0"/>
          <w:divBdr>
            <w:top w:val="none" w:sz="0" w:space="0" w:color="auto"/>
            <w:left w:val="none" w:sz="0" w:space="0" w:color="auto"/>
            <w:bottom w:val="none" w:sz="0" w:space="0" w:color="auto"/>
            <w:right w:val="none" w:sz="0" w:space="0" w:color="auto"/>
          </w:divBdr>
          <w:divsChild>
            <w:div w:id="45194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995060">
      <w:bodyDiv w:val="1"/>
      <w:marLeft w:val="0"/>
      <w:marRight w:val="0"/>
      <w:marTop w:val="0"/>
      <w:marBottom w:val="0"/>
      <w:divBdr>
        <w:top w:val="none" w:sz="0" w:space="0" w:color="auto"/>
        <w:left w:val="none" w:sz="0" w:space="0" w:color="auto"/>
        <w:bottom w:val="none" w:sz="0" w:space="0" w:color="auto"/>
        <w:right w:val="none" w:sz="0" w:space="0" w:color="auto"/>
      </w:divBdr>
      <w:divsChild>
        <w:div w:id="153376316">
          <w:marLeft w:val="0"/>
          <w:marRight w:val="0"/>
          <w:marTop w:val="0"/>
          <w:marBottom w:val="0"/>
          <w:divBdr>
            <w:top w:val="none" w:sz="0" w:space="0" w:color="auto"/>
            <w:left w:val="none" w:sz="0" w:space="0" w:color="auto"/>
            <w:bottom w:val="none" w:sz="0" w:space="0" w:color="auto"/>
            <w:right w:val="none" w:sz="0" w:space="0" w:color="auto"/>
          </w:divBdr>
          <w:divsChild>
            <w:div w:id="35700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505650">
      <w:bodyDiv w:val="1"/>
      <w:marLeft w:val="0"/>
      <w:marRight w:val="0"/>
      <w:marTop w:val="0"/>
      <w:marBottom w:val="0"/>
      <w:divBdr>
        <w:top w:val="none" w:sz="0" w:space="0" w:color="auto"/>
        <w:left w:val="none" w:sz="0" w:space="0" w:color="auto"/>
        <w:bottom w:val="none" w:sz="0" w:space="0" w:color="auto"/>
        <w:right w:val="none" w:sz="0" w:space="0" w:color="auto"/>
      </w:divBdr>
      <w:divsChild>
        <w:div w:id="488906934">
          <w:marLeft w:val="0"/>
          <w:marRight w:val="0"/>
          <w:marTop w:val="0"/>
          <w:marBottom w:val="0"/>
          <w:divBdr>
            <w:top w:val="none" w:sz="0" w:space="0" w:color="auto"/>
            <w:left w:val="none" w:sz="0" w:space="0" w:color="auto"/>
            <w:bottom w:val="none" w:sz="0" w:space="0" w:color="auto"/>
            <w:right w:val="none" w:sz="0" w:space="0" w:color="auto"/>
          </w:divBdr>
          <w:divsChild>
            <w:div w:id="179466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164996">
      <w:bodyDiv w:val="1"/>
      <w:marLeft w:val="0"/>
      <w:marRight w:val="0"/>
      <w:marTop w:val="0"/>
      <w:marBottom w:val="0"/>
      <w:divBdr>
        <w:top w:val="none" w:sz="0" w:space="0" w:color="auto"/>
        <w:left w:val="none" w:sz="0" w:space="0" w:color="auto"/>
        <w:bottom w:val="none" w:sz="0" w:space="0" w:color="auto"/>
        <w:right w:val="none" w:sz="0" w:space="0" w:color="auto"/>
      </w:divBdr>
      <w:divsChild>
        <w:div w:id="720592048">
          <w:marLeft w:val="0"/>
          <w:marRight w:val="0"/>
          <w:marTop w:val="0"/>
          <w:marBottom w:val="0"/>
          <w:divBdr>
            <w:top w:val="none" w:sz="0" w:space="0" w:color="auto"/>
            <w:left w:val="none" w:sz="0" w:space="0" w:color="auto"/>
            <w:bottom w:val="none" w:sz="0" w:space="0" w:color="auto"/>
            <w:right w:val="none" w:sz="0" w:space="0" w:color="auto"/>
          </w:divBdr>
          <w:divsChild>
            <w:div w:id="1573348090">
              <w:marLeft w:val="0"/>
              <w:marRight w:val="0"/>
              <w:marTop w:val="0"/>
              <w:marBottom w:val="0"/>
              <w:divBdr>
                <w:top w:val="none" w:sz="0" w:space="0" w:color="auto"/>
                <w:left w:val="none" w:sz="0" w:space="0" w:color="auto"/>
                <w:bottom w:val="none" w:sz="0" w:space="0" w:color="auto"/>
                <w:right w:val="none" w:sz="0" w:space="0" w:color="auto"/>
              </w:divBdr>
              <w:divsChild>
                <w:div w:id="1147090323">
                  <w:marLeft w:val="0"/>
                  <w:marRight w:val="0"/>
                  <w:marTop w:val="0"/>
                  <w:marBottom w:val="0"/>
                  <w:divBdr>
                    <w:top w:val="none" w:sz="0" w:space="0" w:color="auto"/>
                    <w:left w:val="none" w:sz="0" w:space="0" w:color="auto"/>
                    <w:bottom w:val="none" w:sz="0" w:space="0" w:color="auto"/>
                    <w:right w:val="none" w:sz="0" w:space="0" w:color="auto"/>
                  </w:divBdr>
                  <w:divsChild>
                    <w:div w:id="291522844">
                      <w:marLeft w:val="0"/>
                      <w:marRight w:val="0"/>
                      <w:marTop w:val="0"/>
                      <w:marBottom w:val="0"/>
                      <w:divBdr>
                        <w:top w:val="none" w:sz="0" w:space="0" w:color="auto"/>
                        <w:left w:val="none" w:sz="0" w:space="0" w:color="auto"/>
                        <w:bottom w:val="none" w:sz="0" w:space="0" w:color="auto"/>
                        <w:right w:val="none" w:sz="0" w:space="0" w:color="auto"/>
                      </w:divBdr>
                      <w:divsChild>
                        <w:div w:id="1258249770">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erseus.tufts.edu/hopper/text?doc=Perseus%3Atext%3A1999.03.0011%3Aact%3D2%3Ascene%3D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oquest.com/books/tragicall-history-d-faustus-as-hath-bene-acted/docview/2240937580/se-2"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hensloweasablog.blogspot.com/p/who-were-admirals-men.html" TargetMode="External"/><Relationship Id="rId2" Type="http://schemas.openxmlformats.org/officeDocument/2006/relationships/hyperlink" Target="https://www.rsc.org.uk/dido-queen-of-carthage/about-the-play/who-was-christopher-marlowe" TargetMode="External"/><Relationship Id="rId1" Type="http://schemas.openxmlformats.org/officeDocument/2006/relationships/hyperlink" Target="https://www.proquest.com/books/tragicall-history-d-faustus-as-hath-bene-acted/docview/2240937580/se-2" TargetMode="External"/><Relationship Id="rId6" Type="http://schemas.openxmlformats.org/officeDocument/2006/relationships/hyperlink" Target="https://www.perseus.tufts.edu/hopper/text?doc=Perseus%3Atext%3A1999.03.0011%3Aact%3D2%3Ascene%3D2" TargetMode="External"/><Relationship Id="rId5" Type="http://schemas.openxmlformats.org/officeDocument/2006/relationships/hyperlink" Target="https://christopher.marlowe.at/admirals-men/" TargetMode="External"/><Relationship Id="rId4" Type="http://schemas.openxmlformats.org/officeDocument/2006/relationships/hyperlink" Target="http://hensloweasablog.blogspot.com/p/who-were-admirals-m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6</Pages>
  <Words>1252</Words>
  <Characters>7141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Rich</dc:creator>
  <cp:keywords/>
  <dc:description/>
  <cp:lastModifiedBy>Eden Rich</cp:lastModifiedBy>
  <cp:revision>12</cp:revision>
  <dcterms:created xsi:type="dcterms:W3CDTF">2024-09-21T12:30:00Z</dcterms:created>
  <dcterms:modified xsi:type="dcterms:W3CDTF">2024-09-25T10:13:00Z</dcterms:modified>
</cp:coreProperties>
</file>