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A631E" w14:textId="77777777" w:rsidR="00E65272" w:rsidRDefault="00E65272" w:rsidP="00E65272">
      <w:pPr>
        <w:jc w:val="center"/>
      </w:pPr>
    </w:p>
    <w:p w14:paraId="18E96C4A" w14:textId="77777777" w:rsidR="00E65272" w:rsidRPr="00E75DF5" w:rsidRDefault="00E65272" w:rsidP="00E65272">
      <w:pPr>
        <w:jc w:val="center"/>
        <w:rPr>
          <w:rFonts w:ascii="Arial" w:hAnsi="Arial" w:cs="Arial"/>
          <w:b/>
          <w:bCs/>
          <w:sz w:val="24"/>
          <w:szCs w:val="24"/>
        </w:rPr>
      </w:pPr>
      <w:r w:rsidRPr="00E75DF5">
        <w:rPr>
          <w:rFonts w:ascii="Arial" w:hAnsi="Arial" w:cs="Arial"/>
          <w:b/>
          <w:bCs/>
          <w:sz w:val="24"/>
          <w:szCs w:val="24"/>
        </w:rPr>
        <w:t xml:space="preserve">Assignment 1 </w:t>
      </w:r>
      <w:r>
        <w:rPr>
          <w:rFonts w:ascii="Arial" w:hAnsi="Arial" w:cs="Arial"/>
          <w:b/>
          <w:bCs/>
          <w:sz w:val="24"/>
          <w:szCs w:val="24"/>
        </w:rPr>
        <w:t xml:space="preserve">The </w:t>
      </w:r>
      <w:r w:rsidRPr="00E75DF5">
        <w:rPr>
          <w:rFonts w:ascii="Arial" w:hAnsi="Arial" w:cs="Arial"/>
          <w:b/>
          <w:bCs/>
          <w:sz w:val="24"/>
          <w:szCs w:val="24"/>
        </w:rPr>
        <w:t>Global Business Environment  (Individual report)</w:t>
      </w:r>
    </w:p>
    <w:p w14:paraId="4DEC060F" w14:textId="77777777" w:rsidR="00E65272" w:rsidRPr="00E75DF5" w:rsidRDefault="00E65272" w:rsidP="00E65272">
      <w:pPr>
        <w:jc w:val="center"/>
      </w:pPr>
      <w:r>
        <w:rPr>
          <w:noProof/>
        </w:rPr>
        <w:drawing>
          <wp:inline distT="0" distB="0" distL="0" distR="0" wp14:anchorId="29B3063C" wp14:editId="5402EFD5">
            <wp:extent cx="2758440" cy="1838960"/>
            <wp:effectExtent l="0" t="0" r="3810" b="889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8440" cy="1838960"/>
                    </a:xfrm>
                    <a:prstGeom prst="rect">
                      <a:avLst/>
                    </a:prstGeom>
                    <a:noFill/>
                    <a:ln>
                      <a:noFill/>
                    </a:ln>
                  </pic:spPr>
                </pic:pic>
              </a:graphicData>
            </a:graphic>
          </wp:inline>
        </w:drawing>
      </w:r>
    </w:p>
    <w:p w14:paraId="72B1499C" w14:textId="77777777" w:rsidR="00E65272" w:rsidRDefault="00E65272" w:rsidP="00E65272">
      <w:pPr>
        <w:pStyle w:val="Default"/>
        <w:spacing w:line="360" w:lineRule="auto"/>
        <w:jc w:val="center"/>
      </w:pPr>
    </w:p>
    <w:p w14:paraId="1661CF8C" w14:textId="77777777" w:rsidR="00E65272" w:rsidRPr="00B70B3B" w:rsidRDefault="00E65272" w:rsidP="00E65272">
      <w:pPr>
        <w:pStyle w:val="Default"/>
        <w:spacing w:line="360" w:lineRule="auto"/>
        <w:jc w:val="center"/>
      </w:pPr>
      <w:r>
        <w:t>Cource: BA Bussiness Managment</w:t>
      </w:r>
    </w:p>
    <w:p w14:paraId="4163FAA9" w14:textId="77777777" w:rsidR="00E65272" w:rsidRPr="00B70B3B" w:rsidRDefault="00E65272" w:rsidP="00E65272">
      <w:pPr>
        <w:pStyle w:val="Default"/>
        <w:spacing w:line="360" w:lineRule="auto"/>
        <w:jc w:val="center"/>
      </w:pPr>
      <w:r w:rsidRPr="00B70B3B">
        <w:t>Module</w:t>
      </w:r>
      <w:r>
        <w:t xml:space="preserve"> name</w:t>
      </w:r>
      <w:r w:rsidRPr="00B70B3B">
        <w:t>: Academic skills</w:t>
      </w:r>
    </w:p>
    <w:p w14:paraId="33940634" w14:textId="77777777" w:rsidR="00E65272" w:rsidRDefault="00E65272" w:rsidP="00E65272">
      <w:pPr>
        <w:pStyle w:val="Default"/>
        <w:spacing w:line="360" w:lineRule="auto"/>
        <w:jc w:val="center"/>
      </w:pPr>
      <w:r w:rsidRPr="00B70B3B">
        <w:t>Module Code: LCBB400</w:t>
      </w:r>
      <w:r>
        <w:t>5</w:t>
      </w:r>
    </w:p>
    <w:p w14:paraId="50BEC671" w14:textId="77777777" w:rsidR="00E65272" w:rsidRPr="00C54AA7" w:rsidRDefault="00E65272" w:rsidP="00E65272">
      <w:pPr>
        <w:jc w:val="center"/>
        <w:rPr>
          <w:rFonts w:ascii="Arial" w:hAnsi="Arial" w:cs="Arial"/>
          <w:sz w:val="24"/>
          <w:szCs w:val="24"/>
        </w:rPr>
      </w:pPr>
      <w:r w:rsidRPr="00910000">
        <w:rPr>
          <w:rFonts w:ascii="Arial" w:hAnsi="Arial" w:cs="Arial"/>
          <w:sz w:val="24"/>
          <w:szCs w:val="24"/>
        </w:rPr>
        <w:t>Lecture name: Alfred</w:t>
      </w:r>
      <w:r>
        <w:rPr>
          <w:rFonts w:ascii="Arial" w:hAnsi="Arial" w:cs="Arial"/>
          <w:sz w:val="24"/>
          <w:szCs w:val="24"/>
        </w:rPr>
        <w:t xml:space="preserve"> Mensah</w:t>
      </w:r>
    </w:p>
    <w:p w14:paraId="41CFB6D1" w14:textId="77777777" w:rsidR="00E65272" w:rsidRPr="00B70B3B" w:rsidRDefault="00E65272" w:rsidP="00E65272">
      <w:pPr>
        <w:pStyle w:val="Default"/>
        <w:spacing w:line="360" w:lineRule="auto"/>
        <w:jc w:val="center"/>
      </w:pPr>
      <w:r>
        <w:t>T</w:t>
      </w:r>
      <w:r w:rsidRPr="00B70B3B">
        <w:t>itle</w:t>
      </w:r>
      <w:r>
        <w:t xml:space="preserve"> of report</w:t>
      </w:r>
      <w:r w:rsidRPr="00B70B3B">
        <w:t xml:space="preserve">: Assignment 1 </w:t>
      </w:r>
      <w:r>
        <w:t>The Global Business Environment</w:t>
      </w:r>
      <w:r w:rsidRPr="00B70B3B">
        <w:t xml:space="preserve"> (Individual report)</w:t>
      </w:r>
    </w:p>
    <w:p w14:paraId="58A53AA1" w14:textId="77777777" w:rsidR="00E65272" w:rsidRPr="00B70B3B" w:rsidRDefault="00E65272" w:rsidP="00E65272">
      <w:pPr>
        <w:pStyle w:val="Default"/>
        <w:spacing w:line="360" w:lineRule="auto"/>
        <w:jc w:val="center"/>
      </w:pPr>
      <w:r>
        <w:t xml:space="preserve">Student name: </w:t>
      </w:r>
      <w:r w:rsidRPr="00B70B3B">
        <w:t>Mariya Stefanova</w:t>
      </w:r>
    </w:p>
    <w:p w14:paraId="55C70FFF" w14:textId="77777777" w:rsidR="00E65272" w:rsidRPr="00B70B3B" w:rsidRDefault="00E65272" w:rsidP="00E65272">
      <w:pPr>
        <w:pStyle w:val="Default"/>
        <w:spacing w:line="360" w:lineRule="auto"/>
        <w:jc w:val="center"/>
      </w:pPr>
      <w:r w:rsidRPr="00B70B3B">
        <w:t>Student ID</w:t>
      </w:r>
      <w:r>
        <w:t>/ Number</w:t>
      </w:r>
      <w:r w:rsidRPr="00B70B3B">
        <w:t>: 2124725</w:t>
      </w:r>
    </w:p>
    <w:p w14:paraId="50BD9DDA" w14:textId="77777777" w:rsidR="00E65272" w:rsidRPr="00B70B3B" w:rsidRDefault="00E65272" w:rsidP="00E65272">
      <w:pPr>
        <w:pStyle w:val="Default"/>
        <w:spacing w:line="360" w:lineRule="auto"/>
        <w:jc w:val="center"/>
      </w:pPr>
      <w:r w:rsidRPr="00B70B3B">
        <w:t>Submission deadline: 0</w:t>
      </w:r>
      <w:r>
        <w:t>6</w:t>
      </w:r>
      <w:r w:rsidRPr="00B70B3B">
        <w:t>.05.2022</w:t>
      </w:r>
    </w:p>
    <w:p w14:paraId="155D8379" w14:textId="77777777" w:rsidR="00E65272" w:rsidRPr="00C54AA7" w:rsidRDefault="00E65272" w:rsidP="00E65272">
      <w:pPr>
        <w:jc w:val="center"/>
        <w:rPr>
          <w:rFonts w:ascii="Arial" w:hAnsi="Arial" w:cs="Arial"/>
          <w:b/>
          <w:sz w:val="24"/>
          <w:szCs w:val="24"/>
        </w:rPr>
      </w:pPr>
    </w:p>
    <w:p w14:paraId="3F89732D" w14:textId="77777777" w:rsidR="00E65272" w:rsidRPr="00C54AA7" w:rsidRDefault="00E65272" w:rsidP="00E65272">
      <w:pPr>
        <w:jc w:val="center"/>
        <w:rPr>
          <w:rFonts w:ascii="Arial" w:hAnsi="Arial" w:cs="Arial"/>
          <w:sz w:val="24"/>
          <w:szCs w:val="24"/>
        </w:rPr>
      </w:pPr>
    </w:p>
    <w:p w14:paraId="1714645C" w14:textId="77777777" w:rsidR="00E65272" w:rsidRPr="00C54AA7" w:rsidRDefault="00E65272" w:rsidP="00E65272">
      <w:pPr>
        <w:rPr>
          <w:rFonts w:ascii="Arial" w:hAnsi="Arial" w:cs="Arial"/>
          <w:sz w:val="24"/>
          <w:szCs w:val="24"/>
        </w:rPr>
      </w:pPr>
    </w:p>
    <w:p w14:paraId="045ADD31" w14:textId="77777777" w:rsidR="00E65272" w:rsidRPr="00C54AA7" w:rsidRDefault="00E65272" w:rsidP="00E65272">
      <w:pPr>
        <w:rPr>
          <w:rFonts w:ascii="Arial" w:hAnsi="Arial" w:cs="Arial"/>
          <w:sz w:val="24"/>
          <w:szCs w:val="24"/>
        </w:rPr>
      </w:pPr>
    </w:p>
    <w:p w14:paraId="2CE44405" w14:textId="77777777" w:rsidR="00E65272" w:rsidRPr="00C54AA7" w:rsidRDefault="00E65272" w:rsidP="00E65272">
      <w:pPr>
        <w:rPr>
          <w:rFonts w:ascii="Arial" w:hAnsi="Arial" w:cs="Arial"/>
          <w:sz w:val="24"/>
          <w:szCs w:val="24"/>
        </w:rPr>
      </w:pPr>
    </w:p>
    <w:p w14:paraId="4C123587" w14:textId="77777777" w:rsidR="00E65272" w:rsidRPr="00C54AA7" w:rsidRDefault="00E65272" w:rsidP="00E65272">
      <w:pPr>
        <w:rPr>
          <w:rFonts w:ascii="Arial" w:hAnsi="Arial" w:cs="Arial"/>
          <w:sz w:val="24"/>
          <w:szCs w:val="24"/>
        </w:rPr>
      </w:pPr>
    </w:p>
    <w:p w14:paraId="719C6158" w14:textId="77777777" w:rsidR="00E65272" w:rsidRPr="00C54AA7" w:rsidRDefault="00E65272" w:rsidP="00E65272">
      <w:pPr>
        <w:rPr>
          <w:rFonts w:ascii="Arial" w:hAnsi="Arial" w:cs="Arial"/>
          <w:sz w:val="24"/>
          <w:szCs w:val="24"/>
        </w:rPr>
      </w:pPr>
    </w:p>
    <w:p w14:paraId="174F5CFD" w14:textId="77777777" w:rsidR="00E65272" w:rsidRPr="00C54AA7" w:rsidRDefault="00E65272" w:rsidP="00E65272">
      <w:pPr>
        <w:rPr>
          <w:rFonts w:ascii="Arial" w:hAnsi="Arial" w:cs="Arial"/>
          <w:sz w:val="24"/>
          <w:szCs w:val="24"/>
        </w:rPr>
      </w:pPr>
    </w:p>
    <w:p w14:paraId="5AAF1EAA" w14:textId="77777777" w:rsidR="00E65272" w:rsidRPr="00C54AA7" w:rsidRDefault="00E65272" w:rsidP="00E65272">
      <w:pPr>
        <w:rPr>
          <w:rFonts w:ascii="Arial" w:hAnsi="Arial" w:cs="Arial"/>
          <w:sz w:val="24"/>
          <w:szCs w:val="24"/>
        </w:rPr>
      </w:pPr>
    </w:p>
    <w:p w14:paraId="0B3847E9" w14:textId="77777777" w:rsidR="00E65272" w:rsidRPr="00C54AA7" w:rsidRDefault="00E65272" w:rsidP="00E65272">
      <w:pPr>
        <w:rPr>
          <w:rFonts w:ascii="Arial" w:hAnsi="Arial" w:cs="Arial"/>
          <w:sz w:val="24"/>
          <w:szCs w:val="24"/>
        </w:rPr>
      </w:pPr>
    </w:p>
    <w:p w14:paraId="092B7B8E" w14:textId="77777777" w:rsidR="00E65272" w:rsidRPr="00C54AA7" w:rsidRDefault="00E65272" w:rsidP="00E65272">
      <w:pPr>
        <w:rPr>
          <w:rFonts w:ascii="Arial" w:hAnsi="Arial" w:cs="Arial"/>
          <w:sz w:val="24"/>
          <w:szCs w:val="24"/>
        </w:rPr>
      </w:pPr>
    </w:p>
    <w:p w14:paraId="642FBC1E" w14:textId="77777777" w:rsidR="00E65272" w:rsidRPr="00C54AA7" w:rsidRDefault="00E65272" w:rsidP="00E65272">
      <w:pPr>
        <w:rPr>
          <w:rFonts w:ascii="Arial" w:hAnsi="Arial" w:cs="Arial"/>
          <w:sz w:val="24"/>
          <w:szCs w:val="24"/>
        </w:rPr>
      </w:pPr>
    </w:p>
    <w:p w14:paraId="1650BA52" w14:textId="77777777" w:rsidR="00E65272" w:rsidRDefault="00E65272" w:rsidP="00E65272">
      <w:pPr>
        <w:jc w:val="both"/>
        <w:rPr>
          <w:rFonts w:ascii="Arial" w:hAnsi="Arial" w:cs="Arial"/>
          <w:b/>
          <w:sz w:val="24"/>
          <w:szCs w:val="24"/>
        </w:rPr>
      </w:pPr>
    </w:p>
    <w:p w14:paraId="32089316" w14:textId="77777777" w:rsidR="00E65272" w:rsidRPr="002A1AD6" w:rsidRDefault="00E65272" w:rsidP="00E65272">
      <w:pPr>
        <w:jc w:val="both"/>
        <w:rPr>
          <w:rFonts w:ascii="Arial" w:hAnsi="Arial" w:cs="Arial"/>
          <w:sz w:val="24"/>
          <w:szCs w:val="24"/>
        </w:rPr>
      </w:pPr>
    </w:p>
    <w:sdt>
      <w:sdtPr>
        <w:rPr>
          <w:rFonts w:ascii="Arial" w:eastAsiaTheme="minorHAnsi" w:hAnsi="Arial" w:cs="Arial"/>
          <w:color w:val="auto"/>
          <w:sz w:val="24"/>
          <w:szCs w:val="24"/>
        </w:rPr>
        <w:id w:val="-1637713862"/>
        <w:docPartObj>
          <w:docPartGallery w:val="Table of Contents"/>
          <w:docPartUnique/>
        </w:docPartObj>
      </w:sdtPr>
      <w:sdtEndPr>
        <w:rPr>
          <w:b/>
          <w:bCs/>
          <w:noProof/>
        </w:rPr>
      </w:sdtEndPr>
      <w:sdtContent>
        <w:p w14:paraId="0DFF8EC8" w14:textId="77777777" w:rsidR="00E65272" w:rsidRPr="002A1AD6" w:rsidRDefault="00E65272" w:rsidP="00E65272">
          <w:pPr>
            <w:pStyle w:val="TOCHeading"/>
            <w:jc w:val="center"/>
            <w:rPr>
              <w:rFonts w:ascii="Arial" w:hAnsi="Arial" w:cs="Arial"/>
            </w:rPr>
          </w:pPr>
          <w:r w:rsidRPr="002A1AD6">
            <w:rPr>
              <w:rFonts w:ascii="Arial" w:hAnsi="Arial" w:cs="Arial"/>
            </w:rPr>
            <w:t>Table of Contents</w:t>
          </w:r>
        </w:p>
        <w:p w14:paraId="201555B1" w14:textId="77777777" w:rsidR="00E65272" w:rsidRPr="002A1AD6" w:rsidRDefault="00E65272" w:rsidP="00E65272">
          <w:pPr>
            <w:pStyle w:val="TOC1"/>
            <w:tabs>
              <w:tab w:val="left" w:pos="440"/>
              <w:tab w:val="right" w:leader="dot" w:pos="9016"/>
            </w:tabs>
            <w:rPr>
              <w:rFonts w:ascii="Arial" w:hAnsi="Arial" w:cs="Arial"/>
              <w:noProof/>
              <w:sz w:val="24"/>
              <w:szCs w:val="24"/>
              <w:lang w:val="en-GB" w:eastAsia="en-GB"/>
            </w:rPr>
          </w:pPr>
          <w:r w:rsidRPr="002A1AD6">
            <w:rPr>
              <w:rFonts w:ascii="Arial" w:hAnsi="Arial" w:cs="Arial"/>
              <w:sz w:val="24"/>
              <w:szCs w:val="24"/>
            </w:rPr>
            <w:fldChar w:fldCharType="begin"/>
          </w:r>
          <w:r w:rsidRPr="002A1AD6">
            <w:rPr>
              <w:rFonts w:ascii="Arial" w:hAnsi="Arial" w:cs="Arial"/>
              <w:sz w:val="24"/>
              <w:szCs w:val="24"/>
            </w:rPr>
            <w:instrText xml:space="preserve"> TOC \o "1-3" \h \z \u </w:instrText>
          </w:r>
          <w:r w:rsidRPr="002A1AD6">
            <w:rPr>
              <w:rFonts w:ascii="Arial" w:hAnsi="Arial" w:cs="Arial"/>
              <w:sz w:val="24"/>
              <w:szCs w:val="24"/>
            </w:rPr>
            <w:fldChar w:fldCharType="separate"/>
          </w:r>
          <w:hyperlink w:anchor="_Toc101890446" w:history="1">
            <w:r w:rsidRPr="002A1AD6">
              <w:rPr>
                <w:rStyle w:val="Hyperlink"/>
                <w:rFonts w:ascii="Arial" w:hAnsi="Arial" w:cs="Arial"/>
                <w:noProof/>
                <w:sz w:val="24"/>
                <w:szCs w:val="24"/>
              </w:rPr>
              <w:t>1.</w:t>
            </w:r>
            <w:r w:rsidRPr="002A1AD6">
              <w:rPr>
                <w:rFonts w:ascii="Arial" w:hAnsi="Arial" w:cs="Arial"/>
                <w:noProof/>
                <w:sz w:val="24"/>
                <w:szCs w:val="24"/>
                <w:lang w:val="en-GB" w:eastAsia="en-GB"/>
              </w:rPr>
              <w:tab/>
            </w:r>
            <w:r w:rsidRPr="002A1AD6">
              <w:rPr>
                <w:rStyle w:val="Hyperlink"/>
                <w:rFonts w:ascii="Arial" w:hAnsi="Arial" w:cs="Arial"/>
                <w:noProof/>
                <w:sz w:val="24"/>
                <w:szCs w:val="24"/>
              </w:rPr>
              <w:t>Introduction</w:t>
            </w:r>
            <w:r w:rsidRPr="002A1AD6">
              <w:rPr>
                <w:rFonts w:ascii="Arial" w:hAnsi="Arial" w:cs="Arial"/>
                <w:noProof/>
                <w:webHidden/>
                <w:sz w:val="24"/>
                <w:szCs w:val="24"/>
              </w:rPr>
              <w:tab/>
            </w:r>
            <w:r w:rsidRPr="002A1AD6">
              <w:rPr>
                <w:rFonts w:ascii="Arial" w:hAnsi="Arial" w:cs="Arial"/>
                <w:noProof/>
                <w:webHidden/>
                <w:sz w:val="24"/>
                <w:szCs w:val="24"/>
              </w:rPr>
              <w:fldChar w:fldCharType="begin"/>
            </w:r>
            <w:r w:rsidRPr="002A1AD6">
              <w:rPr>
                <w:rFonts w:ascii="Arial" w:hAnsi="Arial" w:cs="Arial"/>
                <w:noProof/>
                <w:webHidden/>
                <w:sz w:val="24"/>
                <w:szCs w:val="24"/>
              </w:rPr>
              <w:instrText xml:space="preserve"> PAGEREF _Toc101890446 \h </w:instrText>
            </w:r>
            <w:r w:rsidRPr="002A1AD6">
              <w:rPr>
                <w:rFonts w:ascii="Arial" w:hAnsi="Arial" w:cs="Arial"/>
                <w:noProof/>
                <w:webHidden/>
                <w:sz w:val="24"/>
                <w:szCs w:val="24"/>
              </w:rPr>
            </w:r>
            <w:r w:rsidRPr="002A1AD6">
              <w:rPr>
                <w:rFonts w:ascii="Arial" w:hAnsi="Arial" w:cs="Arial"/>
                <w:noProof/>
                <w:webHidden/>
                <w:sz w:val="24"/>
                <w:szCs w:val="24"/>
              </w:rPr>
              <w:fldChar w:fldCharType="separate"/>
            </w:r>
            <w:r w:rsidRPr="002A1AD6">
              <w:rPr>
                <w:rFonts w:ascii="Arial" w:hAnsi="Arial" w:cs="Arial"/>
                <w:noProof/>
                <w:webHidden/>
                <w:sz w:val="24"/>
                <w:szCs w:val="24"/>
              </w:rPr>
              <w:t>1</w:t>
            </w:r>
            <w:r w:rsidRPr="002A1AD6">
              <w:rPr>
                <w:rFonts w:ascii="Arial" w:hAnsi="Arial" w:cs="Arial"/>
                <w:noProof/>
                <w:webHidden/>
                <w:sz w:val="24"/>
                <w:szCs w:val="24"/>
              </w:rPr>
              <w:fldChar w:fldCharType="end"/>
            </w:r>
          </w:hyperlink>
        </w:p>
        <w:p w14:paraId="6D852244" w14:textId="77777777" w:rsidR="00E65272" w:rsidRPr="002A1AD6" w:rsidRDefault="00B73B1F" w:rsidP="00E65272">
          <w:pPr>
            <w:pStyle w:val="TOC1"/>
            <w:tabs>
              <w:tab w:val="left" w:pos="440"/>
              <w:tab w:val="right" w:leader="dot" w:pos="9016"/>
            </w:tabs>
            <w:rPr>
              <w:rFonts w:ascii="Arial" w:hAnsi="Arial" w:cs="Arial"/>
              <w:noProof/>
              <w:sz w:val="24"/>
              <w:szCs w:val="24"/>
              <w:lang w:val="en-GB" w:eastAsia="en-GB"/>
            </w:rPr>
          </w:pPr>
          <w:hyperlink w:anchor="_Toc101890447" w:history="1">
            <w:r w:rsidR="00E65272" w:rsidRPr="002A1AD6">
              <w:rPr>
                <w:rStyle w:val="Hyperlink"/>
                <w:rFonts w:ascii="Arial" w:hAnsi="Arial" w:cs="Arial"/>
                <w:noProof/>
                <w:sz w:val="24"/>
                <w:szCs w:val="24"/>
              </w:rPr>
              <w:t>2.</w:t>
            </w:r>
            <w:r w:rsidR="00E65272" w:rsidRPr="002A1AD6">
              <w:rPr>
                <w:rFonts w:ascii="Arial" w:hAnsi="Arial" w:cs="Arial"/>
                <w:noProof/>
                <w:sz w:val="24"/>
                <w:szCs w:val="24"/>
                <w:lang w:val="en-GB" w:eastAsia="en-GB"/>
              </w:rPr>
              <w:tab/>
            </w:r>
            <w:r w:rsidR="00E65272" w:rsidRPr="002A1AD6">
              <w:rPr>
                <w:rStyle w:val="Hyperlink"/>
                <w:rFonts w:ascii="Arial" w:hAnsi="Arial" w:cs="Arial"/>
                <w:noProof/>
                <w:sz w:val="24"/>
                <w:szCs w:val="24"/>
              </w:rPr>
              <w:t>Internal and External Environment Analysis of Toyota Brand</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_Toc101890447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2</w:t>
            </w:r>
            <w:r w:rsidR="00E65272" w:rsidRPr="002A1AD6">
              <w:rPr>
                <w:rFonts w:ascii="Arial" w:hAnsi="Arial" w:cs="Arial"/>
                <w:noProof/>
                <w:webHidden/>
                <w:sz w:val="24"/>
                <w:szCs w:val="24"/>
              </w:rPr>
              <w:fldChar w:fldCharType="end"/>
            </w:r>
          </w:hyperlink>
        </w:p>
        <w:p w14:paraId="27808909"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48" w:history="1">
            <w:r w:rsidR="00E65272" w:rsidRPr="002A1AD6">
              <w:rPr>
                <w:rStyle w:val="Hyperlink"/>
                <w:rFonts w:ascii="Arial" w:hAnsi="Arial" w:cs="Arial"/>
                <w:noProof/>
                <w:sz w:val="24"/>
                <w:szCs w:val="24"/>
              </w:rPr>
              <w:t>2.1 Internal factors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_Toc101890448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2</w:t>
            </w:r>
            <w:r w:rsidR="00E65272" w:rsidRPr="002A1AD6">
              <w:rPr>
                <w:rFonts w:ascii="Arial" w:hAnsi="Arial" w:cs="Arial"/>
                <w:noProof/>
                <w:webHidden/>
                <w:sz w:val="24"/>
                <w:szCs w:val="24"/>
              </w:rPr>
              <w:fldChar w:fldCharType="end"/>
            </w:r>
          </w:hyperlink>
        </w:p>
        <w:p w14:paraId="0915DB57"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49" w:history="1">
            <w:r w:rsidR="00E65272" w:rsidRPr="002A1AD6">
              <w:rPr>
                <w:rStyle w:val="Hyperlink"/>
                <w:rFonts w:ascii="Arial" w:hAnsi="Arial" w:cs="Arial"/>
                <w:noProof/>
                <w:sz w:val="24"/>
                <w:szCs w:val="24"/>
              </w:rPr>
              <w:t>2.1.1 SWOT Analysis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_Toc101890449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2</w:t>
            </w:r>
            <w:r w:rsidR="00E65272" w:rsidRPr="002A1AD6">
              <w:rPr>
                <w:rFonts w:ascii="Arial" w:hAnsi="Arial" w:cs="Arial"/>
                <w:noProof/>
                <w:webHidden/>
                <w:sz w:val="24"/>
                <w:szCs w:val="24"/>
              </w:rPr>
              <w:fldChar w:fldCharType="end"/>
            </w:r>
          </w:hyperlink>
        </w:p>
        <w:p w14:paraId="268C4D82"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50" w:history="1">
            <w:r w:rsidR="00E65272" w:rsidRPr="002A1AD6">
              <w:rPr>
                <w:rStyle w:val="Hyperlink"/>
                <w:rFonts w:ascii="Arial" w:hAnsi="Arial" w:cs="Arial"/>
                <w:noProof/>
                <w:sz w:val="24"/>
                <w:szCs w:val="24"/>
              </w:rPr>
              <w:t>2.1.2 Advantages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_Toc101890450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2</w:t>
            </w:r>
            <w:r w:rsidR="00E65272" w:rsidRPr="002A1AD6">
              <w:rPr>
                <w:rFonts w:ascii="Arial" w:hAnsi="Arial" w:cs="Arial"/>
                <w:noProof/>
                <w:webHidden/>
                <w:sz w:val="24"/>
                <w:szCs w:val="24"/>
              </w:rPr>
              <w:fldChar w:fldCharType="end"/>
            </w:r>
          </w:hyperlink>
        </w:p>
        <w:p w14:paraId="6F8630D7"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51" w:history="1">
            <w:r w:rsidR="00E65272" w:rsidRPr="002A1AD6">
              <w:rPr>
                <w:rStyle w:val="Hyperlink"/>
                <w:rFonts w:ascii="Arial" w:hAnsi="Arial" w:cs="Arial"/>
                <w:noProof/>
                <w:sz w:val="24"/>
                <w:szCs w:val="24"/>
              </w:rPr>
              <w:t>2.1.3 Challenges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_Toc101890451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3</w:t>
            </w:r>
            <w:r w:rsidR="00E65272" w:rsidRPr="002A1AD6">
              <w:rPr>
                <w:rFonts w:ascii="Arial" w:hAnsi="Arial" w:cs="Arial"/>
                <w:noProof/>
                <w:webHidden/>
                <w:sz w:val="24"/>
                <w:szCs w:val="24"/>
              </w:rPr>
              <w:fldChar w:fldCharType="end"/>
            </w:r>
          </w:hyperlink>
        </w:p>
        <w:p w14:paraId="0A0CA64A" w14:textId="77777777" w:rsidR="00E65272" w:rsidRPr="002A1AD6" w:rsidRDefault="00B73B1F" w:rsidP="00E65272">
          <w:pPr>
            <w:pStyle w:val="TOC1"/>
            <w:tabs>
              <w:tab w:val="right" w:leader="dot" w:pos="9016"/>
            </w:tabs>
            <w:rPr>
              <w:rFonts w:ascii="Arial" w:hAnsi="Arial" w:cs="Arial"/>
              <w:noProof/>
              <w:sz w:val="24"/>
              <w:szCs w:val="24"/>
              <w:lang w:val="en-GB" w:eastAsia="en-GB"/>
            </w:rPr>
          </w:pPr>
          <w:hyperlink w:anchor="_Toc101890452" w:history="1">
            <w:r w:rsidR="00E65272" w:rsidRPr="002A1AD6">
              <w:rPr>
                <w:rStyle w:val="Hyperlink"/>
                <w:rFonts w:ascii="Arial" w:hAnsi="Arial" w:cs="Arial"/>
                <w:noProof/>
                <w:sz w:val="24"/>
                <w:szCs w:val="24"/>
              </w:rPr>
              <w:t>3.  External factors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_Toc101890452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3</w:t>
            </w:r>
            <w:r w:rsidR="00E65272" w:rsidRPr="002A1AD6">
              <w:rPr>
                <w:rFonts w:ascii="Arial" w:hAnsi="Arial" w:cs="Arial"/>
                <w:noProof/>
                <w:webHidden/>
                <w:sz w:val="24"/>
                <w:szCs w:val="24"/>
              </w:rPr>
              <w:fldChar w:fldCharType="end"/>
            </w:r>
          </w:hyperlink>
        </w:p>
        <w:p w14:paraId="225413DD"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53" w:history="1">
            <w:r w:rsidR="00E65272" w:rsidRPr="002A1AD6">
              <w:rPr>
                <w:rStyle w:val="Hyperlink"/>
                <w:rFonts w:ascii="Arial" w:hAnsi="Arial" w:cs="Arial"/>
                <w:noProof/>
                <w:sz w:val="24"/>
                <w:szCs w:val="24"/>
              </w:rPr>
              <w:t>3.1 PESTLE Analysis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_Toc101890453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3</w:t>
            </w:r>
            <w:r w:rsidR="00E65272" w:rsidRPr="002A1AD6">
              <w:rPr>
                <w:rFonts w:ascii="Arial" w:hAnsi="Arial" w:cs="Arial"/>
                <w:noProof/>
                <w:webHidden/>
                <w:sz w:val="24"/>
                <w:szCs w:val="24"/>
              </w:rPr>
              <w:fldChar w:fldCharType="end"/>
            </w:r>
          </w:hyperlink>
        </w:p>
        <w:p w14:paraId="0E8ADADB"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54" w:history="1">
            <w:r w:rsidR="00E65272" w:rsidRPr="002A1AD6">
              <w:rPr>
                <w:rStyle w:val="Hyperlink"/>
                <w:rFonts w:ascii="Arial" w:hAnsi="Arial" w:cs="Arial"/>
                <w:noProof/>
                <w:sz w:val="24"/>
                <w:szCs w:val="24"/>
              </w:rPr>
              <w:t>3.1.2  Advantages of the company</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_Toc101890454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4</w:t>
            </w:r>
            <w:r w:rsidR="00E65272" w:rsidRPr="002A1AD6">
              <w:rPr>
                <w:rFonts w:ascii="Arial" w:hAnsi="Arial" w:cs="Arial"/>
                <w:noProof/>
                <w:webHidden/>
                <w:sz w:val="24"/>
                <w:szCs w:val="24"/>
              </w:rPr>
              <w:fldChar w:fldCharType="end"/>
            </w:r>
          </w:hyperlink>
        </w:p>
        <w:p w14:paraId="7FFAC7AA" w14:textId="77777777" w:rsidR="00E65272" w:rsidRPr="002A1AD6" w:rsidRDefault="00B73B1F" w:rsidP="00E65272">
          <w:pPr>
            <w:pStyle w:val="TOC2"/>
            <w:tabs>
              <w:tab w:val="right" w:leader="dot" w:pos="9016"/>
            </w:tabs>
            <w:rPr>
              <w:rFonts w:ascii="Arial" w:hAnsi="Arial" w:cs="Arial"/>
              <w:noProof/>
              <w:sz w:val="24"/>
              <w:szCs w:val="24"/>
              <w:lang w:val="en-GB" w:eastAsia="en-GB"/>
            </w:rPr>
          </w:pPr>
          <w:hyperlink w:anchor="_Toc101890455" w:history="1">
            <w:r w:rsidR="00E65272" w:rsidRPr="002A1AD6">
              <w:rPr>
                <w:rStyle w:val="Hyperlink"/>
                <w:rFonts w:ascii="Arial" w:hAnsi="Arial" w:cs="Arial"/>
                <w:noProof/>
                <w:sz w:val="24"/>
                <w:szCs w:val="24"/>
              </w:rPr>
              <w:t>3.1.3 Challenges of Toyota</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_Toc101890455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4</w:t>
            </w:r>
            <w:r w:rsidR="00E65272" w:rsidRPr="002A1AD6">
              <w:rPr>
                <w:rFonts w:ascii="Arial" w:hAnsi="Arial" w:cs="Arial"/>
                <w:noProof/>
                <w:webHidden/>
                <w:sz w:val="24"/>
                <w:szCs w:val="24"/>
              </w:rPr>
              <w:fldChar w:fldCharType="end"/>
            </w:r>
          </w:hyperlink>
        </w:p>
        <w:p w14:paraId="52CAC93B" w14:textId="77777777" w:rsidR="00E65272" w:rsidRPr="002A1AD6" w:rsidRDefault="00B73B1F" w:rsidP="00E65272">
          <w:pPr>
            <w:pStyle w:val="TOC1"/>
            <w:tabs>
              <w:tab w:val="left" w:pos="440"/>
              <w:tab w:val="right" w:leader="dot" w:pos="9016"/>
            </w:tabs>
            <w:rPr>
              <w:rFonts w:ascii="Arial" w:hAnsi="Arial" w:cs="Arial"/>
              <w:noProof/>
              <w:sz w:val="24"/>
              <w:szCs w:val="24"/>
              <w:lang w:val="en-GB" w:eastAsia="en-GB"/>
            </w:rPr>
          </w:pPr>
          <w:hyperlink w:anchor="_Toc101890456" w:history="1">
            <w:r w:rsidR="00E65272" w:rsidRPr="002A1AD6">
              <w:rPr>
                <w:rStyle w:val="Hyperlink"/>
                <w:rFonts w:ascii="Arial" w:hAnsi="Arial" w:cs="Arial"/>
                <w:noProof/>
                <w:sz w:val="24"/>
                <w:szCs w:val="24"/>
              </w:rPr>
              <w:t>4.</w:t>
            </w:r>
            <w:r w:rsidR="00E65272" w:rsidRPr="002A1AD6">
              <w:rPr>
                <w:rFonts w:ascii="Arial" w:hAnsi="Arial" w:cs="Arial"/>
                <w:noProof/>
                <w:sz w:val="24"/>
                <w:szCs w:val="24"/>
                <w:lang w:val="en-GB" w:eastAsia="en-GB"/>
              </w:rPr>
              <w:tab/>
            </w:r>
            <w:r w:rsidR="00E65272" w:rsidRPr="002A1AD6">
              <w:rPr>
                <w:rStyle w:val="Hyperlink"/>
                <w:rFonts w:ascii="Arial" w:hAnsi="Arial" w:cs="Arial"/>
                <w:noProof/>
                <w:sz w:val="24"/>
                <w:szCs w:val="24"/>
              </w:rPr>
              <w:t>Porter’s Five Forces Model</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_Toc101890456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5</w:t>
            </w:r>
            <w:r w:rsidR="00E65272" w:rsidRPr="002A1AD6">
              <w:rPr>
                <w:rFonts w:ascii="Arial" w:hAnsi="Arial" w:cs="Arial"/>
                <w:noProof/>
                <w:webHidden/>
                <w:sz w:val="24"/>
                <w:szCs w:val="24"/>
              </w:rPr>
              <w:fldChar w:fldCharType="end"/>
            </w:r>
          </w:hyperlink>
        </w:p>
        <w:p w14:paraId="4896BBAB" w14:textId="77777777" w:rsidR="00E65272" w:rsidRPr="002A1AD6" w:rsidRDefault="00B73B1F" w:rsidP="00E65272">
          <w:pPr>
            <w:pStyle w:val="TOC1"/>
            <w:tabs>
              <w:tab w:val="left" w:pos="440"/>
              <w:tab w:val="right" w:leader="dot" w:pos="9016"/>
            </w:tabs>
            <w:rPr>
              <w:rFonts w:ascii="Arial" w:hAnsi="Arial" w:cs="Arial"/>
              <w:noProof/>
              <w:sz w:val="24"/>
              <w:szCs w:val="24"/>
              <w:lang w:val="en-GB" w:eastAsia="en-GB"/>
            </w:rPr>
          </w:pPr>
          <w:hyperlink w:anchor="_Toc101890457" w:history="1">
            <w:r w:rsidR="00E65272" w:rsidRPr="002A1AD6">
              <w:rPr>
                <w:rStyle w:val="Hyperlink"/>
                <w:rFonts w:ascii="Arial" w:hAnsi="Arial" w:cs="Arial"/>
                <w:noProof/>
                <w:sz w:val="24"/>
                <w:szCs w:val="24"/>
              </w:rPr>
              <w:t>5.</w:t>
            </w:r>
            <w:r w:rsidR="00E65272" w:rsidRPr="002A1AD6">
              <w:rPr>
                <w:rFonts w:ascii="Arial" w:hAnsi="Arial" w:cs="Arial"/>
                <w:noProof/>
                <w:sz w:val="24"/>
                <w:szCs w:val="24"/>
                <w:lang w:val="en-GB" w:eastAsia="en-GB"/>
              </w:rPr>
              <w:tab/>
            </w:r>
            <w:r w:rsidR="00E65272" w:rsidRPr="002A1AD6">
              <w:rPr>
                <w:rStyle w:val="Hyperlink"/>
                <w:rFonts w:ascii="Arial" w:hAnsi="Arial" w:cs="Arial"/>
                <w:noProof/>
                <w:sz w:val="24"/>
                <w:szCs w:val="24"/>
              </w:rPr>
              <w:t>Conclusion</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_Toc101890457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6</w:t>
            </w:r>
            <w:r w:rsidR="00E65272" w:rsidRPr="002A1AD6">
              <w:rPr>
                <w:rFonts w:ascii="Arial" w:hAnsi="Arial" w:cs="Arial"/>
                <w:noProof/>
                <w:webHidden/>
                <w:sz w:val="24"/>
                <w:szCs w:val="24"/>
              </w:rPr>
              <w:fldChar w:fldCharType="end"/>
            </w:r>
          </w:hyperlink>
        </w:p>
        <w:p w14:paraId="59AA63CA" w14:textId="77777777" w:rsidR="00E65272" w:rsidRPr="002A1AD6" w:rsidRDefault="00B73B1F" w:rsidP="00E65272">
          <w:pPr>
            <w:pStyle w:val="TOC1"/>
            <w:tabs>
              <w:tab w:val="left" w:pos="440"/>
              <w:tab w:val="right" w:leader="dot" w:pos="9016"/>
            </w:tabs>
            <w:rPr>
              <w:rFonts w:ascii="Arial" w:hAnsi="Arial" w:cs="Arial"/>
              <w:noProof/>
              <w:sz w:val="24"/>
              <w:szCs w:val="24"/>
              <w:lang w:val="en-GB" w:eastAsia="en-GB"/>
            </w:rPr>
          </w:pPr>
          <w:hyperlink w:anchor="_Toc101890458" w:history="1">
            <w:r w:rsidR="00E65272" w:rsidRPr="002A1AD6">
              <w:rPr>
                <w:rStyle w:val="Hyperlink"/>
                <w:rFonts w:ascii="Arial" w:hAnsi="Arial" w:cs="Arial"/>
                <w:noProof/>
                <w:sz w:val="24"/>
                <w:szCs w:val="24"/>
              </w:rPr>
              <w:t>6.</w:t>
            </w:r>
            <w:r w:rsidR="00E65272" w:rsidRPr="002A1AD6">
              <w:rPr>
                <w:rFonts w:ascii="Arial" w:hAnsi="Arial" w:cs="Arial"/>
                <w:noProof/>
                <w:sz w:val="24"/>
                <w:szCs w:val="24"/>
                <w:lang w:val="en-GB" w:eastAsia="en-GB"/>
              </w:rPr>
              <w:tab/>
            </w:r>
            <w:r w:rsidR="00E65272" w:rsidRPr="002A1AD6">
              <w:rPr>
                <w:rStyle w:val="Hyperlink"/>
                <w:rFonts w:ascii="Arial" w:hAnsi="Arial" w:cs="Arial"/>
                <w:noProof/>
                <w:sz w:val="24"/>
                <w:szCs w:val="24"/>
              </w:rPr>
              <w:t>References</w:t>
            </w:r>
            <w:r w:rsidR="00E65272" w:rsidRPr="002A1AD6">
              <w:rPr>
                <w:rFonts w:ascii="Arial" w:hAnsi="Arial" w:cs="Arial"/>
                <w:noProof/>
                <w:webHidden/>
                <w:sz w:val="24"/>
                <w:szCs w:val="24"/>
              </w:rPr>
              <w:tab/>
            </w:r>
            <w:r w:rsidR="00E65272" w:rsidRPr="002A1AD6">
              <w:rPr>
                <w:rFonts w:ascii="Arial" w:hAnsi="Arial" w:cs="Arial"/>
                <w:noProof/>
                <w:webHidden/>
                <w:sz w:val="24"/>
                <w:szCs w:val="24"/>
              </w:rPr>
              <w:fldChar w:fldCharType="begin"/>
            </w:r>
            <w:r w:rsidR="00E65272" w:rsidRPr="002A1AD6">
              <w:rPr>
                <w:rFonts w:ascii="Arial" w:hAnsi="Arial" w:cs="Arial"/>
                <w:noProof/>
                <w:webHidden/>
                <w:sz w:val="24"/>
                <w:szCs w:val="24"/>
              </w:rPr>
              <w:instrText xml:space="preserve"> PAGEREF _Toc101890458 \h </w:instrText>
            </w:r>
            <w:r w:rsidR="00E65272" w:rsidRPr="002A1AD6">
              <w:rPr>
                <w:rFonts w:ascii="Arial" w:hAnsi="Arial" w:cs="Arial"/>
                <w:noProof/>
                <w:webHidden/>
                <w:sz w:val="24"/>
                <w:szCs w:val="24"/>
              </w:rPr>
            </w:r>
            <w:r w:rsidR="00E65272" w:rsidRPr="002A1AD6">
              <w:rPr>
                <w:rFonts w:ascii="Arial" w:hAnsi="Arial" w:cs="Arial"/>
                <w:noProof/>
                <w:webHidden/>
                <w:sz w:val="24"/>
                <w:szCs w:val="24"/>
              </w:rPr>
              <w:fldChar w:fldCharType="separate"/>
            </w:r>
            <w:r w:rsidR="00E65272" w:rsidRPr="002A1AD6">
              <w:rPr>
                <w:rFonts w:ascii="Arial" w:hAnsi="Arial" w:cs="Arial"/>
                <w:noProof/>
                <w:webHidden/>
                <w:sz w:val="24"/>
                <w:szCs w:val="24"/>
              </w:rPr>
              <w:t>7</w:t>
            </w:r>
            <w:r w:rsidR="00E65272" w:rsidRPr="002A1AD6">
              <w:rPr>
                <w:rFonts w:ascii="Arial" w:hAnsi="Arial" w:cs="Arial"/>
                <w:noProof/>
                <w:webHidden/>
                <w:sz w:val="24"/>
                <w:szCs w:val="24"/>
              </w:rPr>
              <w:fldChar w:fldCharType="end"/>
            </w:r>
          </w:hyperlink>
        </w:p>
        <w:p w14:paraId="78C31FF6" w14:textId="77777777" w:rsidR="00E65272" w:rsidRPr="002A1AD6" w:rsidRDefault="00E65272" w:rsidP="00E65272">
          <w:pPr>
            <w:rPr>
              <w:rFonts w:ascii="Arial" w:hAnsi="Arial" w:cs="Arial"/>
              <w:b/>
              <w:bCs/>
              <w:noProof/>
              <w:sz w:val="24"/>
              <w:szCs w:val="24"/>
            </w:rPr>
          </w:pPr>
          <w:r w:rsidRPr="002A1AD6">
            <w:rPr>
              <w:rFonts w:ascii="Arial" w:hAnsi="Arial" w:cs="Arial"/>
              <w:b/>
              <w:bCs/>
              <w:noProof/>
              <w:sz w:val="24"/>
              <w:szCs w:val="24"/>
            </w:rPr>
            <w:fldChar w:fldCharType="end"/>
          </w:r>
        </w:p>
        <w:p w14:paraId="70AE0990" w14:textId="77777777" w:rsidR="00E65272" w:rsidRPr="002A1AD6" w:rsidRDefault="00E65272" w:rsidP="00E65272">
          <w:pPr>
            <w:rPr>
              <w:rFonts w:ascii="Arial" w:hAnsi="Arial" w:cs="Arial"/>
              <w:b/>
              <w:bCs/>
              <w:noProof/>
              <w:sz w:val="24"/>
              <w:szCs w:val="24"/>
            </w:rPr>
          </w:pPr>
        </w:p>
        <w:p w14:paraId="5FB1DA6A" w14:textId="77777777" w:rsidR="00E65272" w:rsidRPr="002A1AD6" w:rsidRDefault="00E65272" w:rsidP="00E65272">
          <w:pPr>
            <w:rPr>
              <w:rFonts w:ascii="Arial" w:hAnsi="Arial" w:cs="Arial"/>
              <w:sz w:val="24"/>
              <w:szCs w:val="24"/>
            </w:rPr>
          </w:pPr>
          <w:r w:rsidRPr="002A1AD6">
            <w:rPr>
              <w:rFonts w:ascii="Arial" w:hAnsi="Arial" w:cs="Arial"/>
              <w:sz w:val="24"/>
              <w:szCs w:val="24"/>
            </w:rPr>
            <w:br w:type="page"/>
          </w:r>
        </w:p>
        <w:p w14:paraId="4514ED26" w14:textId="77777777" w:rsidR="00E65272" w:rsidRPr="002A1AD6" w:rsidRDefault="00E65272" w:rsidP="00E65272">
          <w:pPr>
            <w:tabs>
              <w:tab w:val="right" w:pos="9026"/>
            </w:tabs>
            <w:rPr>
              <w:rFonts w:ascii="Arial" w:hAnsi="Arial" w:cs="Arial"/>
              <w:sz w:val="24"/>
              <w:szCs w:val="24"/>
            </w:rPr>
            <w:sectPr w:rsidR="00E65272" w:rsidRPr="002A1AD6" w:rsidSect="00E65272">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09" w:footer="709" w:gutter="0"/>
              <w:pgNumType w:start="1"/>
              <w:cols w:space="708"/>
              <w:docGrid w:linePitch="360"/>
            </w:sectPr>
          </w:pPr>
        </w:p>
        <w:p w14:paraId="4EDAA013" w14:textId="77777777" w:rsidR="00E65272" w:rsidRDefault="00B73B1F" w:rsidP="00E65272">
          <w:pPr>
            <w:tabs>
              <w:tab w:val="right" w:pos="9026"/>
            </w:tabs>
          </w:pPr>
        </w:p>
      </w:sdtContent>
    </w:sdt>
    <w:p w14:paraId="343BC781" w14:textId="77777777" w:rsidR="00E65272" w:rsidRPr="000D4677" w:rsidRDefault="00E65272" w:rsidP="00E65272">
      <w:pPr>
        <w:pStyle w:val="Heading1"/>
        <w:numPr>
          <w:ilvl w:val="0"/>
          <w:numId w:val="10"/>
        </w:numPr>
      </w:pPr>
      <w:bookmarkStart w:id="0" w:name="_Toc101890446"/>
      <w:r w:rsidRPr="000D4677">
        <w:t>Introduction</w:t>
      </w:r>
      <w:bookmarkEnd w:id="0"/>
    </w:p>
    <w:p w14:paraId="74616817" w14:textId="77777777"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Settled in Aich, Japan, Toyota Motor Corporation, generally known as Toyota, is an organization that produces and sells auto vehicles and their parts (Soliman, 2015). The creation from planning to assemble gathering is finished by Toyota, which sells traveler vehicles, minivans, trucks, and other vehicle embellishments and parts (Nkomo, 2019). The Japanese-based engine vehicle organization is an officeholder chief in the worldwide vehicle deals fabricating industry. Despite the pandemic emergency, the organization had the option to sell around 5.5 million units making Toyota the most un-affected organization contrasted with its rivals (Nkomo, 2019). However, despite being the best brand in the automobile industry, the company faces challenges in the internal and external environments. To critically evaluate these challenges, we have to look at SWOT Analysis and PESTLE Analysis using Porter's five factors, value chain factors, and the competitive advantages of the company.</w:t>
      </w:r>
    </w:p>
    <w:p w14:paraId="57E33E74" w14:textId="77777777" w:rsidR="00E65272" w:rsidRPr="00E75DF5" w:rsidRDefault="00E65272" w:rsidP="00E65272">
      <w:pPr>
        <w:spacing w:after="0" w:line="360" w:lineRule="auto"/>
        <w:ind w:firstLine="720"/>
        <w:jc w:val="both"/>
        <w:rPr>
          <w:rFonts w:ascii="Arial" w:hAnsi="Arial" w:cs="Arial"/>
          <w:sz w:val="24"/>
          <w:szCs w:val="24"/>
        </w:rPr>
      </w:pPr>
    </w:p>
    <w:p w14:paraId="43DFCAF9" w14:textId="77777777" w:rsidR="00E65272" w:rsidRPr="000D4677" w:rsidRDefault="00E65272" w:rsidP="00E65272">
      <w:pPr>
        <w:pStyle w:val="Heading1"/>
        <w:numPr>
          <w:ilvl w:val="0"/>
          <w:numId w:val="10"/>
        </w:numPr>
      </w:pPr>
      <w:bookmarkStart w:id="1" w:name="_Toc101890447"/>
      <w:r w:rsidRPr="000D4677">
        <w:t>Internal and External Environment Analysis of Toyota Brand</w:t>
      </w:r>
      <w:bookmarkEnd w:id="1"/>
    </w:p>
    <w:p w14:paraId="7B7A7C55" w14:textId="77777777" w:rsidR="00E65272" w:rsidRPr="00E75DF5" w:rsidRDefault="00E65272" w:rsidP="00E65272">
      <w:pPr>
        <w:spacing w:line="360" w:lineRule="auto"/>
        <w:jc w:val="both"/>
        <w:rPr>
          <w:rFonts w:ascii="Arial" w:hAnsi="Arial" w:cs="Arial"/>
          <w:b/>
          <w:sz w:val="24"/>
          <w:szCs w:val="24"/>
        </w:rPr>
      </w:pPr>
    </w:p>
    <w:p w14:paraId="2500CCD4" w14:textId="77777777" w:rsidR="00E65272" w:rsidRPr="00E75DF5" w:rsidRDefault="00E65272" w:rsidP="00E65272">
      <w:pPr>
        <w:pStyle w:val="Heading2"/>
      </w:pPr>
      <w:bookmarkStart w:id="2" w:name="_Toc101890448"/>
      <w:r w:rsidRPr="00E75DF5">
        <w:t>2.1 Internal factors</w:t>
      </w:r>
      <w:bookmarkEnd w:id="2"/>
    </w:p>
    <w:p w14:paraId="2ABEB5E9" w14:textId="77777777" w:rsidR="00E65272" w:rsidRPr="00E75DF5" w:rsidRDefault="00E65272" w:rsidP="00E65272">
      <w:pPr>
        <w:pStyle w:val="Heading2"/>
      </w:pPr>
      <w:bookmarkStart w:id="3" w:name="_Toc101890449"/>
      <w:r w:rsidRPr="00E75DF5">
        <w:t>2.1.1 SWOT Analysis</w:t>
      </w:r>
      <w:bookmarkEnd w:id="3"/>
    </w:p>
    <w:p w14:paraId="71557DC3" w14:textId="77777777"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Toyota Motor Corporation looks out for the interior and outer key elements in the business, as perceived in this SWOT Analysis (Shtal et al., 2018.p. 39). The SWOT structure pinpoints the vitally open entryways, risks, and progressive inadequacy that Toyota ought to address using its resources (Benzaghta et al., 2021, pp. 55-73). As an overall brand in the car business, Toyota truly addresses these elements. This SWOT Analysis gives parts of information about the standard consequences for the affiliation. Toyota's items fill in as a nature of its ability to close the issues related to this SWOT appraisal.</w:t>
      </w:r>
    </w:p>
    <w:p w14:paraId="77C6A509" w14:textId="77777777" w:rsidR="00E65272" w:rsidRPr="00E75DF5" w:rsidRDefault="00E65272" w:rsidP="00E65272">
      <w:pPr>
        <w:spacing w:after="0" w:line="360" w:lineRule="auto"/>
        <w:ind w:firstLine="720"/>
        <w:jc w:val="both"/>
        <w:rPr>
          <w:rFonts w:ascii="Arial" w:hAnsi="Arial" w:cs="Arial"/>
          <w:sz w:val="24"/>
          <w:szCs w:val="24"/>
        </w:rPr>
      </w:pPr>
    </w:p>
    <w:p w14:paraId="1AB64C93" w14:textId="77777777" w:rsidR="00E65272" w:rsidRPr="00E75DF5" w:rsidRDefault="00E65272" w:rsidP="00E65272">
      <w:pPr>
        <w:pStyle w:val="Heading2"/>
      </w:pPr>
      <w:bookmarkStart w:id="4" w:name="_Toc101890450"/>
      <w:r w:rsidRPr="00E75DF5">
        <w:t>2.1.2 Advantages</w:t>
      </w:r>
      <w:bookmarkEnd w:id="4"/>
      <w:r w:rsidRPr="00E75DF5">
        <w:t xml:space="preserve"> </w:t>
      </w:r>
    </w:p>
    <w:p w14:paraId="5EA45215" w14:textId="77777777" w:rsidR="00E65272" w:rsidRPr="00E75DF5" w:rsidRDefault="00E65272" w:rsidP="00E65272">
      <w:pPr>
        <w:pStyle w:val="NoSpacing"/>
        <w:spacing w:line="360" w:lineRule="auto"/>
        <w:rPr>
          <w:rFonts w:ascii="Arial" w:hAnsi="Arial" w:cs="Arial"/>
          <w:b/>
          <w:bCs/>
          <w:sz w:val="24"/>
          <w:szCs w:val="24"/>
        </w:rPr>
      </w:pPr>
    </w:p>
    <w:p w14:paraId="60EDCFAF" w14:textId="77777777"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Toyota's assets show that the firm is ready to push what is along on as one of the top vehicle manufacturers in the market (Jurevicius, 2013). Toyota has probably the most founded brand in the general vehicle industry. The affiliation's general </w:t>
      </w:r>
      <w:r w:rsidRPr="00E75DF5">
        <w:rPr>
          <w:rFonts w:ascii="Arial" w:hAnsi="Arial" w:cs="Arial"/>
          <w:sz w:val="24"/>
          <w:szCs w:val="24"/>
        </w:rPr>
        <w:lastRenderedPageBreak/>
        <w:t xml:space="preserve">creation network is other than a strength that connection points to the versatility and market-based risk minimization. Moreover, Toyota has a continuously propelling society that works with rapid development, which is fundamental for widened length advantage. This part shows that Toyota's resources support what is going on as one of the most unbelievable vehicle makers on earth. This part secludes the vital inward factors that go about as limits of the firm. Toyota's inadequacies include anticipated disappointments in the alliance. This piece of the SWOT evaluation model picks the inside fundamental issue that goes about as snags to business improvement. </w:t>
      </w:r>
    </w:p>
    <w:p w14:paraId="1E456789" w14:textId="77DA3C15"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Similarly, Toyota executed a giant thing that began in 2009 (Taneja et al., 2012). </w:t>
      </w:r>
      <w:r w:rsidR="00177F4F" w:rsidRPr="00177F4F">
        <w:rPr>
          <w:rFonts w:ascii="Arial" w:hAnsi="Arial" w:cs="Arial"/>
          <w:sz w:val="24"/>
          <w:szCs w:val="24"/>
        </w:rPr>
        <w:t>Because the survey methods occupy business restrictions that could be used for thing spreading thinking about everything, these assessments render the company inoperable. This section of the SWOT model demonstrates how Toyota might manage its portion through adjustments to minimize flaws based on its continuous game plan and culture.</w:t>
      </w:r>
    </w:p>
    <w:p w14:paraId="67A1A904" w14:textId="545F6A5A" w:rsidR="00E65272" w:rsidRPr="00E75DF5" w:rsidRDefault="00E65272" w:rsidP="00E65272">
      <w:pPr>
        <w:tabs>
          <w:tab w:val="left" w:pos="720"/>
          <w:tab w:val="left" w:pos="1440"/>
          <w:tab w:val="left" w:pos="2160"/>
          <w:tab w:val="left" w:pos="7290"/>
        </w:tabs>
        <w:spacing w:after="0" w:line="360" w:lineRule="auto"/>
        <w:ind w:firstLine="720"/>
        <w:jc w:val="both"/>
        <w:rPr>
          <w:rFonts w:ascii="Arial" w:hAnsi="Arial" w:cs="Arial"/>
          <w:sz w:val="24"/>
          <w:szCs w:val="24"/>
        </w:rPr>
      </w:pPr>
      <w:r w:rsidRPr="00E75DF5">
        <w:rPr>
          <w:rFonts w:ascii="Arial" w:hAnsi="Arial" w:cs="Arial"/>
          <w:sz w:val="24"/>
          <w:szCs w:val="24"/>
        </w:rPr>
        <w:t xml:space="preserve">Toyota's prospects are imaginative and cash-related models. This part sees the </w:t>
      </w:r>
      <w:r>
        <w:rPr>
          <w:rFonts w:ascii="Arial" w:hAnsi="Arial" w:cs="Arial"/>
          <w:sz w:val="24"/>
          <w:szCs w:val="24"/>
        </w:rPr>
        <w:t>significant outer</w:t>
      </w:r>
      <w:r w:rsidRPr="00E75DF5">
        <w:rPr>
          <w:rFonts w:ascii="Arial" w:hAnsi="Arial" w:cs="Arial"/>
          <w:sz w:val="24"/>
          <w:szCs w:val="24"/>
        </w:rPr>
        <w:t xml:space="preserve"> factors that the firm could use to manage its business. </w:t>
      </w:r>
      <w:r w:rsidR="00177F4F" w:rsidRPr="00177F4F">
        <w:rPr>
          <w:rFonts w:ascii="Arial" w:hAnsi="Arial" w:cs="Arial"/>
          <w:sz w:val="24"/>
          <w:szCs w:val="24"/>
        </w:rPr>
        <w:t>Toyota's most colossal parts are; creating marketplaces open the door for Toyota to increase income by joining this industry.</w:t>
      </w:r>
      <w:r w:rsidR="00177F4F">
        <w:rPr>
          <w:rFonts w:ascii="Arial" w:hAnsi="Arial" w:cs="Arial"/>
          <w:sz w:val="24"/>
          <w:szCs w:val="24"/>
        </w:rPr>
        <w:t xml:space="preserve"> </w:t>
      </w:r>
      <w:r w:rsidR="00177F4F" w:rsidRPr="00177F4F">
        <w:rPr>
          <w:rFonts w:ascii="Arial" w:hAnsi="Arial" w:cs="Arial"/>
          <w:sz w:val="24"/>
          <w:szCs w:val="24"/>
        </w:rPr>
        <w:t>Similarly, the most recent developments in creating plans</w:t>
      </w:r>
      <w:r w:rsidR="00177F4F">
        <w:rPr>
          <w:rFonts w:ascii="Arial" w:hAnsi="Arial" w:cs="Arial"/>
          <w:sz w:val="24"/>
          <w:szCs w:val="24"/>
        </w:rPr>
        <w:t xml:space="preserve"> and interest in a more eco-friendly attitude and advanced gear</w:t>
      </w:r>
      <w:r w:rsidR="00177F4F" w:rsidRPr="00177F4F">
        <w:rPr>
          <w:rFonts w:ascii="Arial" w:hAnsi="Arial" w:cs="Arial"/>
          <w:sz w:val="24"/>
          <w:szCs w:val="24"/>
        </w:rPr>
        <w:t xml:space="preserve"> provide an opportunity for Toyota to gather in its update </w:t>
      </w:r>
      <w:r w:rsidR="00177F4F">
        <w:rPr>
          <w:rFonts w:ascii="Arial" w:hAnsi="Arial" w:cs="Arial"/>
          <w:sz w:val="24"/>
          <w:szCs w:val="24"/>
        </w:rPr>
        <w:t>on</w:t>
      </w:r>
      <w:r w:rsidR="00177F4F" w:rsidRPr="00177F4F">
        <w:rPr>
          <w:rFonts w:ascii="Arial" w:hAnsi="Arial" w:cs="Arial"/>
          <w:sz w:val="24"/>
          <w:szCs w:val="24"/>
        </w:rPr>
        <w:t xml:space="preserve"> these topics. Similarly, the weak Japanese Yen vs the US Dollar results in increased validity of goods and components traded from Japan to the US. This section of the SWOT model demonstrates that Toyota should emphasise market barrier</w:t>
      </w:r>
      <w:r w:rsidR="00177F4F">
        <w:rPr>
          <w:rFonts w:ascii="Arial" w:hAnsi="Arial" w:cs="Arial"/>
          <w:sz w:val="24"/>
          <w:szCs w:val="24"/>
        </w:rPr>
        <w:t>s</w:t>
      </w:r>
      <w:r w:rsidR="00177F4F" w:rsidRPr="00177F4F">
        <w:rPr>
          <w:rFonts w:ascii="Arial" w:hAnsi="Arial" w:cs="Arial"/>
          <w:sz w:val="24"/>
          <w:szCs w:val="24"/>
        </w:rPr>
        <w:t xml:space="preserve"> and development </w:t>
      </w:r>
      <w:r w:rsidR="00177F4F">
        <w:rPr>
          <w:rFonts w:ascii="Arial" w:hAnsi="Arial" w:cs="Arial"/>
          <w:sz w:val="24"/>
          <w:szCs w:val="24"/>
        </w:rPr>
        <w:t>to maximiz</w:t>
      </w:r>
      <w:r w:rsidR="00177F4F" w:rsidRPr="00177F4F">
        <w:rPr>
          <w:rFonts w:ascii="Arial" w:hAnsi="Arial" w:cs="Arial"/>
          <w:sz w:val="24"/>
          <w:szCs w:val="24"/>
        </w:rPr>
        <w:t>e its opportunities.</w:t>
      </w:r>
      <w:r w:rsidR="00177F4F" w:rsidRPr="00177F4F">
        <w:rPr>
          <w:rFonts w:ascii="Arial" w:hAnsi="Arial" w:cs="Arial"/>
          <w:sz w:val="24"/>
          <w:szCs w:val="24"/>
        </w:rPr>
        <w:t xml:space="preserve"> </w:t>
      </w:r>
      <w:r w:rsidRPr="00E75DF5">
        <w:rPr>
          <w:rFonts w:ascii="Arial" w:hAnsi="Arial" w:cs="Arial"/>
          <w:sz w:val="24"/>
          <w:szCs w:val="24"/>
        </w:rPr>
        <w:t xml:space="preserve">(GURL, 2017). </w:t>
      </w:r>
    </w:p>
    <w:p w14:paraId="3FDDEBC6" w14:textId="77777777" w:rsidR="00E65272" w:rsidRPr="00E75DF5" w:rsidRDefault="00E65272" w:rsidP="00E65272">
      <w:pPr>
        <w:tabs>
          <w:tab w:val="left" w:pos="720"/>
          <w:tab w:val="left" w:pos="1440"/>
          <w:tab w:val="left" w:pos="2160"/>
          <w:tab w:val="left" w:pos="7290"/>
        </w:tabs>
        <w:spacing w:after="0" w:line="360" w:lineRule="auto"/>
        <w:ind w:firstLine="720"/>
        <w:jc w:val="both"/>
        <w:rPr>
          <w:rFonts w:ascii="Arial" w:hAnsi="Arial" w:cs="Arial"/>
          <w:sz w:val="24"/>
          <w:szCs w:val="24"/>
        </w:rPr>
      </w:pPr>
    </w:p>
    <w:p w14:paraId="3FAAE54B" w14:textId="77777777" w:rsidR="00E65272" w:rsidRPr="00E75DF5" w:rsidRDefault="00E65272" w:rsidP="00E65272">
      <w:pPr>
        <w:pStyle w:val="Heading2"/>
      </w:pPr>
      <w:bookmarkStart w:id="5" w:name="_Toc101890451"/>
      <w:r w:rsidRPr="00E75DF5">
        <w:t>2.1.3 Challenges</w:t>
      </w:r>
      <w:bookmarkEnd w:id="5"/>
      <w:r w:rsidRPr="00E75DF5">
        <w:t xml:space="preserve"> </w:t>
      </w:r>
    </w:p>
    <w:p w14:paraId="1A2B4A56" w14:textId="77777777" w:rsidR="00E65272" w:rsidRPr="00E75DF5" w:rsidRDefault="00E65272" w:rsidP="00E65272">
      <w:pPr>
        <w:pStyle w:val="NoSpacing"/>
        <w:spacing w:line="360" w:lineRule="auto"/>
        <w:rPr>
          <w:rFonts w:ascii="Arial" w:hAnsi="Arial" w:cs="Arial"/>
          <w:b/>
          <w:bCs/>
          <w:sz w:val="24"/>
          <w:szCs w:val="24"/>
        </w:rPr>
      </w:pPr>
    </w:p>
    <w:p w14:paraId="09CF81CA" w14:textId="77777777" w:rsidR="00E65272" w:rsidRDefault="00E65272" w:rsidP="00E65272">
      <w:pPr>
        <w:tabs>
          <w:tab w:val="left" w:pos="720"/>
          <w:tab w:val="left" w:pos="1440"/>
          <w:tab w:val="left" w:pos="2160"/>
          <w:tab w:val="left" w:pos="7290"/>
        </w:tabs>
        <w:spacing w:after="0" w:line="360" w:lineRule="auto"/>
        <w:ind w:firstLine="720"/>
        <w:jc w:val="both"/>
        <w:rPr>
          <w:rFonts w:ascii="Arial" w:hAnsi="Arial" w:cs="Arial"/>
          <w:sz w:val="24"/>
          <w:szCs w:val="24"/>
        </w:rPr>
      </w:pPr>
      <w:r w:rsidRPr="00E75DF5">
        <w:rPr>
          <w:rFonts w:ascii="Arial" w:hAnsi="Arial" w:cs="Arial"/>
          <w:sz w:val="24"/>
          <w:szCs w:val="24"/>
        </w:rPr>
        <w:t xml:space="preserve">The dangers to Toyota's business depend on an incredibly massive level upon the legitimate scene. This part closes the vital external factors that could reduce the affiliation's show. For Toyota's situation, the essential perils are; making business locale presence of inconsequential cost competitors. Toyota faces the bet of requests from Korean, Chinese, and Indian makers in new business districts. Toyota likewise experiences the fast bet movement of contenders like GM, Honda, and Ford. This </w:t>
      </w:r>
      <w:r w:rsidRPr="00E75DF5">
        <w:rPr>
          <w:rFonts w:ascii="Arial" w:hAnsi="Arial" w:cs="Arial"/>
          <w:sz w:val="24"/>
          <w:szCs w:val="24"/>
        </w:rPr>
        <w:lastRenderedPageBreak/>
        <w:t>piece of SWOT Analysis shows that Toyota should guarantee a key position, for example, through improvement.</w:t>
      </w:r>
    </w:p>
    <w:p w14:paraId="78B2CCDD" w14:textId="77777777" w:rsidR="00E65272" w:rsidRDefault="00E65272" w:rsidP="00E65272">
      <w:pPr>
        <w:tabs>
          <w:tab w:val="left" w:pos="720"/>
          <w:tab w:val="left" w:pos="1440"/>
          <w:tab w:val="left" w:pos="2160"/>
          <w:tab w:val="left" w:pos="7290"/>
        </w:tabs>
        <w:spacing w:after="0" w:line="360" w:lineRule="auto"/>
        <w:ind w:firstLine="720"/>
        <w:jc w:val="both"/>
        <w:rPr>
          <w:rFonts w:ascii="Arial" w:hAnsi="Arial" w:cs="Arial"/>
          <w:sz w:val="24"/>
          <w:szCs w:val="24"/>
        </w:rPr>
      </w:pPr>
    </w:p>
    <w:p w14:paraId="7E6A3A1C" w14:textId="77777777" w:rsidR="00E65272" w:rsidRPr="000D4677" w:rsidRDefault="00E65272" w:rsidP="00E65272">
      <w:pPr>
        <w:pStyle w:val="Heading1"/>
      </w:pPr>
      <w:bookmarkStart w:id="6" w:name="_Toc101890452"/>
      <w:r>
        <w:t xml:space="preserve">3. </w:t>
      </w:r>
      <w:r w:rsidRPr="000D4677">
        <w:t xml:space="preserve"> External factors</w:t>
      </w:r>
      <w:bookmarkEnd w:id="6"/>
    </w:p>
    <w:p w14:paraId="4C443FE1" w14:textId="77777777" w:rsidR="00E65272" w:rsidRPr="00E75DF5" w:rsidRDefault="00E65272" w:rsidP="00E65272">
      <w:pPr>
        <w:pStyle w:val="Heading2"/>
      </w:pPr>
      <w:bookmarkStart w:id="7" w:name="_Toc101890453"/>
      <w:r w:rsidRPr="00E75DF5">
        <w:t>3.1 PESTLE Analysis</w:t>
      </w:r>
      <w:bookmarkEnd w:id="7"/>
    </w:p>
    <w:p w14:paraId="71537061" w14:textId="77777777"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Toyota is a guideline player in the general vehicle industry. Notwithstanding, the affiliation should take advantage of conceivable outcomes and address gambles in its remote or colossal extension climate, as displayed in the going with PESTLE Analysis (Perera, 2017). Different outer parts influence Toyota and the general vehicle industry. Considering these parts, the association's bosses should urge strategies and assignments to help business progression and strength. Toyota is dependent upon the impacts of political circumstances. This viewpoint perceives the effects of government on firms and associations. The political steady nature of gigantic business regions is a chance for Toyota to make with pointless political strain. Also, by and large, associations counting Japan and various countries where Toyota works present entrances for extra made market entrance. </w:t>
      </w:r>
    </w:p>
    <w:p w14:paraId="290B2AAE" w14:textId="77777777" w:rsidR="00E65272" w:rsidRPr="00E75DF5" w:rsidRDefault="00E65272" w:rsidP="00E65272">
      <w:pPr>
        <w:spacing w:after="0" w:line="360" w:lineRule="auto"/>
        <w:ind w:firstLine="720"/>
        <w:jc w:val="both"/>
        <w:rPr>
          <w:rFonts w:ascii="Arial" w:hAnsi="Arial" w:cs="Arial"/>
          <w:sz w:val="24"/>
          <w:szCs w:val="24"/>
        </w:rPr>
      </w:pPr>
    </w:p>
    <w:p w14:paraId="2C712F5A" w14:textId="77777777" w:rsidR="00E65272" w:rsidRPr="00E75DF5" w:rsidRDefault="00E65272" w:rsidP="00E65272">
      <w:pPr>
        <w:pStyle w:val="Heading2"/>
      </w:pPr>
      <w:bookmarkStart w:id="8" w:name="_Toc101890454"/>
      <w:r w:rsidRPr="00E75DF5">
        <w:t>3.1.2  Advantages of the company</w:t>
      </w:r>
      <w:bookmarkEnd w:id="8"/>
    </w:p>
    <w:p w14:paraId="0D3256E1" w14:textId="77777777" w:rsidR="00E65272" w:rsidRPr="00E75DF5" w:rsidRDefault="00E65272" w:rsidP="00E65272">
      <w:pPr>
        <w:pStyle w:val="NoSpacing"/>
        <w:spacing w:line="360" w:lineRule="auto"/>
        <w:rPr>
          <w:rFonts w:ascii="Arial" w:hAnsi="Arial" w:cs="Arial"/>
          <w:b/>
          <w:bCs/>
          <w:sz w:val="24"/>
          <w:szCs w:val="24"/>
        </w:rPr>
      </w:pPr>
    </w:p>
    <w:p w14:paraId="5F3BBEA4" w14:textId="0D7D7B7E"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Financial models influence Toyota's authentic new turn of events. This point of view picks the impacts of money-related conditions on a business. The affiliation moves the potential opportunity to deal with its things from Japan contemplating the setback of the Japanese Yen. Along these lines, Toyota has a reasonable chance to interface with its business in the U.S., which is the association's second principal market. Also, speedy progress of making economies present the entryway for the firm to other than stimulate pay thinking about this business area. Second, Toyota encounters the impacts of socio-cultural parts. </w:t>
      </w:r>
    </w:p>
    <w:p w14:paraId="120D8FAB" w14:textId="1CBCEAF1" w:rsidR="00E65272"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Mechanical factors influence Toyota, mainly because it is an inventive business.</w:t>
      </w:r>
      <w:r w:rsidR="00B33638">
        <w:rPr>
          <w:rFonts w:ascii="Arial" w:hAnsi="Arial" w:cs="Arial"/>
          <w:sz w:val="24"/>
          <w:szCs w:val="24"/>
        </w:rPr>
        <w:t xml:space="preserve"> </w:t>
      </w:r>
      <w:r w:rsidRPr="00E75DF5">
        <w:rPr>
          <w:rFonts w:ascii="Arial" w:hAnsi="Arial" w:cs="Arial"/>
          <w:sz w:val="24"/>
          <w:szCs w:val="24"/>
        </w:rPr>
        <w:t xml:space="preserve">Toyota </w:t>
      </w:r>
      <w:r>
        <w:rPr>
          <w:rFonts w:ascii="Arial" w:hAnsi="Arial" w:cs="Arial"/>
          <w:sz w:val="24"/>
          <w:szCs w:val="24"/>
        </w:rPr>
        <w:t>can</w:t>
      </w:r>
      <w:r w:rsidRPr="00E75DF5">
        <w:rPr>
          <w:rFonts w:ascii="Arial" w:hAnsi="Arial" w:cs="Arial"/>
          <w:sz w:val="24"/>
          <w:szCs w:val="24"/>
        </w:rPr>
        <w:t xml:space="preserve"> additionally foster its internet-based business capacities or make the most of outcast web-based business expert centers for arrangements of a piece of its things like additional parts.</w:t>
      </w:r>
      <w:r w:rsidR="00B33638">
        <w:rPr>
          <w:rFonts w:ascii="Arial" w:hAnsi="Arial" w:cs="Arial"/>
          <w:sz w:val="24"/>
          <w:szCs w:val="24"/>
        </w:rPr>
        <w:t xml:space="preserve"> </w:t>
      </w:r>
      <w:r w:rsidRPr="00E75DF5">
        <w:rPr>
          <w:rFonts w:ascii="Arial" w:hAnsi="Arial" w:cs="Arial"/>
          <w:sz w:val="24"/>
          <w:szCs w:val="24"/>
        </w:rPr>
        <w:t xml:space="preserve">Moreover, Toyota has the potential opportunity to update its adaptable applications to increase client responsibility and endurance (Tan </w:t>
      </w:r>
      <w:r w:rsidRPr="00E75DF5">
        <w:rPr>
          <w:rFonts w:ascii="Arial" w:hAnsi="Arial" w:cs="Arial"/>
          <w:sz w:val="24"/>
          <w:szCs w:val="24"/>
        </w:rPr>
        <w:lastRenderedPageBreak/>
        <w:t xml:space="preserve">et al., 2012). Regardless, the association ought to address the risk of cybercrime, including corporate computerized observation. </w:t>
      </w:r>
    </w:p>
    <w:p w14:paraId="2D4D50CA" w14:textId="77777777" w:rsidR="00E65272" w:rsidRPr="00E75DF5" w:rsidRDefault="00E65272" w:rsidP="00E65272">
      <w:pPr>
        <w:spacing w:after="0" w:line="360" w:lineRule="auto"/>
        <w:ind w:firstLine="720"/>
        <w:jc w:val="both"/>
        <w:rPr>
          <w:rFonts w:ascii="Arial" w:hAnsi="Arial" w:cs="Arial"/>
          <w:sz w:val="24"/>
          <w:szCs w:val="24"/>
        </w:rPr>
      </w:pPr>
    </w:p>
    <w:p w14:paraId="0A211BAB" w14:textId="77777777" w:rsidR="00E65272" w:rsidRPr="00E75DF5" w:rsidRDefault="00E65272" w:rsidP="00E65272">
      <w:pPr>
        <w:spacing w:after="0" w:line="360" w:lineRule="auto"/>
        <w:ind w:firstLine="720"/>
        <w:jc w:val="both"/>
        <w:rPr>
          <w:rFonts w:ascii="Arial" w:hAnsi="Arial" w:cs="Arial"/>
          <w:sz w:val="24"/>
          <w:szCs w:val="24"/>
        </w:rPr>
      </w:pPr>
    </w:p>
    <w:p w14:paraId="332F3122" w14:textId="77777777" w:rsidR="00E65272" w:rsidRPr="00E75DF5" w:rsidRDefault="00E65272" w:rsidP="00E65272">
      <w:pPr>
        <w:pStyle w:val="Heading2"/>
      </w:pPr>
      <w:bookmarkStart w:id="9" w:name="_Toc101890455"/>
      <w:r w:rsidRPr="00E75DF5">
        <w:t>3.1.3 Challenges of Toyota</w:t>
      </w:r>
      <w:bookmarkEnd w:id="9"/>
    </w:p>
    <w:p w14:paraId="347CC02A" w14:textId="77777777" w:rsidR="00E65272" w:rsidRPr="00E75DF5" w:rsidRDefault="00E65272" w:rsidP="00E65272">
      <w:pPr>
        <w:pStyle w:val="NoSpacing"/>
        <w:spacing w:line="360" w:lineRule="auto"/>
        <w:rPr>
          <w:rFonts w:ascii="Arial" w:hAnsi="Arial" w:cs="Arial"/>
          <w:b/>
          <w:bCs/>
          <w:sz w:val="24"/>
          <w:szCs w:val="24"/>
        </w:rPr>
      </w:pPr>
    </w:p>
    <w:p w14:paraId="30E4EACB" w14:textId="73CC70E8" w:rsidR="00E65272" w:rsidRPr="00E75DF5" w:rsidRDefault="00AB143D" w:rsidP="00E65272">
      <w:pPr>
        <w:spacing w:after="0" w:line="360" w:lineRule="auto"/>
        <w:ind w:firstLine="720"/>
        <w:jc w:val="both"/>
        <w:rPr>
          <w:rFonts w:ascii="Arial" w:hAnsi="Arial" w:cs="Arial"/>
          <w:sz w:val="24"/>
          <w:szCs w:val="24"/>
        </w:rPr>
      </w:pPr>
      <w:r w:rsidRPr="00AB143D">
        <w:rPr>
          <w:rFonts w:ascii="Arial" w:hAnsi="Arial" w:cs="Arial"/>
          <w:sz w:val="24"/>
          <w:szCs w:val="24"/>
        </w:rPr>
        <w:t xml:space="preserve">The limited number of suppliers, beginning on one side of the globe and progressing to the other, create a modest power that has an influence on Toyota. Theoretically, when the providers are present, this guiding power is greater. Regardless, the </w:t>
      </w:r>
      <w:r>
        <w:rPr>
          <w:rFonts w:ascii="Arial" w:hAnsi="Arial" w:cs="Arial"/>
          <w:sz w:val="24"/>
          <w:szCs w:val="24"/>
        </w:rPr>
        <w:t>excellen</w:t>
      </w:r>
      <w:r w:rsidRPr="00AB143D">
        <w:rPr>
          <w:rFonts w:ascii="Arial" w:hAnsi="Arial" w:cs="Arial"/>
          <w:sz w:val="24"/>
          <w:szCs w:val="24"/>
        </w:rPr>
        <w:t>t supply availability used to get</w:t>
      </w:r>
      <w:r>
        <w:rPr>
          <w:rFonts w:ascii="Arial" w:hAnsi="Arial" w:cs="Arial"/>
          <w:sz w:val="24"/>
          <w:szCs w:val="24"/>
        </w:rPr>
        <w:t xml:space="preserve"> </w:t>
      </w:r>
      <w:r w:rsidRPr="00AB143D">
        <w:rPr>
          <w:rFonts w:ascii="Arial" w:hAnsi="Arial" w:cs="Arial"/>
          <w:sz w:val="24"/>
          <w:szCs w:val="24"/>
        </w:rPr>
        <w:t>together Toyota's items weakens suppliers' authority. Furthermore, in the general car business, more unquestionable piece vendors do not have forward joining or custody and management of the arrangement of materials that arrive at companies like Toyota.</w:t>
      </w:r>
      <w:r>
        <w:rPr>
          <w:rFonts w:ascii="Arial" w:hAnsi="Arial" w:cs="Arial"/>
          <w:sz w:val="24"/>
          <w:szCs w:val="24"/>
        </w:rPr>
        <w:t xml:space="preserve"> </w:t>
      </w:r>
      <w:r w:rsidR="00E65272" w:rsidRPr="00E75DF5">
        <w:rPr>
          <w:rFonts w:ascii="Arial" w:hAnsi="Arial" w:cs="Arial"/>
          <w:sz w:val="24"/>
          <w:szCs w:val="24"/>
        </w:rPr>
        <w:t xml:space="preserve">This part remembers the affiliation's overall straightforwardness for paying particular attention to the power of regulating the force of providers, and finally, at long last, the new individuals' variable (Amrollahi, and Akhgar, 2013). New entries are potential competitors that affect Toyota's normal running of operations. This variable shows the ordinary impact of the new region. The company has to face the bet of new entries. </w:t>
      </w:r>
      <w:r w:rsidR="001346F0" w:rsidRPr="001346F0">
        <w:rPr>
          <w:rFonts w:ascii="Arial" w:hAnsi="Arial" w:cs="Arial"/>
          <w:sz w:val="24"/>
          <w:szCs w:val="24"/>
        </w:rPr>
        <w:t xml:space="preserve">The enormous costs of expanding, remaining alert, and forming a new firm in the business are all common roadblocks. These squares stifle the impact of new rivals on Toyota-affiliated companies. This power is more of a challenge and pulling in </w:t>
      </w:r>
      <w:r w:rsidR="001346F0">
        <w:rPr>
          <w:rFonts w:ascii="Arial" w:hAnsi="Arial" w:cs="Arial"/>
          <w:sz w:val="24"/>
          <w:szCs w:val="24"/>
        </w:rPr>
        <w:t>clients' might</w:t>
      </w:r>
      <w:r w:rsidR="001346F0" w:rsidRPr="001346F0">
        <w:rPr>
          <w:rFonts w:ascii="Arial" w:hAnsi="Arial" w:cs="Arial"/>
          <w:sz w:val="24"/>
          <w:szCs w:val="24"/>
        </w:rPr>
        <w:t xml:space="preserve"> on the business than a goliath. </w:t>
      </w:r>
      <w:r w:rsidR="00E65272" w:rsidRPr="00E75DF5">
        <w:rPr>
          <w:rFonts w:ascii="Arial" w:hAnsi="Arial" w:cs="Arial"/>
          <w:sz w:val="24"/>
          <w:szCs w:val="24"/>
        </w:rPr>
        <w:t xml:space="preserve">(Bruijl, 2018). Besides, this part shows the bet that the new district is not worth obsessing about in making business </w:t>
      </w:r>
      <w:r w:rsidR="001346F0" w:rsidRPr="001346F0">
        <w:rPr>
          <w:rFonts w:ascii="Arial" w:hAnsi="Arial" w:cs="Arial"/>
          <w:sz w:val="24"/>
          <w:szCs w:val="24"/>
        </w:rPr>
        <w:t>nd keeping conscious of its circumstances as one of the world's leading automobile manufacturers.</w:t>
      </w:r>
    </w:p>
    <w:p w14:paraId="591037ED" w14:textId="77777777" w:rsidR="00E65272"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Huge, productive Research and Development have allowed Toyota to obtain an advantage over its adversaries</w:t>
      </w:r>
      <w:r>
        <w:rPr>
          <w:rFonts w:ascii="Arial" w:hAnsi="Arial" w:cs="Arial"/>
          <w:sz w:val="24"/>
          <w:szCs w:val="24"/>
        </w:rPr>
        <w:t>,</w:t>
      </w:r>
      <w:r w:rsidRPr="00E75DF5">
        <w:rPr>
          <w:rFonts w:ascii="Arial" w:hAnsi="Arial" w:cs="Arial"/>
          <w:sz w:val="24"/>
          <w:szCs w:val="24"/>
        </w:rPr>
        <w:t xml:space="preserve"> and become one of the greatest vehicle producers on earth by exploring and introducing the fundamental edge advancement and vehicles to the purchasers (Toma, and Naruo, 2017). Toyota Company accepts they can and will do incredible things. They are an organization driven by a creative mind, trial and error, lowliness, regard, and advancement (Vaghefi, 2002). They also accept that individuals will go an additional mile to convey to their clients what Toyota vows to be today and what is to come.</w:t>
      </w:r>
    </w:p>
    <w:p w14:paraId="5E3E5231" w14:textId="77777777" w:rsidR="00E65272" w:rsidRDefault="00E65272" w:rsidP="00E65272">
      <w:pPr>
        <w:spacing w:after="0" w:line="360" w:lineRule="auto"/>
        <w:ind w:firstLine="720"/>
        <w:jc w:val="both"/>
        <w:rPr>
          <w:rFonts w:ascii="Arial" w:hAnsi="Arial" w:cs="Arial"/>
          <w:sz w:val="24"/>
          <w:szCs w:val="24"/>
        </w:rPr>
      </w:pPr>
    </w:p>
    <w:p w14:paraId="17E40C80" w14:textId="77777777" w:rsidR="00E65272" w:rsidRPr="000D4677" w:rsidRDefault="00E65272" w:rsidP="00E65272">
      <w:pPr>
        <w:pStyle w:val="Heading1"/>
        <w:numPr>
          <w:ilvl w:val="0"/>
          <w:numId w:val="11"/>
        </w:numPr>
        <w:tabs>
          <w:tab w:val="num" w:pos="360"/>
        </w:tabs>
        <w:ind w:left="0" w:firstLine="0"/>
      </w:pPr>
      <w:bookmarkStart w:id="10" w:name="_Toc101890456"/>
      <w:r w:rsidRPr="000D4677">
        <w:lastRenderedPageBreak/>
        <w:t>Porter’s Five Forces Model</w:t>
      </w:r>
      <w:bookmarkEnd w:id="10"/>
    </w:p>
    <w:p w14:paraId="278815ED" w14:textId="7D15CF56" w:rsidR="00396061" w:rsidRDefault="00396061" w:rsidP="00E65272">
      <w:pPr>
        <w:spacing w:after="0" w:line="360" w:lineRule="auto"/>
        <w:ind w:firstLine="720"/>
        <w:jc w:val="both"/>
        <w:rPr>
          <w:rFonts w:ascii="Arial" w:hAnsi="Arial" w:cs="Arial"/>
          <w:sz w:val="24"/>
          <w:szCs w:val="24"/>
        </w:rPr>
      </w:pPr>
      <w:r w:rsidRPr="00396061">
        <w:rPr>
          <w:rFonts w:ascii="Arial" w:hAnsi="Arial" w:cs="Arial"/>
          <w:sz w:val="24"/>
          <w:szCs w:val="24"/>
        </w:rPr>
        <w:t xml:space="preserve">As shown in this five-power analysis using Porter's model, the external factors </w:t>
      </w:r>
      <w:r>
        <w:rPr>
          <w:rFonts w:ascii="Arial" w:hAnsi="Arial" w:cs="Arial"/>
          <w:sz w:val="24"/>
          <w:szCs w:val="24"/>
        </w:rPr>
        <w:t>significantly influence</w:t>
      </w:r>
      <w:r w:rsidRPr="00396061">
        <w:rPr>
          <w:rFonts w:ascii="Arial" w:hAnsi="Arial" w:cs="Arial"/>
          <w:sz w:val="24"/>
          <w:szCs w:val="24"/>
        </w:rPr>
        <w:t xml:space="preserve"> the Toyota Company's industry climate. These external forces exert influence on Toyota and </w:t>
      </w:r>
      <w:r>
        <w:rPr>
          <w:rFonts w:ascii="Arial" w:hAnsi="Arial" w:cs="Arial"/>
          <w:sz w:val="24"/>
          <w:szCs w:val="24"/>
        </w:rPr>
        <w:t>impact</w:t>
      </w:r>
      <w:r w:rsidRPr="00396061">
        <w:rPr>
          <w:rFonts w:ascii="Arial" w:hAnsi="Arial" w:cs="Arial"/>
          <w:sz w:val="24"/>
          <w:szCs w:val="24"/>
        </w:rPr>
        <w:t xml:space="preserve"> its crucial path.</w:t>
      </w:r>
      <w:r w:rsidR="00E65272" w:rsidRPr="00E75DF5">
        <w:rPr>
          <w:rFonts w:ascii="Arial" w:hAnsi="Arial" w:cs="Arial"/>
          <w:sz w:val="24"/>
          <w:szCs w:val="24"/>
        </w:rPr>
        <w:t xml:space="preserve"> (Dälken, 2014). </w:t>
      </w:r>
    </w:p>
    <w:p w14:paraId="22C05727" w14:textId="7A1BA32B"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Unquestionably, even with the issues and loads apparent in this assessment, Toyota stays the top player in the general vehicle industry. Such achievement focuses on the affiliation's capacity to overcome the opposing powers in its outside climate. Notwithstanding, Toyota should keep up with an improvement for advantage against different firms. </w:t>
      </w:r>
      <w:r w:rsidR="00396061" w:rsidRPr="00396061">
        <w:rPr>
          <w:rFonts w:ascii="Arial" w:hAnsi="Arial" w:cs="Arial"/>
          <w:sz w:val="24"/>
          <w:szCs w:val="24"/>
        </w:rPr>
        <w:t xml:space="preserve">Client issues and the fighting force, being the most established </w:t>
      </w:r>
      <w:r w:rsidR="00396061">
        <w:rPr>
          <w:rFonts w:ascii="Arial" w:hAnsi="Arial" w:cs="Arial"/>
          <w:sz w:val="24"/>
          <w:szCs w:val="24"/>
        </w:rPr>
        <w:t>oute</w:t>
      </w:r>
      <w:r w:rsidR="00396061" w:rsidRPr="00396061">
        <w:rPr>
          <w:rFonts w:ascii="Arial" w:hAnsi="Arial" w:cs="Arial"/>
          <w:sz w:val="24"/>
          <w:szCs w:val="24"/>
        </w:rPr>
        <w:t xml:space="preserve">r sections of the automobile business climate, are the </w:t>
      </w:r>
      <w:r w:rsidR="00396061">
        <w:rPr>
          <w:rFonts w:ascii="Arial" w:hAnsi="Arial" w:cs="Arial"/>
          <w:sz w:val="24"/>
          <w:szCs w:val="24"/>
        </w:rPr>
        <w:t>significant</w:t>
      </w:r>
      <w:r w:rsidR="00396061" w:rsidRPr="00396061">
        <w:rPr>
          <w:rFonts w:ascii="Arial" w:hAnsi="Arial" w:cs="Arial"/>
          <w:sz w:val="24"/>
          <w:szCs w:val="24"/>
        </w:rPr>
        <w:t xml:space="preserve"> concerns, according to the connection's five-power analysis. </w:t>
      </w:r>
      <w:r w:rsidRPr="00E75DF5">
        <w:rPr>
          <w:rFonts w:ascii="Arial" w:hAnsi="Arial" w:cs="Arial"/>
          <w:sz w:val="24"/>
          <w:szCs w:val="24"/>
        </w:rPr>
        <w:t xml:space="preserve">(Adelakun, 2020). </w:t>
      </w:r>
      <w:r w:rsidR="00396061">
        <w:rPr>
          <w:rFonts w:ascii="Arial" w:hAnsi="Arial" w:cs="Arial"/>
          <w:sz w:val="24"/>
          <w:szCs w:val="24"/>
        </w:rPr>
        <w:t>According to this assessment, to overcome the substantial strength of challenge, Toyota can focus on ensuring benefits</w:t>
      </w:r>
      <w:r w:rsidR="00396061" w:rsidRPr="00396061">
        <w:rPr>
          <w:rFonts w:ascii="Arial" w:hAnsi="Arial" w:cs="Arial"/>
          <w:sz w:val="24"/>
          <w:szCs w:val="24"/>
        </w:rPr>
        <w:t>.</w:t>
      </w:r>
    </w:p>
    <w:p w14:paraId="47DC460A" w14:textId="584ACF61"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Notwithstanding, regardless of how there are different tiny auto firms, Toyota matches scarcely any titanic firms. This part shows that the alliance ought to have wide systems to resolve consistent conflict. The accompanying power is the battling force of purchasers. Toyota's clients sway the business through pay rates. </w:t>
      </w:r>
      <w:r w:rsidR="00396061" w:rsidRPr="00396061">
        <w:rPr>
          <w:rFonts w:ascii="Arial" w:hAnsi="Arial" w:cs="Arial"/>
          <w:sz w:val="24"/>
          <w:szCs w:val="24"/>
        </w:rPr>
        <w:t>Because of the lower trading expenses, clients are encouraged to switch from Toyota to interacting with enterprises at no additional cost.</w:t>
      </w:r>
      <w:r w:rsidRPr="00E75DF5">
        <w:rPr>
          <w:rFonts w:ascii="Arial" w:hAnsi="Arial" w:cs="Arial"/>
          <w:sz w:val="24"/>
          <w:szCs w:val="24"/>
        </w:rPr>
        <w:t xml:space="preserve">This change constantly happens when clients purchase another vehicle. In increment, Toyota's clients can pick their by and large ideal choice without an overall principal stretch since they approach careful data from the connection's site. </w:t>
      </w:r>
    </w:p>
    <w:p w14:paraId="6877C36C" w14:textId="77777777"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 xml:space="preserve">Also, the wheeling and dealing power of suppliers is another power. Toyota's suppliers desire to influence the firm to deal with their business. This variable mirrors the relationship between firms and their suppliers. </w:t>
      </w:r>
    </w:p>
    <w:p w14:paraId="5591059D" w14:textId="77777777" w:rsidR="00E65272" w:rsidRPr="00E75DF5" w:rsidRDefault="00E65272" w:rsidP="00E65272">
      <w:pPr>
        <w:spacing w:after="0" w:line="360" w:lineRule="auto"/>
        <w:ind w:firstLine="720"/>
        <w:jc w:val="both"/>
        <w:rPr>
          <w:rFonts w:ascii="Arial" w:hAnsi="Arial" w:cs="Arial"/>
          <w:sz w:val="24"/>
          <w:szCs w:val="24"/>
        </w:rPr>
      </w:pPr>
    </w:p>
    <w:p w14:paraId="379129C8" w14:textId="77777777" w:rsidR="00E65272" w:rsidRPr="00E75DF5" w:rsidRDefault="00E65272" w:rsidP="00E65272">
      <w:pPr>
        <w:spacing w:after="0" w:line="360" w:lineRule="auto"/>
        <w:ind w:firstLine="720"/>
        <w:jc w:val="both"/>
        <w:rPr>
          <w:rFonts w:ascii="Arial" w:hAnsi="Arial" w:cs="Arial"/>
          <w:sz w:val="24"/>
          <w:szCs w:val="24"/>
        </w:rPr>
      </w:pPr>
    </w:p>
    <w:p w14:paraId="56FCBE03" w14:textId="77777777" w:rsidR="00E65272" w:rsidRPr="000D4677" w:rsidRDefault="00E65272" w:rsidP="00E65272">
      <w:pPr>
        <w:pStyle w:val="Heading1"/>
        <w:numPr>
          <w:ilvl w:val="0"/>
          <w:numId w:val="11"/>
        </w:numPr>
        <w:tabs>
          <w:tab w:val="num" w:pos="360"/>
        </w:tabs>
        <w:ind w:left="0" w:firstLine="0"/>
      </w:pPr>
      <w:bookmarkStart w:id="11" w:name="_Toc101890457"/>
      <w:r w:rsidRPr="000D4677">
        <w:t>Conclusion</w:t>
      </w:r>
      <w:bookmarkEnd w:id="11"/>
      <w:r w:rsidRPr="000D4677">
        <w:t xml:space="preserve"> </w:t>
      </w:r>
    </w:p>
    <w:p w14:paraId="3912698F" w14:textId="02FC722D" w:rsidR="00E65272" w:rsidRPr="00E75DF5" w:rsidRDefault="00E65272" w:rsidP="00E65272">
      <w:pPr>
        <w:spacing w:after="0" w:line="360" w:lineRule="auto"/>
        <w:ind w:firstLine="720"/>
        <w:jc w:val="both"/>
        <w:rPr>
          <w:rFonts w:ascii="Arial" w:hAnsi="Arial" w:cs="Arial"/>
          <w:sz w:val="24"/>
          <w:szCs w:val="24"/>
        </w:rPr>
      </w:pPr>
      <w:r w:rsidRPr="00E75DF5">
        <w:rPr>
          <w:rFonts w:ascii="Arial" w:hAnsi="Arial" w:cs="Arial"/>
          <w:sz w:val="24"/>
          <w:szCs w:val="24"/>
        </w:rPr>
        <w:t>Toyota's SWOT examination distinguishes central points of interest, for example, the impacts of challenge and the affiliation's deficiency in thinking about its conclusive arrangement and culture. T</w:t>
      </w:r>
      <w:r w:rsidR="00396061">
        <w:rPr>
          <w:rFonts w:ascii="Arial" w:hAnsi="Arial" w:cs="Arial"/>
          <w:sz w:val="24"/>
          <w:szCs w:val="24"/>
        </w:rPr>
        <w:t>he association needs to extend its advantage considering its creative capacities to address the risk</w:t>
      </w:r>
      <w:r w:rsidRPr="00E75DF5">
        <w:rPr>
          <w:rFonts w:ascii="Arial" w:hAnsi="Arial" w:cs="Arial"/>
          <w:sz w:val="24"/>
          <w:szCs w:val="24"/>
        </w:rPr>
        <w:t xml:space="preserve">s. The association can, in like manner, also change culture and development to smooth out its flexibility in bearing </w:t>
      </w:r>
      <w:r w:rsidRPr="00E75DF5">
        <w:rPr>
          <w:rFonts w:ascii="Arial" w:hAnsi="Arial" w:cs="Arial"/>
          <w:sz w:val="24"/>
          <w:szCs w:val="24"/>
        </w:rPr>
        <w:lastRenderedPageBreak/>
        <w:t>and decisive reasoning. Moreover, the external factors perceived in the PESTLE assessment of Toyota's tremendous extension climate generally set out open entrances for the affiliation. For example, the firm can zero in on thing headway to make the most of chances keeping watch. Toyota can moreover additionally foster business exercises and market presence to make the most of chances considering external monetary variables. The association ought to address risks considering the external components of the amplifying overflow opening and the rising rehash of cybercrime. Mechanical measures and thing movement could show significance in this undertaking. The PESTLE assessment shows that Toyota has colossal doorways for progression and strength. Also, the company can use its competitive advantage of research and development to gather information on strategies to implement to deal with their competitors. Toyota takes value in its core values to sustain the business.</w:t>
      </w:r>
    </w:p>
    <w:p w14:paraId="12685F14" w14:textId="77777777" w:rsidR="00E65272" w:rsidRPr="00E75DF5" w:rsidRDefault="00E65272" w:rsidP="00E65272">
      <w:pPr>
        <w:spacing w:line="360" w:lineRule="auto"/>
        <w:jc w:val="both"/>
        <w:rPr>
          <w:rFonts w:ascii="Arial" w:hAnsi="Arial" w:cs="Arial"/>
          <w:sz w:val="24"/>
          <w:szCs w:val="24"/>
        </w:rPr>
      </w:pPr>
    </w:p>
    <w:p w14:paraId="49144AB9" w14:textId="77777777" w:rsidR="00E65272" w:rsidRPr="00E75DF5" w:rsidRDefault="00E65272" w:rsidP="00E65272">
      <w:pPr>
        <w:spacing w:line="360" w:lineRule="auto"/>
        <w:rPr>
          <w:rFonts w:ascii="Arial" w:hAnsi="Arial" w:cs="Arial"/>
          <w:sz w:val="24"/>
          <w:szCs w:val="24"/>
        </w:rPr>
      </w:pPr>
    </w:p>
    <w:p w14:paraId="2A83677C" w14:textId="77777777" w:rsidR="00E65272" w:rsidRPr="00E75DF5" w:rsidRDefault="00E65272" w:rsidP="00E65272">
      <w:pPr>
        <w:spacing w:line="360" w:lineRule="auto"/>
        <w:rPr>
          <w:rFonts w:ascii="Arial" w:hAnsi="Arial" w:cs="Arial"/>
          <w:sz w:val="24"/>
          <w:szCs w:val="24"/>
        </w:rPr>
      </w:pPr>
    </w:p>
    <w:p w14:paraId="0E25D671" w14:textId="77777777" w:rsidR="00E65272" w:rsidRPr="00E75DF5" w:rsidRDefault="00E65272" w:rsidP="00E65272">
      <w:pPr>
        <w:spacing w:line="360" w:lineRule="auto"/>
        <w:rPr>
          <w:rFonts w:ascii="Arial" w:hAnsi="Arial" w:cs="Arial"/>
          <w:sz w:val="24"/>
          <w:szCs w:val="24"/>
        </w:rPr>
      </w:pPr>
    </w:p>
    <w:p w14:paraId="5CA07116" w14:textId="77777777" w:rsidR="00E65272" w:rsidRPr="00E75DF5" w:rsidRDefault="00E65272" w:rsidP="00E65272">
      <w:pPr>
        <w:spacing w:line="360" w:lineRule="auto"/>
        <w:rPr>
          <w:rFonts w:ascii="Arial" w:hAnsi="Arial" w:cs="Arial"/>
          <w:sz w:val="24"/>
          <w:szCs w:val="24"/>
        </w:rPr>
      </w:pPr>
    </w:p>
    <w:p w14:paraId="121F3023" w14:textId="77777777" w:rsidR="00E65272" w:rsidRPr="00E75DF5" w:rsidRDefault="00E65272" w:rsidP="00E65272">
      <w:pPr>
        <w:spacing w:line="360" w:lineRule="auto"/>
        <w:rPr>
          <w:rFonts w:ascii="Arial" w:hAnsi="Arial" w:cs="Arial"/>
          <w:sz w:val="24"/>
          <w:szCs w:val="24"/>
        </w:rPr>
      </w:pPr>
    </w:p>
    <w:p w14:paraId="51866BB5" w14:textId="77777777" w:rsidR="00E65272" w:rsidRPr="00E75DF5" w:rsidRDefault="00E65272" w:rsidP="00E65272">
      <w:pPr>
        <w:spacing w:line="360" w:lineRule="auto"/>
        <w:rPr>
          <w:rFonts w:ascii="Arial" w:hAnsi="Arial" w:cs="Arial"/>
          <w:sz w:val="24"/>
          <w:szCs w:val="24"/>
        </w:rPr>
      </w:pPr>
    </w:p>
    <w:p w14:paraId="2CDED30D" w14:textId="77777777" w:rsidR="00E65272" w:rsidRPr="00E75DF5" w:rsidRDefault="00E65272" w:rsidP="00E65272">
      <w:pPr>
        <w:spacing w:line="360" w:lineRule="auto"/>
        <w:rPr>
          <w:rFonts w:ascii="Arial" w:hAnsi="Arial" w:cs="Arial"/>
          <w:sz w:val="24"/>
          <w:szCs w:val="24"/>
        </w:rPr>
      </w:pPr>
    </w:p>
    <w:p w14:paraId="7B535A75" w14:textId="77777777" w:rsidR="00E65272" w:rsidRPr="00E75DF5" w:rsidRDefault="00E65272" w:rsidP="00E65272">
      <w:pPr>
        <w:spacing w:line="360" w:lineRule="auto"/>
        <w:rPr>
          <w:rFonts w:ascii="Arial" w:hAnsi="Arial" w:cs="Arial"/>
          <w:sz w:val="24"/>
          <w:szCs w:val="24"/>
        </w:rPr>
      </w:pPr>
    </w:p>
    <w:p w14:paraId="47C2384F" w14:textId="77777777" w:rsidR="00E65272" w:rsidRPr="00E75DF5" w:rsidRDefault="00E65272" w:rsidP="00E65272">
      <w:pPr>
        <w:spacing w:line="360" w:lineRule="auto"/>
        <w:rPr>
          <w:rFonts w:ascii="Arial" w:hAnsi="Arial" w:cs="Arial"/>
          <w:sz w:val="24"/>
          <w:szCs w:val="24"/>
        </w:rPr>
      </w:pPr>
    </w:p>
    <w:p w14:paraId="00F707A5" w14:textId="77777777" w:rsidR="00E65272" w:rsidRPr="00E75DF5" w:rsidRDefault="00E65272" w:rsidP="00E65272">
      <w:pPr>
        <w:spacing w:line="360" w:lineRule="auto"/>
        <w:rPr>
          <w:rFonts w:ascii="Arial" w:hAnsi="Arial" w:cs="Arial"/>
          <w:sz w:val="24"/>
          <w:szCs w:val="24"/>
        </w:rPr>
      </w:pPr>
    </w:p>
    <w:p w14:paraId="1FECE95C" w14:textId="77777777" w:rsidR="00E65272" w:rsidRDefault="00E65272" w:rsidP="00E65272">
      <w:pPr>
        <w:spacing w:line="360" w:lineRule="auto"/>
        <w:jc w:val="both"/>
        <w:rPr>
          <w:rFonts w:ascii="Arial" w:hAnsi="Arial" w:cs="Arial"/>
          <w:sz w:val="24"/>
          <w:szCs w:val="24"/>
        </w:rPr>
      </w:pPr>
    </w:p>
    <w:p w14:paraId="5EC12C89" w14:textId="77777777" w:rsidR="00E65272" w:rsidRDefault="00E65272" w:rsidP="00E65272">
      <w:pPr>
        <w:spacing w:line="360" w:lineRule="auto"/>
        <w:jc w:val="both"/>
        <w:rPr>
          <w:rFonts w:ascii="Arial" w:hAnsi="Arial" w:cs="Arial"/>
          <w:sz w:val="24"/>
          <w:szCs w:val="24"/>
        </w:rPr>
      </w:pPr>
    </w:p>
    <w:p w14:paraId="33D67F5D" w14:textId="77777777" w:rsidR="00E65272" w:rsidRDefault="00E65272" w:rsidP="00E65272">
      <w:pPr>
        <w:spacing w:line="360" w:lineRule="auto"/>
        <w:jc w:val="both"/>
        <w:rPr>
          <w:rFonts w:ascii="Arial" w:hAnsi="Arial" w:cs="Arial"/>
          <w:b/>
          <w:bCs/>
          <w:sz w:val="24"/>
          <w:szCs w:val="24"/>
        </w:rPr>
      </w:pPr>
    </w:p>
    <w:p w14:paraId="46E0F10B" w14:textId="77777777" w:rsidR="00E65272" w:rsidRDefault="00E65272" w:rsidP="00E65272">
      <w:pPr>
        <w:spacing w:line="360" w:lineRule="auto"/>
        <w:jc w:val="both"/>
        <w:rPr>
          <w:rFonts w:ascii="Arial" w:hAnsi="Arial" w:cs="Arial"/>
          <w:b/>
          <w:bCs/>
          <w:sz w:val="24"/>
          <w:szCs w:val="24"/>
        </w:rPr>
      </w:pPr>
    </w:p>
    <w:p w14:paraId="3E8C202B" w14:textId="77777777" w:rsidR="00E65272" w:rsidRDefault="00E65272" w:rsidP="00E65272">
      <w:pPr>
        <w:spacing w:line="360" w:lineRule="auto"/>
        <w:jc w:val="both"/>
        <w:rPr>
          <w:rFonts w:ascii="Arial" w:hAnsi="Arial" w:cs="Arial"/>
          <w:b/>
          <w:bCs/>
          <w:sz w:val="24"/>
          <w:szCs w:val="24"/>
        </w:rPr>
      </w:pPr>
    </w:p>
    <w:p w14:paraId="20BADE0D" w14:textId="77777777" w:rsidR="00E65272" w:rsidRPr="000D4677" w:rsidRDefault="00E65272" w:rsidP="00E65272">
      <w:pPr>
        <w:pStyle w:val="Heading1"/>
        <w:numPr>
          <w:ilvl w:val="0"/>
          <w:numId w:val="11"/>
        </w:numPr>
        <w:tabs>
          <w:tab w:val="num" w:pos="360"/>
        </w:tabs>
        <w:ind w:left="0" w:firstLine="0"/>
      </w:pPr>
      <w:bookmarkStart w:id="12" w:name="_Toc101890458"/>
      <w:r w:rsidRPr="000D4677">
        <w:lastRenderedPageBreak/>
        <w:t>References</w:t>
      </w:r>
      <w:bookmarkEnd w:id="12"/>
    </w:p>
    <w:p w14:paraId="3BE556B0" w14:textId="77777777" w:rsidR="00E65272" w:rsidRPr="00E75DF5" w:rsidRDefault="00E65272" w:rsidP="00E65272">
      <w:pPr>
        <w:spacing w:line="360" w:lineRule="auto"/>
        <w:jc w:val="both"/>
        <w:rPr>
          <w:rFonts w:ascii="Arial" w:hAnsi="Arial" w:cs="Arial"/>
          <w:b/>
          <w:bCs/>
          <w:sz w:val="24"/>
          <w:szCs w:val="24"/>
        </w:rPr>
      </w:pPr>
    </w:p>
    <w:p w14:paraId="683B8017"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Adelakun, A., 2020. Should Porter's Five Forces have value in Businesses today? </w:t>
      </w:r>
      <w:r w:rsidRPr="00E75DF5">
        <w:rPr>
          <w:rFonts w:ascii="Arial" w:hAnsi="Arial" w:cs="Arial"/>
          <w:i/>
          <w:iCs/>
          <w:color w:val="222222"/>
          <w:sz w:val="24"/>
          <w:szCs w:val="24"/>
          <w:shd w:val="clear" w:color="auto" w:fill="FFFFFF"/>
        </w:rPr>
        <w:t>Computing for Business (BSC) Aston University Birmingham</w:t>
      </w:r>
      <w:r w:rsidRPr="00E75DF5">
        <w:rPr>
          <w:rFonts w:ascii="Arial" w:hAnsi="Arial" w:cs="Arial"/>
          <w:color w:val="222222"/>
          <w:sz w:val="24"/>
          <w:szCs w:val="24"/>
          <w:shd w:val="clear" w:color="auto" w:fill="FFFFFF"/>
        </w:rPr>
        <w:t>.</w:t>
      </w:r>
    </w:p>
    <w:p w14:paraId="4DADF09C"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Amrollahi, A. and Akhgar, B., 2013. Analyzing open source business with Porter's five forces. </w:t>
      </w:r>
      <w:r w:rsidRPr="00E75DF5">
        <w:rPr>
          <w:rFonts w:ascii="Arial" w:hAnsi="Arial" w:cs="Arial"/>
          <w:i/>
          <w:iCs/>
          <w:color w:val="222222"/>
          <w:sz w:val="24"/>
          <w:szCs w:val="24"/>
          <w:shd w:val="clear" w:color="auto" w:fill="FFFFFF"/>
        </w:rPr>
        <w:t>International Journal of Computer Theory and Engineering</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5</w:t>
      </w:r>
      <w:r w:rsidRPr="00E75DF5">
        <w:rPr>
          <w:rFonts w:ascii="Arial" w:hAnsi="Arial" w:cs="Arial"/>
          <w:color w:val="222222"/>
          <w:sz w:val="24"/>
          <w:szCs w:val="24"/>
          <w:shd w:val="clear" w:color="auto" w:fill="FFFFFF"/>
        </w:rPr>
        <w:t>(1), p.162.</w:t>
      </w:r>
    </w:p>
    <w:p w14:paraId="24F46CFC"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Benzaghta, M.A., Elwalda, A., Mousa, M.M., Erkan, I. and Rahman, M., 2021. SWOT analysis applications: An integrative literature review. </w:t>
      </w:r>
      <w:r w:rsidRPr="00E75DF5">
        <w:rPr>
          <w:rFonts w:ascii="Arial" w:hAnsi="Arial" w:cs="Arial"/>
          <w:i/>
          <w:iCs/>
          <w:color w:val="222222"/>
          <w:sz w:val="24"/>
          <w:szCs w:val="24"/>
          <w:shd w:val="clear" w:color="auto" w:fill="FFFFFF"/>
        </w:rPr>
        <w:t>Journal of Global Business Insights</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6</w:t>
      </w:r>
      <w:r w:rsidRPr="00E75DF5">
        <w:rPr>
          <w:rFonts w:ascii="Arial" w:hAnsi="Arial" w:cs="Arial"/>
          <w:color w:val="222222"/>
          <w:sz w:val="24"/>
          <w:szCs w:val="24"/>
          <w:shd w:val="clear" w:color="auto" w:fill="FFFFFF"/>
        </w:rPr>
        <w:t>(1), pp.55-73.</w:t>
      </w:r>
    </w:p>
    <w:p w14:paraId="5005D0FE"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Bruijl, G.H.T., 2018. The relevance of Porter's five forces in today's innovative and changing business environment. </w:t>
      </w:r>
      <w:r w:rsidRPr="00E75DF5">
        <w:rPr>
          <w:rFonts w:ascii="Arial" w:hAnsi="Arial" w:cs="Arial"/>
          <w:i/>
          <w:iCs/>
          <w:color w:val="222222"/>
          <w:sz w:val="24"/>
          <w:szCs w:val="24"/>
          <w:shd w:val="clear" w:color="auto" w:fill="FFFFFF"/>
        </w:rPr>
        <w:t>Available at SSRN 3192207</w:t>
      </w:r>
      <w:r w:rsidRPr="00E75DF5">
        <w:rPr>
          <w:rFonts w:ascii="Arial" w:hAnsi="Arial" w:cs="Arial"/>
          <w:color w:val="222222"/>
          <w:sz w:val="24"/>
          <w:szCs w:val="24"/>
          <w:shd w:val="clear" w:color="auto" w:fill="FFFFFF"/>
        </w:rPr>
        <w:t>.</w:t>
      </w:r>
    </w:p>
    <w:p w14:paraId="0A2F8B20"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Dälken, F., 2014. </w:t>
      </w:r>
      <w:r w:rsidRPr="00E75DF5">
        <w:rPr>
          <w:rFonts w:ascii="Arial" w:hAnsi="Arial" w:cs="Arial"/>
          <w:i/>
          <w:iCs/>
          <w:color w:val="222222"/>
          <w:sz w:val="24"/>
          <w:szCs w:val="24"/>
          <w:shd w:val="clear" w:color="auto" w:fill="FFFFFF"/>
        </w:rPr>
        <w:t>Are Porter’s five competitive forces still applicable? A critical examination concerning the relevance for today’s business</w:t>
      </w:r>
      <w:r w:rsidRPr="00E75DF5">
        <w:rPr>
          <w:rFonts w:ascii="Arial" w:hAnsi="Arial" w:cs="Arial"/>
          <w:color w:val="222222"/>
          <w:sz w:val="24"/>
          <w:szCs w:val="24"/>
          <w:shd w:val="clear" w:color="auto" w:fill="FFFFFF"/>
        </w:rPr>
        <w:t> (Bachelor's thesis, University of Twente).</w:t>
      </w:r>
    </w:p>
    <w:p w14:paraId="5CF8FED9"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GURL, E., 2017. SWOT analysis: A theoretical review.</w:t>
      </w:r>
    </w:p>
    <w:p w14:paraId="5755BBD3"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Jurevicius, O., 2013. Toyota Motor Corporation SWOT analysis. </w:t>
      </w:r>
      <w:r w:rsidRPr="00E75DF5">
        <w:rPr>
          <w:rFonts w:ascii="Arial" w:hAnsi="Arial" w:cs="Arial"/>
          <w:i/>
          <w:iCs/>
          <w:color w:val="222222"/>
          <w:sz w:val="24"/>
          <w:szCs w:val="24"/>
          <w:shd w:val="clear" w:color="auto" w:fill="FFFFFF"/>
        </w:rPr>
        <w:t>Strategic Management Insight</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16</w:t>
      </w:r>
      <w:r w:rsidRPr="00E75DF5">
        <w:rPr>
          <w:rFonts w:ascii="Arial" w:hAnsi="Arial" w:cs="Arial"/>
          <w:color w:val="222222"/>
          <w:sz w:val="24"/>
          <w:szCs w:val="24"/>
          <w:shd w:val="clear" w:color="auto" w:fill="FFFFFF"/>
        </w:rPr>
        <w:t>.</w:t>
      </w:r>
    </w:p>
    <w:p w14:paraId="0F136433"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Nkomo, T., 2019. Analysis of Toyota Motor Corporation.</w:t>
      </w:r>
    </w:p>
    <w:p w14:paraId="75F7A422"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Perera, R., 2017. </w:t>
      </w:r>
      <w:r w:rsidRPr="00E75DF5">
        <w:rPr>
          <w:rFonts w:ascii="Arial" w:hAnsi="Arial" w:cs="Arial"/>
          <w:i/>
          <w:iCs/>
          <w:color w:val="222222"/>
          <w:sz w:val="24"/>
          <w:szCs w:val="24"/>
          <w:shd w:val="clear" w:color="auto" w:fill="FFFFFF"/>
        </w:rPr>
        <w:t>The PESTLE analysis</w:t>
      </w:r>
      <w:r w:rsidRPr="00E75DF5">
        <w:rPr>
          <w:rFonts w:ascii="Arial" w:hAnsi="Arial" w:cs="Arial"/>
          <w:color w:val="222222"/>
          <w:sz w:val="24"/>
          <w:szCs w:val="24"/>
          <w:shd w:val="clear" w:color="auto" w:fill="FFFFFF"/>
        </w:rPr>
        <w:t>. Nerdynaut.</w:t>
      </w:r>
    </w:p>
    <w:p w14:paraId="3860A19D"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Shtal, T.V., BURIAK, M.M., AMIRBEKULY, Y., UKUBASSOVA, G.S., KASKIN, T.T. and TOIBOLDINOVA, Z.G., 2018. Methods of analysis of the external environment of business activities. </w:t>
      </w:r>
      <w:r w:rsidRPr="00E75DF5">
        <w:rPr>
          <w:rFonts w:ascii="Arial" w:hAnsi="Arial" w:cs="Arial"/>
          <w:i/>
          <w:iCs/>
          <w:color w:val="222222"/>
          <w:sz w:val="24"/>
          <w:szCs w:val="24"/>
          <w:shd w:val="clear" w:color="auto" w:fill="FFFFFF"/>
        </w:rPr>
        <w:t>Revista Espacios</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39</w:t>
      </w:r>
      <w:r w:rsidRPr="00E75DF5">
        <w:rPr>
          <w:rFonts w:ascii="Arial" w:hAnsi="Arial" w:cs="Arial"/>
          <w:color w:val="222222"/>
          <w:sz w:val="24"/>
          <w:szCs w:val="24"/>
          <w:shd w:val="clear" w:color="auto" w:fill="FFFFFF"/>
        </w:rPr>
        <w:t>(12).</w:t>
      </w:r>
    </w:p>
    <w:p w14:paraId="6E24E836" w14:textId="77777777" w:rsidR="00E65272" w:rsidRPr="00E75DF5" w:rsidRDefault="00E65272" w:rsidP="00E65272">
      <w:pPr>
        <w:spacing w:line="360" w:lineRule="auto"/>
        <w:jc w:val="both"/>
        <w:rPr>
          <w:rFonts w:ascii="Arial" w:hAnsi="Arial" w:cs="Arial"/>
          <w:sz w:val="24"/>
          <w:szCs w:val="24"/>
        </w:rPr>
      </w:pPr>
      <w:r w:rsidRPr="00E75DF5">
        <w:rPr>
          <w:rFonts w:ascii="Arial" w:hAnsi="Arial" w:cs="Arial"/>
          <w:color w:val="222222"/>
          <w:sz w:val="24"/>
          <w:szCs w:val="24"/>
          <w:shd w:val="clear" w:color="auto" w:fill="FFFFFF"/>
        </w:rPr>
        <w:t>Soliman, M., 2015. What Toyota production system is really about.</w:t>
      </w:r>
    </w:p>
    <w:p w14:paraId="18ED5A34"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Tan, J.H., Chua, W.L., Chow, C.K., Chong, M.C. and Chew, B.C., 2012. PESTLE Analysis on Toyota Hybrid Vehicles. In </w:t>
      </w:r>
      <w:r w:rsidRPr="00E75DF5">
        <w:rPr>
          <w:rFonts w:ascii="Arial" w:hAnsi="Arial" w:cs="Arial"/>
          <w:i/>
          <w:iCs/>
          <w:color w:val="222222"/>
          <w:sz w:val="24"/>
          <w:szCs w:val="24"/>
          <w:shd w:val="clear" w:color="auto" w:fill="FFFFFF"/>
        </w:rPr>
        <w:t>Proceedings of the International Conference on Technology Management and Technopreneurship</w:t>
      </w:r>
      <w:r w:rsidRPr="00E75DF5">
        <w:rPr>
          <w:rFonts w:ascii="Arial" w:hAnsi="Arial" w:cs="Arial"/>
          <w:color w:val="222222"/>
          <w:sz w:val="24"/>
          <w:szCs w:val="24"/>
          <w:shd w:val="clear" w:color="auto" w:fill="FFFFFF"/>
        </w:rPr>
        <w:t>.</w:t>
      </w:r>
    </w:p>
    <w:p w14:paraId="64AA36A9"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 xml:space="preserve">Taneja, S., Pryor, M.G. and Sewell, S.M., 2012. Toyota recalls a strategic leadership perspective. </w:t>
      </w:r>
      <w:r w:rsidRPr="00E75DF5">
        <w:rPr>
          <w:rFonts w:ascii="Arial" w:hAnsi="Arial" w:cs="Arial"/>
          <w:i/>
          <w:iCs/>
          <w:color w:val="222222"/>
          <w:sz w:val="24"/>
          <w:szCs w:val="24"/>
          <w:shd w:val="clear" w:color="auto" w:fill="FFFFFF"/>
        </w:rPr>
        <w:t>International Journal of Business and Public Administration</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9</w:t>
      </w:r>
      <w:r w:rsidRPr="00E75DF5">
        <w:rPr>
          <w:rFonts w:ascii="Arial" w:hAnsi="Arial" w:cs="Arial"/>
          <w:color w:val="222222"/>
          <w:sz w:val="24"/>
          <w:szCs w:val="24"/>
          <w:shd w:val="clear" w:color="auto" w:fill="FFFFFF"/>
        </w:rPr>
        <w:t>(2), pp.125-141.</w:t>
      </w:r>
    </w:p>
    <w:p w14:paraId="70FFCCF4"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lastRenderedPageBreak/>
        <w:t>Toma, S.G. and Naruo, S., 2017. Total quality management and business excellence: the best practices at Toyota Motor Corporation. </w:t>
      </w:r>
      <w:r w:rsidRPr="00E75DF5">
        <w:rPr>
          <w:rFonts w:ascii="Arial" w:hAnsi="Arial" w:cs="Arial"/>
          <w:i/>
          <w:iCs/>
          <w:color w:val="222222"/>
          <w:sz w:val="24"/>
          <w:szCs w:val="24"/>
          <w:shd w:val="clear" w:color="auto" w:fill="FFFFFF"/>
        </w:rPr>
        <w:t>Amfiteatru Economic Journal</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19</w:t>
      </w:r>
      <w:r w:rsidRPr="00E75DF5">
        <w:rPr>
          <w:rFonts w:ascii="Arial" w:hAnsi="Arial" w:cs="Arial"/>
          <w:color w:val="222222"/>
          <w:sz w:val="24"/>
          <w:szCs w:val="24"/>
          <w:shd w:val="clear" w:color="auto" w:fill="FFFFFF"/>
        </w:rPr>
        <w:t>(45), pp.566-580.</w:t>
      </w:r>
    </w:p>
    <w:p w14:paraId="2066AB7F" w14:textId="77777777" w:rsidR="00E65272" w:rsidRPr="00E75DF5" w:rsidRDefault="00E65272" w:rsidP="00E65272">
      <w:pPr>
        <w:spacing w:line="360" w:lineRule="auto"/>
        <w:jc w:val="both"/>
        <w:rPr>
          <w:rFonts w:ascii="Arial" w:hAnsi="Arial" w:cs="Arial"/>
          <w:color w:val="222222"/>
          <w:sz w:val="24"/>
          <w:szCs w:val="24"/>
          <w:shd w:val="clear" w:color="auto" w:fill="FFFFFF"/>
        </w:rPr>
      </w:pPr>
      <w:r w:rsidRPr="00E75DF5">
        <w:rPr>
          <w:rFonts w:ascii="Arial" w:hAnsi="Arial" w:cs="Arial"/>
          <w:color w:val="222222"/>
          <w:sz w:val="24"/>
          <w:szCs w:val="24"/>
          <w:shd w:val="clear" w:color="auto" w:fill="FFFFFF"/>
        </w:rPr>
        <w:t>Vaghefi, M.R., 2002. Creating sustainable competitive advantage: The Toyota philosophy and its effects. </w:t>
      </w:r>
      <w:r w:rsidRPr="00E75DF5">
        <w:rPr>
          <w:rFonts w:ascii="Arial" w:hAnsi="Arial" w:cs="Arial"/>
          <w:i/>
          <w:iCs/>
          <w:color w:val="222222"/>
          <w:sz w:val="24"/>
          <w:szCs w:val="24"/>
          <w:shd w:val="clear" w:color="auto" w:fill="FFFFFF"/>
        </w:rPr>
        <w:t>Financial Times</w:t>
      </w:r>
      <w:r w:rsidRPr="00E75DF5">
        <w:rPr>
          <w:rFonts w:ascii="Arial" w:hAnsi="Arial" w:cs="Arial"/>
          <w:color w:val="222222"/>
          <w:sz w:val="24"/>
          <w:szCs w:val="24"/>
          <w:shd w:val="clear" w:color="auto" w:fill="FFFFFF"/>
        </w:rPr>
        <w:t>, </w:t>
      </w:r>
      <w:r w:rsidRPr="00E75DF5">
        <w:rPr>
          <w:rFonts w:ascii="Arial" w:hAnsi="Arial" w:cs="Arial"/>
          <w:i/>
          <w:iCs/>
          <w:color w:val="222222"/>
          <w:sz w:val="24"/>
          <w:szCs w:val="24"/>
          <w:shd w:val="clear" w:color="auto" w:fill="FFFFFF"/>
        </w:rPr>
        <w:t>5</w:t>
      </w:r>
      <w:r w:rsidRPr="00E75DF5">
        <w:rPr>
          <w:rFonts w:ascii="Arial" w:hAnsi="Arial" w:cs="Arial"/>
          <w:color w:val="222222"/>
          <w:sz w:val="24"/>
          <w:szCs w:val="24"/>
          <w:shd w:val="clear" w:color="auto" w:fill="FFFFFF"/>
        </w:rPr>
        <w:t>, p.2002.</w:t>
      </w:r>
    </w:p>
    <w:p w14:paraId="1DCDEE8C" w14:textId="77777777" w:rsidR="00E65272" w:rsidRPr="00E75DF5" w:rsidRDefault="00E65272" w:rsidP="00E65272">
      <w:pPr>
        <w:spacing w:line="360" w:lineRule="auto"/>
        <w:jc w:val="both"/>
        <w:rPr>
          <w:rFonts w:ascii="Arial" w:hAnsi="Arial" w:cs="Arial"/>
          <w:sz w:val="24"/>
          <w:szCs w:val="24"/>
        </w:rPr>
      </w:pPr>
    </w:p>
    <w:p w14:paraId="0045284F" w14:textId="77777777" w:rsidR="00E65272" w:rsidRPr="00E75DF5" w:rsidRDefault="00E65272" w:rsidP="00E65272">
      <w:pPr>
        <w:spacing w:line="360" w:lineRule="auto"/>
        <w:jc w:val="both"/>
        <w:rPr>
          <w:rFonts w:ascii="Arial" w:hAnsi="Arial" w:cs="Arial"/>
          <w:sz w:val="24"/>
          <w:szCs w:val="24"/>
        </w:rPr>
      </w:pPr>
    </w:p>
    <w:p w14:paraId="7828220F" w14:textId="77777777" w:rsidR="00E65272" w:rsidRPr="00E75DF5" w:rsidRDefault="00E65272" w:rsidP="00E65272">
      <w:pPr>
        <w:spacing w:line="360" w:lineRule="auto"/>
        <w:jc w:val="both"/>
        <w:rPr>
          <w:rFonts w:ascii="Arial" w:hAnsi="Arial" w:cs="Arial"/>
          <w:sz w:val="24"/>
          <w:szCs w:val="24"/>
        </w:rPr>
      </w:pPr>
    </w:p>
    <w:p w14:paraId="36AF7E9B" w14:textId="77777777" w:rsidR="00E65272" w:rsidRPr="00E75DF5" w:rsidRDefault="00E65272" w:rsidP="00E65272">
      <w:pPr>
        <w:spacing w:line="360" w:lineRule="auto"/>
        <w:rPr>
          <w:rFonts w:ascii="Arial" w:hAnsi="Arial" w:cs="Arial"/>
          <w:sz w:val="24"/>
          <w:szCs w:val="24"/>
        </w:rPr>
      </w:pPr>
    </w:p>
    <w:p w14:paraId="0598CA6B" w14:textId="77777777" w:rsidR="00E65272" w:rsidRDefault="00E65272" w:rsidP="00E65272"/>
    <w:p w14:paraId="519A10A2" w14:textId="77777777" w:rsidR="00E65272" w:rsidRDefault="00E65272" w:rsidP="00E65272"/>
    <w:p w14:paraId="1E7D05AC" w14:textId="77777777" w:rsidR="00E65272" w:rsidRDefault="00E65272" w:rsidP="00E65272">
      <w:pPr>
        <w:rPr>
          <w:rFonts w:ascii="Arial" w:hAnsi="Arial" w:cs="Arial"/>
          <w:sz w:val="24"/>
          <w:szCs w:val="24"/>
        </w:rPr>
      </w:pPr>
    </w:p>
    <w:p w14:paraId="3D4F63C3" w14:textId="77777777" w:rsidR="00E65272" w:rsidRDefault="00E65272" w:rsidP="00E65272">
      <w:pPr>
        <w:rPr>
          <w:rFonts w:ascii="Arial" w:hAnsi="Arial" w:cs="Arial"/>
          <w:sz w:val="24"/>
          <w:szCs w:val="24"/>
        </w:rPr>
      </w:pPr>
    </w:p>
    <w:p w14:paraId="56B31391" w14:textId="77777777" w:rsidR="003F7CC2" w:rsidRPr="00E65272" w:rsidRDefault="003F7CC2" w:rsidP="00E65272"/>
    <w:sectPr w:rsidR="003F7CC2" w:rsidRPr="00E65272" w:rsidSect="000D4677">
      <w:footerReference w:type="first" r:id="rId1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21E4D" w14:textId="77777777" w:rsidR="00B73B1F" w:rsidRDefault="00B73B1F" w:rsidP="000D4677">
      <w:pPr>
        <w:spacing w:after="0" w:line="240" w:lineRule="auto"/>
      </w:pPr>
      <w:r>
        <w:separator/>
      </w:r>
    </w:p>
  </w:endnote>
  <w:endnote w:type="continuationSeparator" w:id="0">
    <w:p w14:paraId="64B96BAD" w14:textId="77777777" w:rsidR="00B73B1F" w:rsidRDefault="00B73B1F" w:rsidP="000D4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7D322" w14:textId="77777777" w:rsidR="00E65272" w:rsidRDefault="00E65272" w:rsidP="000D4677">
    <w:pPr>
      <w:pStyle w:val="Footer"/>
      <w:jc w:val="right"/>
    </w:pPr>
    <w:r>
      <w:t>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B6027" w14:textId="1FBF4216" w:rsidR="00E65272" w:rsidRDefault="00E65272" w:rsidP="000D4677">
    <w:pPr>
      <w:pStyle w:val="Footer"/>
      <w:keepNext/>
      <w:keepLines/>
      <w:pageBreakBefore/>
      <w:suppressAutoHyphens/>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55DBB" w14:textId="77777777" w:rsidR="00E65272" w:rsidRDefault="00E65272" w:rsidP="008C2F73">
    <w:pPr>
      <w:pStyle w:val="Footer"/>
      <w:jc w:val="right"/>
    </w:pPr>
    <w:r>
      <w:t>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3EC42" w14:textId="075717F8" w:rsidR="008C2F73" w:rsidRDefault="008C2F73" w:rsidP="008C2F7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666E4" w14:textId="77777777" w:rsidR="00B73B1F" w:rsidRDefault="00B73B1F" w:rsidP="000D4677">
      <w:pPr>
        <w:spacing w:after="0" w:line="240" w:lineRule="auto"/>
      </w:pPr>
      <w:r>
        <w:separator/>
      </w:r>
    </w:p>
  </w:footnote>
  <w:footnote w:type="continuationSeparator" w:id="0">
    <w:p w14:paraId="41E19D79" w14:textId="77777777" w:rsidR="00B73B1F" w:rsidRDefault="00B73B1F" w:rsidP="000D46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79586" w14:textId="77777777" w:rsidR="00E65272" w:rsidRDefault="00E652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D84C7" w14:textId="77777777" w:rsidR="00E65272" w:rsidRDefault="00E652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86EEB" w14:textId="77777777" w:rsidR="00E65272" w:rsidRDefault="00E652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733EF"/>
    <w:multiLevelType w:val="multilevel"/>
    <w:tmpl w:val="66AEA194"/>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F3645D3"/>
    <w:multiLevelType w:val="hybridMultilevel"/>
    <w:tmpl w:val="9724C6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C542D1"/>
    <w:multiLevelType w:val="hybridMultilevel"/>
    <w:tmpl w:val="F2B227A0"/>
    <w:lvl w:ilvl="0" w:tplc="C878446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F01F98"/>
    <w:multiLevelType w:val="hybridMultilevel"/>
    <w:tmpl w:val="CBB4730A"/>
    <w:lvl w:ilvl="0" w:tplc="C6809E4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493530"/>
    <w:multiLevelType w:val="hybridMultilevel"/>
    <w:tmpl w:val="76AC220E"/>
    <w:lvl w:ilvl="0" w:tplc="C6809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153247"/>
    <w:multiLevelType w:val="hybridMultilevel"/>
    <w:tmpl w:val="E35E3388"/>
    <w:lvl w:ilvl="0" w:tplc="C6809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572903"/>
    <w:multiLevelType w:val="multilevel"/>
    <w:tmpl w:val="3BA48EA4"/>
    <w:lvl w:ilvl="0">
      <w:start w:val="1"/>
      <w:numFmt w:val="decimal"/>
      <w:lvlText w:val="%1."/>
      <w:lvlJc w:val="left"/>
      <w:pPr>
        <w:ind w:left="360" w:hanging="360"/>
      </w:pPr>
      <w:rPr>
        <w:rFonts w:asciiTheme="minorHAnsi" w:hAnsiTheme="minorHAnsi" w:cstheme="minorBidi" w:hint="default"/>
        <w:b w:val="0"/>
        <w:sz w:val="22"/>
      </w:rPr>
    </w:lvl>
    <w:lvl w:ilvl="1">
      <w:start w:val="1"/>
      <w:numFmt w:val="decimal"/>
      <w:lvlText w:val="%1.%2."/>
      <w:lvlJc w:val="left"/>
      <w:pPr>
        <w:ind w:left="720" w:hanging="720"/>
      </w:pPr>
      <w:rPr>
        <w:rFonts w:asciiTheme="minorHAnsi" w:hAnsiTheme="minorHAnsi" w:cstheme="minorBidi" w:hint="default"/>
        <w:b w:val="0"/>
        <w:sz w:val="22"/>
      </w:rPr>
    </w:lvl>
    <w:lvl w:ilvl="2">
      <w:start w:val="1"/>
      <w:numFmt w:val="decimal"/>
      <w:lvlText w:val="%1.%2.%3."/>
      <w:lvlJc w:val="left"/>
      <w:pPr>
        <w:ind w:left="720" w:hanging="720"/>
      </w:pPr>
      <w:rPr>
        <w:rFonts w:asciiTheme="minorHAnsi" w:hAnsiTheme="minorHAnsi" w:cstheme="minorBidi" w:hint="default"/>
        <w:b w:val="0"/>
        <w:sz w:val="22"/>
      </w:rPr>
    </w:lvl>
    <w:lvl w:ilvl="3">
      <w:start w:val="1"/>
      <w:numFmt w:val="decimal"/>
      <w:lvlText w:val="%1.%2.%3.%4."/>
      <w:lvlJc w:val="left"/>
      <w:pPr>
        <w:ind w:left="1080" w:hanging="1080"/>
      </w:pPr>
      <w:rPr>
        <w:rFonts w:asciiTheme="minorHAnsi" w:hAnsiTheme="minorHAnsi" w:cstheme="minorBidi" w:hint="default"/>
        <w:b w:val="0"/>
        <w:sz w:val="22"/>
      </w:rPr>
    </w:lvl>
    <w:lvl w:ilvl="4">
      <w:start w:val="1"/>
      <w:numFmt w:val="decimal"/>
      <w:lvlText w:val="%1.%2.%3.%4.%5."/>
      <w:lvlJc w:val="left"/>
      <w:pPr>
        <w:ind w:left="1080" w:hanging="1080"/>
      </w:pPr>
      <w:rPr>
        <w:rFonts w:asciiTheme="minorHAnsi" w:hAnsiTheme="minorHAnsi" w:cstheme="minorBidi" w:hint="default"/>
        <w:b w:val="0"/>
        <w:sz w:val="22"/>
      </w:rPr>
    </w:lvl>
    <w:lvl w:ilvl="5">
      <w:start w:val="1"/>
      <w:numFmt w:val="decimal"/>
      <w:lvlText w:val="%1.%2.%3.%4.%5.%6."/>
      <w:lvlJc w:val="left"/>
      <w:pPr>
        <w:ind w:left="1440" w:hanging="1440"/>
      </w:pPr>
      <w:rPr>
        <w:rFonts w:asciiTheme="minorHAnsi" w:hAnsiTheme="minorHAnsi" w:cstheme="minorBidi" w:hint="default"/>
        <w:b w:val="0"/>
        <w:sz w:val="22"/>
      </w:rPr>
    </w:lvl>
    <w:lvl w:ilvl="6">
      <w:start w:val="1"/>
      <w:numFmt w:val="decimal"/>
      <w:lvlText w:val="%1.%2.%3.%4.%5.%6.%7."/>
      <w:lvlJc w:val="left"/>
      <w:pPr>
        <w:ind w:left="1440" w:hanging="1440"/>
      </w:pPr>
      <w:rPr>
        <w:rFonts w:asciiTheme="minorHAnsi" w:hAnsiTheme="minorHAnsi" w:cstheme="minorBidi" w:hint="default"/>
        <w:b w:val="0"/>
        <w:sz w:val="22"/>
      </w:rPr>
    </w:lvl>
    <w:lvl w:ilvl="7">
      <w:start w:val="1"/>
      <w:numFmt w:val="decimal"/>
      <w:lvlText w:val="%1.%2.%3.%4.%5.%6.%7.%8."/>
      <w:lvlJc w:val="left"/>
      <w:pPr>
        <w:ind w:left="1800" w:hanging="1800"/>
      </w:pPr>
      <w:rPr>
        <w:rFonts w:asciiTheme="minorHAnsi" w:hAnsiTheme="minorHAnsi" w:cstheme="minorBidi" w:hint="default"/>
        <w:b w:val="0"/>
        <w:sz w:val="22"/>
      </w:rPr>
    </w:lvl>
    <w:lvl w:ilvl="8">
      <w:start w:val="1"/>
      <w:numFmt w:val="decimal"/>
      <w:lvlText w:val="%1.%2.%3.%4.%5.%6.%7.%8.%9."/>
      <w:lvlJc w:val="left"/>
      <w:pPr>
        <w:ind w:left="2160" w:hanging="2160"/>
      </w:pPr>
      <w:rPr>
        <w:rFonts w:asciiTheme="minorHAnsi" w:hAnsiTheme="minorHAnsi" w:cstheme="minorBidi" w:hint="default"/>
        <w:b w:val="0"/>
        <w:sz w:val="22"/>
      </w:rPr>
    </w:lvl>
  </w:abstractNum>
  <w:abstractNum w:abstractNumId="7" w15:restartNumberingAfterBreak="0">
    <w:nsid w:val="329D7F68"/>
    <w:multiLevelType w:val="hybridMultilevel"/>
    <w:tmpl w:val="4B36DFBE"/>
    <w:lvl w:ilvl="0" w:tplc="C6809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E41AD2"/>
    <w:multiLevelType w:val="multilevel"/>
    <w:tmpl w:val="F464537A"/>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F7716E4"/>
    <w:multiLevelType w:val="hybridMultilevel"/>
    <w:tmpl w:val="3790DBF4"/>
    <w:lvl w:ilvl="0" w:tplc="C6809E4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8285EE1"/>
    <w:multiLevelType w:val="hybridMultilevel"/>
    <w:tmpl w:val="D4B6C3F2"/>
    <w:lvl w:ilvl="0" w:tplc="C6809E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0783730">
    <w:abstractNumId w:val="8"/>
  </w:num>
  <w:num w:numId="2" w16cid:durableId="1646667444">
    <w:abstractNumId w:val="1"/>
  </w:num>
  <w:num w:numId="3" w16cid:durableId="81342760">
    <w:abstractNumId w:val="0"/>
  </w:num>
  <w:num w:numId="4" w16cid:durableId="1657995634">
    <w:abstractNumId w:val="6"/>
  </w:num>
  <w:num w:numId="5" w16cid:durableId="45878188">
    <w:abstractNumId w:val="2"/>
  </w:num>
  <w:num w:numId="6" w16cid:durableId="726034678">
    <w:abstractNumId w:val="5"/>
  </w:num>
  <w:num w:numId="7" w16cid:durableId="850993915">
    <w:abstractNumId w:val="4"/>
  </w:num>
  <w:num w:numId="8" w16cid:durableId="898973936">
    <w:abstractNumId w:val="10"/>
  </w:num>
  <w:num w:numId="9" w16cid:durableId="866219423">
    <w:abstractNumId w:val="9"/>
  </w:num>
  <w:num w:numId="10" w16cid:durableId="1272084125">
    <w:abstractNumId w:val="7"/>
  </w:num>
  <w:num w:numId="11" w16cid:durableId="8714999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xM7UwtjA1MDU0NjdV0lEKTi0uzszPAykwrQUApBF/MSwAAAA="/>
  </w:docVars>
  <w:rsids>
    <w:rsidRoot w:val="00FE0449"/>
    <w:rsid w:val="00071947"/>
    <w:rsid w:val="000D4677"/>
    <w:rsid w:val="001346F0"/>
    <w:rsid w:val="00177F4F"/>
    <w:rsid w:val="001F68AD"/>
    <w:rsid w:val="00396061"/>
    <w:rsid w:val="003F7CC2"/>
    <w:rsid w:val="007800CD"/>
    <w:rsid w:val="008C2F73"/>
    <w:rsid w:val="0099440D"/>
    <w:rsid w:val="00AB143D"/>
    <w:rsid w:val="00B14BC8"/>
    <w:rsid w:val="00B33638"/>
    <w:rsid w:val="00B73B1F"/>
    <w:rsid w:val="00DA4BA7"/>
    <w:rsid w:val="00E65272"/>
    <w:rsid w:val="00FC67C1"/>
    <w:rsid w:val="00FE0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DC86"/>
  <w15:chartTrackingRefBased/>
  <w15:docId w15:val="{7B5F39C0-BB0C-483F-82CE-77A965DEA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272"/>
    <w:rPr>
      <w:lang w:val="en-US"/>
    </w:rPr>
  </w:style>
  <w:style w:type="paragraph" w:styleId="Heading1">
    <w:name w:val="heading 1"/>
    <w:basedOn w:val="Normal"/>
    <w:next w:val="Normal"/>
    <w:link w:val="Heading1Char"/>
    <w:uiPriority w:val="9"/>
    <w:qFormat/>
    <w:rsid w:val="00FC6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46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CC2"/>
    <w:pPr>
      <w:ind w:left="720"/>
      <w:contextualSpacing/>
    </w:pPr>
  </w:style>
  <w:style w:type="paragraph" w:styleId="NoSpacing">
    <w:name w:val="No Spacing"/>
    <w:uiPriority w:val="1"/>
    <w:qFormat/>
    <w:rsid w:val="003F7CC2"/>
    <w:pPr>
      <w:spacing w:after="0" w:line="240" w:lineRule="auto"/>
    </w:pPr>
    <w:rPr>
      <w:lang w:val="en-US"/>
    </w:rPr>
  </w:style>
  <w:style w:type="character" w:customStyle="1" w:styleId="Heading1Char">
    <w:name w:val="Heading 1 Char"/>
    <w:basedOn w:val="DefaultParagraphFont"/>
    <w:link w:val="Heading1"/>
    <w:uiPriority w:val="9"/>
    <w:rsid w:val="00FC67C1"/>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FC67C1"/>
    <w:pPr>
      <w:outlineLvl w:val="9"/>
    </w:pPr>
  </w:style>
  <w:style w:type="paragraph" w:styleId="TOC2">
    <w:name w:val="toc 2"/>
    <w:basedOn w:val="Normal"/>
    <w:next w:val="Normal"/>
    <w:autoRedefine/>
    <w:uiPriority w:val="39"/>
    <w:unhideWhenUsed/>
    <w:rsid w:val="00FC67C1"/>
    <w:pPr>
      <w:spacing w:after="100"/>
      <w:ind w:left="220"/>
    </w:pPr>
    <w:rPr>
      <w:rFonts w:eastAsiaTheme="minorEastAsia" w:cs="Times New Roman"/>
    </w:rPr>
  </w:style>
  <w:style w:type="paragraph" w:styleId="TOC1">
    <w:name w:val="toc 1"/>
    <w:basedOn w:val="Normal"/>
    <w:next w:val="Normal"/>
    <w:autoRedefine/>
    <w:uiPriority w:val="39"/>
    <w:unhideWhenUsed/>
    <w:rsid w:val="00FC67C1"/>
    <w:pPr>
      <w:spacing w:after="100"/>
    </w:pPr>
    <w:rPr>
      <w:rFonts w:eastAsiaTheme="minorEastAsia" w:cs="Times New Roman"/>
    </w:rPr>
  </w:style>
  <w:style w:type="paragraph" w:styleId="TOC3">
    <w:name w:val="toc 3"/>
    <w:basedOn w:val="Normal"/>
    <w:next w:val="Normal"/>
    <w:autoRedefine/>
    <w:uiPriority w:val="39"/>
    <w:unhideWhenUsed/>
    <w:rsid w:val="00FC67C1"/>
    <w:pPr>
      <w:spacing w:after="100"/>
      <w:ind w:left="440"/>
    </w:pPr>
    <w:rPr>
      <w:rFonts w:eastAsiaTheme="minorEastAsia" w:cs="Times New Roman"/>
    </w:rPr>
  </w:style>
  <w:style w:type="paragraph" w:styleId="Header">
    <w:name w:val="header"/>
    <w:basedOn w:val="Normal"/>
    <w:link w:val="HeaderChar"/>
    <w:uiPriority w:val="99"/>
    <w:unhideWhenUsed/>
    <w:rsid w:val="000D46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677"/>
    <w:rPr>
      <w:lang w:val="en-US"/>
    </w:rPr>
  </w:style>
  <w:style w:type="paragraph" w:styleId="Footer">
    <w:name w:val="footer"/>
    <w:basedOn w:val="Normal"/>
    <w:link w:val="FooterChar"/>
    <w:uiPriority w:val="99"/>
    <w:unhideWhenUsed/>
    <w:rsid w:val="000D46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677"/>
    <w:rPr>
      <w:lang w:val="en-US"/>
    </w:rPr>
  </w:style>
  <w:style w:type="character" w:customStyle="1" w:styleId="Heading2Char">
    <w:name w:val="Heading 2 Char"/>
    <w:basedOn w:val="DefaultParagraphFont"/>
    <w:link w:val="Heading2"/>
    <w:uiPriority w:val="9"/>
    <w:rsid w:val="000D4677"/>
    <w:rPr>
      <w:rFonts w:asciiTheme="majorHAnsi" w:eastAsiaTheme="majorEastAsia" w:hAnsiTheme="majorHAnsi" w:cstheme="majorBidi"/>
      <w:color w:val="2F5496" w:themeColor="accent1" w:themeShade="BF"/>
      <w:sz w:val="26"/>
      <w:szCs w:val="26"/>
      <w:lang w:val="en-US"/>
    </w:rPr>
  </w:style>
  <w:style w:type="character" w:styleId="Hyperlink">
    <w:name w:val="Hyperlink"/>
    <w:basedOn w:val="DefaultParagraphFont"/>
    <w:uiPriority w:val="99"/>
    <w:unhideWhenUsed/>
    <w:rsid w:val="000D4677"/>
    <w:rPr>
      <w:color w:val="0563C1" w:themeColor="hyperlink"/>
      <w:u w:val="single"/>
    </w:rPr>
  </w:style>
  <w:style w:type="paragraph" w:customStyle="1" w:styleId="Default">
    <w:name w:val="Default"/>
    <w:rsid w:val="00E65272"/>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BD550B-A101-4202-BA05-4F4A673A8D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10</Pages>
  <Words>2330</Words>
  <Characters>13286</Characters>
  <Application>Microsoft Office Word</Application>
  <DocSecurity>0</DocSecurity>
  <Lines>110</Lines>
  <Paragraphs>31</Paragraphs>
  <ScaleCrop>false</ScaleCrop>
  <Company/>
  <LinksUpToDate>false</LinksUpToDate>
  <CharactersWithSpaces>15585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Stefanova</dc:creator>
  <cp:keywords/>
  <dc:description/>
  <cp:lastModifiedBy>Mariya Stefanova</cp:lastModifiedBy>
  <cp:revision>13</cp:revision>
  <dcterms:created xsi:type="dcterms:W3CDTF">2022-04-26T16:57:00Z</dcterms:created>
  <dcterms:modified xsi:type="dcterms:W3CDTF">2022-04-27T20:12:00Z</dcterms:modified>
</cp:coreProperties>
</file>