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A44D9E" w14:textId="70D2010D" w:rsidR="00CB60B0" w:rsidRDefault="00CB60B0" w:rsidP="00CB60B0">
      <w:pPr>
        <w:rPr>
          <w:rFonts w:ascii="Helvetica" w:hAnsi="Helvetica"/>
          <w:color w:val="000000" w:themeColor="text1"/>
          <w:u w:val="single"/>
        </w:rPr>
      </w:pPr>
      <w:r w:rsidRPr="00CB60B0">
        <w:rPr>
          <w:rFonts w:ascii="Helvetica" w:hAnsi="Helvetica"/>
          <w:color w:val="000000" w:themeColor="text1"/>
          <w:u w:val="single"/>
        </w:rPr>
        <w:t xml:space="preserve">Name: Justin Wella </w:t>
      </w:r>
    </w:p>
    <w:p w14:paraId="19182844" w14:textId="77777777" w:rsidR="005D74F2" w:rsidRDefault="005D74F2" w:rsidP="00CB60B0">
      <w:pPr>
        <w:rPr>
          <w:rFonts w:ascii="Helvetica" w:hAnsi="Helvetica"/>
          <w:color w:val="000000" w:themeColor="text1"/>
          <w:u w:val="single"/>
        </w:rPr>
      </w:pPr>
    </w:p>
    <w:p w14:paraId="112A0D74" w14:textId="31AAF4DC" w:rsidR="005D74F2" w:rsidRPr="005D74F2" w:rsidRDefault="005D74F2" w:rsidP="00CB60B0">
      <w:pPr>
        <w:rPr>
          <w:rFonts w:ascii="Helvetica" w:hAnsi="Helvetica"/>
          <w:b/>
          <w:bCs/>
          <w:color w:val="000000" w:themeColor="text1"/>
        </w:rPr>
      </w:pPr>
      <w:r w:rsidRPr="005D74F2">
        <w:rPr>
          <w:rFonts w:ascii="Helvetica" w:hAnsi="Helvetica"/>
          <w:b/>
          <w:bCs/>
          <w:color w:val="000000" w:themeColor="text1"/>
        </w:rPr>
        <w:t>Understanding and Engaging Stakeholders</w:t>
      </w:r>
    </w:p>
    <w:p w14:paraId="06B1885B" w14:textId="09795E4E" w:rsidR="005D74F2" w:rsidRPr="005D74F2" w:rsidRDefault="005D74F2" w:rsidP="00CB60B0">
      <w:pPr>
        <w:rPr>
          <w:rFonts w:ascii="Helvetica" w:hAnsi="Helvetica"/>
          <w:b/>
          <w:bCs/>
          <w:color w:val="000000" w:themeColor="text1"/>
        </w:rPr>
      </w:pPr>
      <w:r w:rsidRPr="005D74F2">
        <w:rPr>
          <w:rFonts w:ascii="Helvetica" w:hAnsi="Helvetica"/>
          <w:b/>
          <w:bCs/>
          <w:color w:val="000000" w:themeColor="text1"/>
        </w:rPr>
        <w:t>(LCLM5001_BIRM)</w:t>
      </w:r>
    </w:p>
    <w:p w14:paraId="6C299137" w14:textId="77777777" w:rsidR="00D5677B" w:rsidRPr="00D5677B" w:rsidRDefault="00D5677B" w:rsidP="00D5677B">
      <w:pPr>
        <w:rPr>
          <w:rFonts w:ascii="Helvetica" w:hAnsi="Helvetica"/>
          <w:color w:val="000000" w:themeColor="text1"/>
        </w:rPr>
      </w:pPr>
    </w:p>
    <w:p w14:paraId="11B4DEB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Fitbit UK, acquired by Google in 2021, is one of the most recognized wearable health-technology companies in the UK. The company makes fitness devices that track heart rate, step count, oxygen levels, and sleep cycles. It also integrates its software with the Fitbit mobile app and Google Health platforms. Its products have gained popularity among health-conscious consumers, clinicians looking for reliable health-monitoring tools, and tech enthusiasts interested in biometric data. As digital health innovations gain traction in the UK healthcare sector, Fitbit UK plays a crucial role in preventive care and remote patient monitoring.</w:t>
      </w:r>
    </w:p>
    <w:p w14:paraId="62D2114A" w14:textId="77777777" w:rsidR="00D5677B" w:rsidRPr="00D5677B" w:rsidRDefault="00D5677B" w:rsidP="00D5677B">
      <w:pPr>
        <w:rPr>
          <w:rFonts w:ascii="Helvetica" w:hAnsi="Helvetica"/>
          <w:color w:val="000000" w:themeColor="text1"/>
        </w:rPr>
      </w:pPr>
    </w:p>
    <w:p w14:paraId="2FEE1DCC"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The company is set to launch a new wearable health device that monitors heart rate, oxygen levels, and sleep patterns more accurately. This product will target consumers wanting continuous health insights and healthcare providers seeking long-term monitoring solutions. As the project manager, my main task is to coordinate internal and external stakeholders, ensure that strategic goals are met, and manage engagement processes throughout the project. Successful stakeholder engagement will be vital for timely product development, regulatory compliance, effective marketing, and a successful commercial launch in six months.</w:t>
      </w:r>
    </w:p>
    <w:p w14:paraId="5CF9F3C0" w14:textId="77777777" w:rsidR="00D5677B" w:rsidRPr="00D5677B" w:rsidRDefault="00D5677B" w:rsidP="00D5677B">
      <w:pPr>
        <w:rPr>
          <w:rFonts w:ascii="Helvetica" w:hAnsi="Helvetica"/>
          <w:color w:val="000000" w:themeColor="text1"/>
        </w:rPr>
      </w:pPr>
    </w:p>
    <w:p w14:paraId="1F5B0CFA" w14:textId="1302A671" w:rsidR="00D5677B" w:rsidRPr="00D5677B" w:rsidRDefault="00D5677B" w:rsidP="00D5677B">
      <w:pPr>
        <w:rPr>
          <w:rFonts w:ascii="Helvetica" w:hAnsi="Helvetica"/>
          <w:color w:val="000000" w:themeColor="text1"/>
        </w:rPr>
      </w:pPr>
      <w:r w:rsidRPr="00D5677B">
        <w:rPr>
          <w:rFonts w:ascii="Helvetica" w:hAnsi="Helvetica"/>
          <w:color w:val="000000" w:themeColor="text1"/>
          <w:highlight w:val="yellow"/>
        </w:rPr>
        <w:t>Company Appraisal Using SWOT</w:t>
      </w:r>
      <w:r w:rsidRPr="00D5677B">
        <w:rPr>
          <w:rFonts w:ascii="Helvetica" w:hAnsi="Helvetica"/>
          <w:color w:val="000000" w:themeColor="text1"/>
        </w:rPr>
        <w:t xml:space="preserve"> </w:t>
      </w:r>
    </w:p>
    <w:p w14:paraId="7BD3A86A" w14:textId="77777777" w:rsidR="00D5677B" w:rsidRPr="00D5677B" w:rsidRDefault="00D5677B" w:rsidP="00D5677B">
      <w:pPr>
        <w:rPr>
          <w:rFonts w:ascii="Helvetica" w:hAnsi="Helvetica"/>
          <w:color w:val="000000" w:themeColor="text1"/>
        </w:rPr>
      </w:pPr>
    </w:p>
    <w:p w14:paraId="01F0D92E"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A SWOT analysis gives an overview of Fitbit UK’s internal strengths and weaknesses, along with opportunities and threats in the market.</w:t>
      </w:r>
    </w:p>
    <w:p w14:paraId="0FC87821" w14:textId="77777777" w:rsidR="00D5677B" w:rsidRPr="00D5677B" w:rsidRDefault="00D5677B" w:rsidP="00D5677B">
      <w:pPr>
        <w:rPr>
          <w:rFonts w:ascii="Helvetica" w:hAnsi="Helvetica"/>
          <w:color w:val="000000" w:themeColor="text1"/>
        </w:rPr>
      </w:pPr>
    </w:p>
    <w:p w14:paraId="18B5493C" w14:textId="77777777" w:rsidR="00D5677B" w:rsidRPr="00D5677B" w:rsidRDefault="00D5677B" w:rsidP="00D5677B">
      <w:pPr>
        <w:rPr>
          <w:rFonts w:ascii="Helvetica" w:hAnsi="Helvetica"/>
          <w:b/>
          <w:bCs/>
          <w:color w:val="000000" w:themeColor="text1"/>
          <w:u w:val="single"/>
        </w:rPr>
      </w:pPr>
      <w:r w:rsidRPr="00D5677B">
        <w:rPr>
          <w:rFonts w:ascii="Helvetica" w:hAnsi="Helvetica"/>
          <w:b/>
          <w:bCs/>
          <w:color w:val="000000" w:themeColor="text1"/>
          <w:u w:val="single"/>
        </w:rPr>
        <w:t>Strengths</w:t>
      </w:r>
    </w:p>
    <w:p w14:paraId="7DC73299" w14:textId="77777777" w:rsidR="00D5677B" w:rsidRPr="00D5677B" w:rsidRDefault="00D5677B" w:rsidP="00D5677B">
      <w:pPr>
        <w:rPr>
          <w:rFonts w:ascii="Helvetica" w:hAnsi="Helvetica"/>
          <w:color w:val="000000" w:themeColor="text1"/>
        </w:rPr>
      </w:pPr>
    </w:p>
    <w:p w14:paraId="5DED1370"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Fitbit UK enjoys strong brand recognition in the wearable health-technology field. Being part of Google provides the company with significant financial resources, robust R&amp;D, and access to machine-learning technology that improves the accuracy of biometric data. Fitbit has an established distribution network in the UK, including partnerships with retailers like Argos, Amazon, and health insurers. Its devices are trusted for reliable health metrics, supported by studies showing Fitbit is a leader in consumer health monitoring. The integration of Fitbit data into Google Health enhances its competitive edge in digital health and remote monitoring.</w:t>
      </w:r>
    </w:p>
    <w:p w14:paraId="6B0F9344" w14:textId="77777777" w:rsidR="00D5677B" w:rsidRPr="00D5677B" w:rsidRDefault="00D5677B" w:rsidP="00D5677B">
      <w:pPr>
        <w:rPr>
          <w:rFonts w:ascii="Helvetica" w:hAnsi="Helvetica"/>
          <w:color w:val="000000" w:themeColor="text1"/>
        </w:rPr>
      </w:pPr>
    </w:p>
    <w:p w14:paraId="4F9180E7" w14:textId="77777777" w:rsidR="00D5677B" w:rsidRPr="00D5677B" w:rsidRDefault="00D5677B" w:rsidP="00D5677B">
      <w:pPr>
        <w:rPr>
          <w:rFonts w:ascii="Helvetica" w:hAnsi="Helvetica"/>
          <w:b/>
          <w:bCs/>
          <w:color w:val="000000" w:themeColor="text1"/>
          <w:u w:val="single"/>
        </w:rPr>
      </w:pPr>
      <w:r w:rsidRPr="00D5677B">
        <w:rPr>
          <w:rFonts w:ascii="Helvetica" w:hAnsi="Helvetica"/>
          <w:b/>
          <w:bCs/>
          <w:color w:val="000000" w:themeColor="text1"/>
          <w:u w:val="single"/>
        </w:rPr>
        <w:t>Weaknesses</w:t>
      </w:r>
    </w:p>
    <w:p w14:paraId="1C0AF8A9" w14:textId="77777777" w:rsidR="00D5677B" w:rsidRPr="00D5677B" w:rsidRDefault="00D5677B" w:rsidP="00D5677B">
      <w:pPr>
        <w:rPr>
          <w:rFonts w:ascii="Helvetica" w:hAnsi="Helvetica"/>
          <w:color w:val="000000" w:themeColor="text1"/>
        </w:rPr>
      </w:pPr>
    </w:p>
    <w:p w14:paraId="6BF21D98"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xml:space="preserve">Despite its strong brand, Fitbit faces challenges. Much of its revenue relies on consumer markets, which are very price-sensitive and competitive. Fitbit devices, while advanced, often get compared with those from Apple and Samsung, which have more integrated ecosystems. The company also faces scrutiny over data privacy, as Google has a large health dataset from Fitbit. Regulatory pressures and compliance obligations in the UK, especially under GDPR and the evolving Digital Health &amp; Care Wales standards, create internal constraints. Additionally, the fast </w:t>
      </w:r>
      <w:r w:rsidRPr="00D5677B">
        <w:rPr>
          <w:rFonts w:ascii="Helvetica" w:hAnsi="Helvetica"/>
          <w:color w:val="000000" w:themeColor="text1"/>
        </w:rPr>
        <w:lastRenderedPageBreak/>
        <w:t>pace of technological change requires ongoing investment, and any delays could weaken its competitive position.</w:t>
      </w:r>
    </w:p>
    <w:p w14:paraId="426644E2" w14:textId="77777777" w:rsidR="00D5677B" w:rsidRPr="00D5677B" w:rsidRDefault="00D5677B" w:rsidP="00D5677B">
      <w:pPr>
        <w:rPr>
          <w:rFonts w:ascii="Helvetica" w:hAnsi="Helvetica"/>
          <w:color w:val="000000" w:themeColor="text1"/>
        </w:rPr>
      </w:pPr>
    </w:p>
    <w:p w14:paraId="686D64E5" w14:textId="77777777" w:rsidR="00D5677B" w:rsidRPr="00D5677B" w:rsidRDefault="00D5677B" w:rsidP="00D5677B">
      <w:pPr>
        <w:rPr>
          <w:rFonts w:ascii="Helvetica" w:hAnsi="Helvetica"/>
          <w:b/>
          <w:bCs/>
          <w:color w:val="000000" w:themeColor="text1"/>
          <w:u w:val="single"/>
        </w:rPr>
      </w:pPr>
      <w:r w:rsidRPr="00D5677B">
        <w:rPr>
          <w:rFonts w:ascii="Helvetica" w:hAnsi="Helvetica"/>
          <w:b/>
          <w:bCs/>
          <w:color w:val="000000" w:themeColor="text1"/>
          <w:u w:val="single"/>
        </w:rPr>
        <w:t>Opportunities</w:t>
      </w:r>
    </w:p>
    <w:p w14:paraId="47C49A61" w14:textId="77777777" w:rsidR="00D5677B" w:rsidRPr="00D5677B" w:rsidRDefault="00D5677B" w:rsidP="00D5677B">
      <w:pPr>
        <w:rPr>
          <w:rFonts w:ascii="Helvetica" w:hAnsi="Helvetica"/>
          <w:color w:val="000000" w:themeColor="text1"/>
        </w:rPr>
      </w:pPr>
    </w:p>
    <w:p w14:paraId="5C63585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The increasing focus on preventive health in the UK provides a significant market opportunity for Fitbit’s new wearable device. Rising demand for remote patient monitoring, workplace wellness programs, and personalized health technology opens doors for product diversification. There is also potential for collaboration with the NHS’s long-term digital transformation strategy, which encourages integrating wearable data into clinical pathways. Advancements in technology, such as AI, improved biosensors, and cloud analytics, allow Fitbit UK to offer more clinical-grade features. Launching this new device also presents opportunities to reach new markets, including older adults and people with chronic conditions.</w:t>
      </w:r>
    </w:p>
    <w:p w14:paraId="6A422C3F" w14:textId="77777777" w:rsidR="00D5677B" w:rsidRPr="00D5677B" w:rsidRDefault="00D5677B" w:rsidP="00D5677B">
      <w:pPr>
        <w:rPr>
          <w:rFonts w:ascii="Helvetica" w:hAnsi="Helvetica"/>
          <w:color w:val="000000" w:themeColor="text1"/>
        </w:rPr>
      </w:pPr>
    </w:p>
    <w:p w14:paraId="07A850C5" w14:textId="77777777" w:rsidR="00D5677B" w:rsidRPr="00D5677B" w:rsidRDefault="00D5677B" w:rsidP="00D5677B">
      <w:pPr>
        <w:rPr>
          <w:rFonts w:ascii="Helvetica" w:hAnsi="Helvetica"/>
          <w:b/>
          <w:bCs/>
          <w:color w:val="000000" w:themeColor="text1"/>
          <w:u w:val="single"/>
        </w:rPr>
      </w:pPr>
      <w:r w:rsidRPr="00D5677B">
        <w:rPr>
          <w:rFonts w:ascii="Helvetica" w:hAnsi="Helvetica"/>
          <w:b/>
          <w:bCs/>
          <w:color w:val="000000" w:themeColor="text1"/>
          <w:u w:val="single"/>
        </w:rPr>
        <w:t>Threats</w:t>
      </w:r>
    </w:p>
    <w:p w14:paraId="5F2F4DE9" w14:textId="77777777" w:rsidR="00D5677B" w:rsidRPr="00D5677B" w:rsidRDefault="00D5677B" w:rsidP="00D5677B">
      <w:pPr>
        <w:rPr>
          <w:rFonts w:ascii="Helvetica" w:hAnsi="Helvetica"/>
          <w:color w:val="000000" w:themeColor="text1"/>
        </w:rPr>
      </w:pPr>
    </w:p>
    <w:p w14:paraId="34CCD44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The wearable technology market is highly competitive, dominated by Apple, Samsung, Garmin, and emerging low-cost brands. Rapid innovation cycles enable competitors to quickly add new features, diminishing differentiation. Economic uncertainty and the rising cost of living may lead to lower consumer spending on non-essential electronics. Additionally, regulatory risks continue as data-protection rules tighten. Cybersecurity threats pose serious risks, threatening consumer trust. Political changes regarding data localization or AI regulations could also affect Fitbit’s operations. Lastly, supply chain issues, particularly from global semiconductor shortages, might delay product manufacturing and launch timelines.</w:t>
      </w:r>
    </w:p>
    <w:p w14:paraId="30F7E868" w14:textId="77777777" w:rsidR="00D5677B" w:rsidRPr="00D5677B" w:rsidRDefault="00D5677B" w:rsidP="00D5677B">
      <w:pPr>
        <w:rPr>
          <w:rFonts w:ascii="Helvetica" w:hAnsi="Helvetica"/>
          <w:color w:val="000000" w:themeColor="text1"/>
        </w:rPr>
      </w:pPr>
    </w:p>
    <w:p w14:paraId="319B9DF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This SWOT analysis shows that while Fitbit UK has notable strengths and opportunities for successfully launching a new wearable device, it must carefully navigate competitive, regulatory, and operational threats. Effective stakeholder engagement throughout the project lifecycle will be key to addressing these risks and ensuring a successful launch.</w:t>
      </w:r>
    </w:p>
    <w:p w14:paraId="263548A2" w14:textId="77777777" w:rsidR="00D5677B" w:rsidRDefault="00D5677B" w:rsidP="00D5677B">
      <w:pPr>
        <w:rPr>
          <w:rFonts w:ascii="Helvetica" w:hAnsi="Helvetica"/>
          <w:color w:val="000000" w:themeColor="text1"/>
        </w:rPr>
      </w:pPr>
    </w:p>
    <w:p w14:paraId="0837A51C" w14:textId="65302326" w:rsidR="00D5677B" w:rsidRPr="00D5677B" w:rsidRDefault="00D5677B" w:rsidP="00D5677B">
      <w:pPr>
        <w:rPr>
          <w:rFonts w:ascii="Helvetica" w:hAnsi="Helvetica"/>
          <w:color w:val="000000" w:themeColor="text1"/>
        </w:rPr>
      </w:pPr>
      <w:r w:rsidRPr="00D5677B">
        <w:rPr>
          <w:rFonts w:ascii="Helvetica" w:hAnsi="Helvetica"/>
          <w:color w:val="000000" w:themeColor="text1"/>
          <w:highlight w:val="yellow"/>
        </w:rPr>
        <w:t>Identification of Key Internal and External Stakeholders</w:t>
      </w:r>
      <w:r w:rsidRPr="00D5677B">
        <w:rPr>
          <w:rFonts w:ascii="Helvetica" w:hAnsi="Helvetica"/>
          <w:color w:val="000000" w:themeColor="text1"/>
        </w:rPr>
        <w:t xml:space="preserve"> </w:t>
      </w:r>
    </w:p>
    <w:p w14:paraId="59C5E45C" w14:textId="77777777" w:rsidR="00D5677B" w:rsidRPr="00D5677B" w:rsidRDefault="00D5677B" w:rsidP="00D5677B">
      <w:pPr>
        <w:rPr>
          <w:rFonts w:ascii="Helvetica" w:hAnsi="Helvetica"/>
          <w:color w:val="000000" w:themeColor="text1"/>
        </w:rPr>
      </w:pPr>
    </w:p>
    <w:p w14:paraId="17D67850"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The launch of the new wearable device will involve various stakeholders whose influence and interests should be recognized from the start.</w:t>
      </w:r>
    </w:p>
    <w:p w14:paraId="19D25534" w14:textId="77777777" w:rsidR="00D5677B" w:rsidRPr="00D5677B" w:rsidRDefault="00D5677B" w:rsidP="00D5677B">
      <w:pPr>
        <w:rPr>
          <w:rFonts w:ascii="Helvetica" w:hAnsi="Helvetica"/>
          <w:color w:val="000000" w:themeColor="text1"/>
        </w:rPr>
      </w:pPr>
    </w:p>
    <w:p w14:paraId="351B71F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Internal Stakeholders</w:t>
      </w:r>
    </w:p>
    <w:p w14:paraId="78EF4AB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1. Product Development Team – Engineers, software developers, designers, and data scientists who work on the device’s tech development and software integration.</w:t>
      </w:r>
    </w:p>
    <w:p w14:paraId="0F136891"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2. Quality Assurance (QA) and Testing Team – Validates device performance, ensures software stability, and manages user testing.</w:t>
      </w:r>
    </w:p>
    <w:p w14:paraId="769F3AC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3. Regulatory and Compliance Department – Makes sure the device complies with UK regulations, including UKCA marking, GDPR, and medical-device software guidelines.</w:t>
      </w:r>
    </w:p>
    <w:p w14:paraId="559F7FD2"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4. Marketing Team – Develops promotional strategies, consumer messaging, and brand positioning.</w:t>
      </w:r>
    </w:p>
    <w:p w14:paraId="62F781B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lastRenderedPageBreak/>
        <w:t>5. Sales Department – Handles retail partnerships, distribution planning, and pricing strategies.</w:t>
      </w:r>
    </w:p>
    <w:p w14:paraId="4C382EE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6. Senior Management / Executive Board – Provides strategic oversight, approves budgets, and evaluates commercial viability.</w:t>
      </w:r>
    </w:p>
    <w:p w14:paraId="226D5E6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7. Customer Support Team – Prepares to address user inquiries and issues after the launch.</w:t>
      </w:r>
    </w:p>
    <w:p w14:paraId="58CBEF4F" w14:textId="77777777" w:rsidR="00D5677B" w:rsidRPr="00D5677B" w:rsidRDefault="00D5677B" w:rsidP="00D5677B">
      <w:pPr>
        <w:rPr>
          <w:rFonts w:ascii="Helvetica" w:hAnsi="Helvetica"/>
          <w:color w:val="000000" w:themeColor="text1"/>
        </w:rPr>
      </w:pPr>
    </w:p>
    <w:p w14:paraId="22A88BA2"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External Stakeholders</w:t>
      </w:r>
    </w:p>
    <w:p w14:paraId="370188D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1. Consumers / End-Users – Health-focused individuals, people with chronic conditions, and fitness enthusiasts.</w:t>
      </w:r>
    </w:p>
    <w:p w14:paraId="50EB626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2. Healthcare Providers – Clinics, private hospitals, and digital health companies that may incorporate the device into patient monitoring.</w:t>
      </w:r>
    </w:p>
    <w:p w14:paraId="712B7331"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3. Retail Partners – Amazon, Currys, Argos, and health-insurance partners that will promote wearable-based wellness programs.</w:t>
      </w:r>
    </w:p>
    <w:p w14:paraId="2AEF143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4. Suppliers and Manufacturers – Sensor makers, chipset suppliers, assembly factories, logistics firms, and packaging vendors.</w:t>
      </w:r>
    </w:p>
    <w:p w14:paraId="30E74DBC"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5. Regulatory Bodies – UK Medicines and Healthcare Products Regulatory Agency (MHRA), Information Commissioner’s Office (ICO).</w:t>
      </w:r>
    </w:p>
    <w:p w14:paraId="349DF146"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6. Technology Partners – App-store platforms, AI-algorithm partners, and cloud service providers, including Google Cloud.</w:t>
      </w:r>
    </w:p>
    <w:p w14:paraId="2A3DEB50"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7. Investors and Shareholders – Expect returns and alignment with the broader Google strategy.</w:t>
      </w:r>
    </w:p>
    <w:p w14:paraId="2479309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8. Media and Industry Analysts – Influence public perception and product reviews, impacting brand reputation.</w:t>
      </w:r>
    </w:p>
    <w:p w14:paraId="584999C5" w14:textId="77777777" w:rsidR="00D5677B" w:rsidRPr="00D5677B" w:rsidRDefault="00D5677B" w:rsidP="00D5677B">
      <w:pPr>
        <w:rPr>
          <w:rFonts w:ascii="Helvetica" w:hAnsi="Helvetica"/>
          <w:color w:val="000000" w:themeColor="text1"/>
        </w:rPr>
      </w:pPr>
    </w:p>
    <w:p w14:paraId="1A9D0C0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Identifying these stakeholders early on helps clarify their interests, influence, power dynamics, and engagement needs to keep the project on track. Their collaboration is crucial for meeting the six-month launch deadline.</w:t>
      </w:r>
    </w:p>
    <w:p w14:paraId="15E282B8" w14:textId="77777777" w:rsidR="00D5677B" w:rsidRPr="00D5677B" w:rsidRDefault="00D5677B" w:rsidP="00D5677B">
      <w:pPr>
        <w:rPr>
          <w:rFonts w:ascii="Helvetica" w:hAnsi="Helvetica"/>
          <w:color w:val="000000" w:themeColor="text1"/>
        </w:rPr>
      </w:pPr>
    </w:p>
    <w:p w14:paraId="2DBD861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4. Roles, Responsibilities, Benefits, and Challenges of Key Stakeholders (≈500 words)</w:t>
      </w:r>
    </w:p>
    <w:p w14:paraId="5ACDF180" w14:textId="77777777" w:rsidR="00D5677B" w:rsidRPr="00D5677B" w:rsidRDefault="00D5677B" w:rsidP="00D5677B">
      <w:pPr>
        <w:rPr>
          <w:rFonts w:ascii="Helvetica" w:hAnsi="Helvetica"/>
          <w:color w:val="000000" w:themeColor="text1"/>
        </w:rPr>
      </w:pPr>
    </w:p>
    <w:p w14:paraId="29B6B0D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Product Development Team</w:t>
      </w:r>
    </w:p>
    <w:p w14:paraId="60AAECD0" w14:textId="77777777" w:rsidR="00D5677B" w:rsidRPr="00D5677B" w:rsidRDefault="00D5677B" w:rsidP="00D5677B">
      <w:pPr>
        <w:rPr>
          <w:rFonts w:ascii="Helvetica" w:hAnsi="Helvetica"/>
          <w:color w:val="000000" w:themeColor="text1"/>
        </w:rPr>
      </w:pPr>
    </w:p>
    <w:p w14:paraId="184BD70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Designs the hardware, biosensors, firmware, and app integration.</w:t>
      </w:r>
    </w:p>
    <w:p w14:paraId="308618B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Provides technical expertise to ensure a competitive and reliable product.</w:t>
      </w:r>
    </w:p>
    <w:p w14:paraId="236EFC26"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Time pressure, complex technology, integration issues, and compatibility with existing Fitbit systems.</w:t>
      </w:r>
    </w:p>
    <w:p w14:paraId="73CC0535" w14:textId="77777777" w:rsidR="00D5677B" w:rsidRPr="00D5677B" w:rsidRDefault="00D5677B" w:rsidP="00D5677B">
      <w:pPr>
        <w:rPr>
          <w:rFonts w:ascii="Helvetica" w:hAnsi="Helvetica"/>
          <w:color w:val="000000" w:themeColor="text1"/>
        </w:rPr>
      </w:pPr>
    </w:p>
    <w:p w14:paraId="74F0C66D"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Quality Assurance and Testing Team</w:t>
      </w:r>
    </w:p>
    <w:p w14:paraId="53F92D52" w14:textId="77777777" w:rsidR="00D5677B" w:rsidRPr="00D5677B" w:rsidRDefault="00D5677B" w:rsidP="00D5677B">
      <w:pPr>
        <w:rPr>
          <w:rFonts w:ascii="Helvetica" w:hAnsi="Helvetica"/>
          <w:color w:val="000000" w:themeColor="text1"/>
        </w:rPr>
      </w:pPr>
    </w:p>
    <w:p w14:paraId="194C880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Conducts device testing, user experience trials, and ensures sensor accuracy.</w:t>
      </w:r>
    </w:p>
    <w:p w14:paraId="280AEA81"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Ensures reliability and compliance, boosting brand credibility.</w:t>
      </w:r>
    </w:p>
    <w:p w14:paraId="45D323AA"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Tight testing timelines may limit opportunities for iteration.</w:t>
      </w:r>
    </w:p>
    <w:p w14:paraId="500C1191" w14:textId="77777777" w:rsidR="00D5677B" w:rsidRPr="00D5677B" w:rsidRDefault="00D5677B" w:rsidP="00D5677B">
      <w:pPr>
        <w:rPr>
          <w:rFonts w:ascii="Helvetica" w:hAnsi="Helvetica"/>
          <w:color w:val="000000" w:themeColor="text1"/>
        </w:rPr>
      </w:pPr>
    </w:p>
    <w:p w14:paraId="7A0AB539"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Regulatory and Compliance Team</w:t>
      </w:r>
    </w:p>
    <w:p w14:paraId="07D74BD7" w14:textId="77777777" w:rsidR="00D5677B" w:rsidRPr="00D5677B" w:rsidRDefault="00D5677B" w:rsidP="00D5677B">
      <w:pPr>
        <w:rPr>
          <w:rFonts w:ascii="Helvetica" w:hAnsi="Helvetica"/>
          <w:color w:val="000000" w:themeColor="text1"/>
        </w:rPr>
      </w:pPr>
    </w:p>
    <w:p w14:paraId="69851B72"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lastRenderedPageBreak/>
        <w:t>Role: Manages UKCA certification, data-protection assessments, risk evaluations, and cybersecurity compliance.</w:t>
      </w:r>
    </w:p>
    <w:p w14:paraId="327AC1ED"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Helps avoid legal penalties and supports smooth market entry.</w:t>
      </w:r>
    </w:p>
    <w:p w14:paraId="2A6E6EF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Rapid regulatory changes and complex GDPR interpretations.</w:t>
      </w:r>
    </w:p>
    <w:p w14:paraId="69A32F8D" w14:textId="77777777" w:rsidR="00D5677B" w:rsidRPr="00D5677B" w:rsidRDefault="00D5677B" w:rsidP="00D5677B">
      <w:pPr>
        <w:rPr>
          <w:rFonts w:ascii="Helvetica" w:hAnsi="Helvetica"/>
          <w:color w:val="000000" w:themeColor="text1"/>
        </w:rPr>
      </w:pPr>
    </w:p>
    <w:p w14:paraId="346414CE"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Marketing Team</w:t>
      </w:r>
    </w:p>
    <w:p w14:paraId="7E7F01D7" w14:textId="77777777" w:rsidR="00D5677B" w:rsidRPr="00D5677B" w:rsidRDefault="00D5677B" w:rsidP="00D5677B">
      <w:pPr>
        <w:rPr>
          <w:rFonts w:ascii="Helvetica" w:hAnsi="Helvetica"/>
          <w:color w:val="000000" w:themeColor="text1"/>
        </w:rPr>
      </w:pPr>
    </w:p>
    <w:p w14:paraId="6976A198"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Develops promotional campaigns, branding, advertising, and market segmentation strategies.</w:t>
      </w:r>
    </w:p>
    <w:p w14:paraId="0722343E"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Drives consumer interest and demand, leading to strong launch performance.</w:t>
      </w:r>
    </w:p>
    <w:p w14:paraId="463AD0D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Competing in a crowded marketing environment; risks of miscommunication or over-claiming.</w:t>
      </w:r>
    </w:p>
    <w:p w14:paraId="596AA949" w14:textId="77777777" w:rsidR="00D5677B" w:rsidRPr="00D5677B" w:rsidRDefault="00D5677B" w:rsidP="00D5677B">
      <w:pPr>
        <w:rPr>
          <w:rFonts w:ascii="Helvetica" w:hAnsi="Helvetica"/>
          <w:color w:val="000000" w:themeColor="text1"/>
        </w:rPr>
      </w:pPr>
    </w:p>
    <w:p w14:paraId="6BED45E9"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Sales and Distribution Team</w:t>
      </w:r>
    </w:p>
    <w:p w14:paraId="089FE72C" w14:textId="77777777" w:rsidR="00D5677B" w:rsidRPr="00D5677B" w:rsidRDefault="00D5677B" w:rsidP="00D5677B">
      <w:pPr>
        <w:rPr>
          <w:rFonts w:ascii="Helvetica" w:hAnsi="Helvetica"/>
          <w:color w:val="000000" w:themeColor="text1"/>
        </w:rPr>
      </w:pPr>
    </w:p>
    <w:p w14:paraId="7974294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Negotiates with retailers, designs distribution logistics, and decides on pricing strategies.</w:t>
      </w:r>
    </w:p>
    <w:p w14:paraId="7860354C"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Ensures widespread product availability and generates revenue.</w:t>
      </w:r>
    </w:p>
    <w:p w14:paraId="1DE9A0C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Stock shortages, supply chain delays, and competition among retailers.</w:t>
      </w:r>
    </w:p>
    <w:p w14:paraId="26C9584B" w14:textId="77777777" w:rsidR="00D5677B" w:rsidRPr="00D5677B" w:rsidRDefault="00D5677B" w:rsidP="00D5677B">
      <w:pPr>
        <w:rPr>
          <w:rFonts w:ascii="Helvetica" w:hAnsi="Helvetica"/>
          <w:color w:val="000000" w:themeColor="text1"/>
        </w:rPr>
      </w:pPr>
    </w:p>
    <w:p w14:paraId="154D0DF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Senior Management / Executives</w:t>
      </w:r>
    </w:p>
    <w:p w14:paraId="481D729B" w14:textId="77777777" w:rsidR="00D5677B" w:rsidRPr="00D5677B" w:rsidRDefault="00D5677B" w:rsidP="00D5677B">
      <w:pPr>
        <w:rPr>
          <w:rFonts w:ascii="Helvetica" w:hAnsi="Helvetica"/>
          <w:color w:val="000000" w:themeColor="text1"/>
        </w:rPr>
      </w:pPr>
    </w:p>
    <w:p w14:paraId="2CC26ECA"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Oversees strategic alignment, budget approval, and risk management.</w:t>
      </w:r>
    </w:p>
    <w:p w14:paraId="3A2103FD"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Provides strategic clarity and resources for the project.</w:t>
      </w:r>
    </w:p>
    <w:p w14:paraId="1FA2DB20"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High expectations and potential misalignment between technical realities and business goals.</w:t>
      </w:r>
    </w:p>
    <w:p w14:paraId="45BD28C6" w14:textId="77777777" w:rsidR="00D5677B" w:rsidRPr="00D5677B" w:rsidRDefault="00D5677B" w:rsidP="00D5677B">
      <w:pPr>
        <w:rPr>
          <w:rFonts w:ascii="Helvetica" w:hAnsi="Helvetica"/>
          <w:color w:val="000000" w:themeColor="text1"/>
        </w:rPr>
      </w:pPr>
    </w:p>
    <w:p w14:paraId="04D21F1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Consumers</w:t>
      </w:r>
    </w:p>
    <w:p w14:paraId="0BFF125E" w14:textId="77777777" w:rsidR="00D5677B" w:rsidRPr="00D5677B" w:rsidRDefault="00D5677B" w:rsidP="00D5677B">
      <w:pPr>
        <w:rPr>
          <w:rFonts w:ascii="Helvetica" w:hAnsi="Helvetica"/>
          <w:color w:val="000000" w:themeColor="text1"/>
        </w:rPr>
      </w:pPr>
    </w:p>
    <w:p w14:paraId="53705A4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End-users who assess the product’s practicality.</w:t>
      </w:r>
    </w:p>
    <w:p w14:paraId="1844C74A"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Their feedback helps drive ongoing improvement.</w:t>
      </w:r>
    </w:p>
    <w:p w14:paraId="219E25C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High accuracy expectations and privacy concerns.</w:t>
      </w:r>
    </w:p>
    <w:p w14:paraId="4B1BBFC5" w14:textId="77777777" w:rsidR="00D5677B" w:rsidRPr="00D5677B" w:rsidRDefault="00D5677B" w:rsidP="00D5677B">
      <w:pPr>
        <w:rPr>
          <w:rFonts w:ascii="Helvetica" w:hAnsi="Helvetica"/>
          <w:color w:val="000000" w:themeColor="text1"/>
        </w:rPr>
      </w:pPr>
    </w:p>
    <w:p w14:paraId="0298D42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Healthcare Providers</w:t>
      </w:r>
    </w:p>
    <w:p w14:paraId="3C1022CE" w14:textId="77777777" w:rsidR="00D5677B" w:rsidRPr="00D5677B" w:rsidRDefault="00D5677B" w:rsidP="00D5677B">
      <w:pPr>
        <w:rPr>
          <w:rFonts w:ascii="Helvetica" w:hAnsi="Helvetica"/>
          <w:color w:val="000000" w:themeColor="text1"/>
        </w:rPr>
      </w:pPr>
    </w:p>
    <w:p w14:paraId="5214009E"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Potential partners for remote patient monitoring and clinical integration.</w:t>
      </w:r>
    </w:p>
    <w:p w14:paraId="64689EB0"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Offer trust and credibility, opening new markets.</w:t>
      </w:r>
    </w:p>
    <w:p w14:paraId="1C9CB85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Need for integration with clinical systems and rigorous accuracy validation.</w:t>
      </w:r>
    </w:p>
    <w:p w14:paraId="43593C8C" w14:textId="77777777" w:rsidR="00D5677B" w:rsidRPr="00D5677B" w:rsidRDefault="00D5677B" w:rsidP="00D5677B">
      <w:pPr>
        <w:rPr>
          <w:rFonts w:ascii="Helvetica" w:hAnsi="Helvetica"/>
          <w:color w:val="000000" w:themeColor="text1"/>
        </w:rPr>
      </w:pPr>
    </w:p>
    <w:p w14:paraId="51749742"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Retail Partners</w:t>
      </w:r>
    </w:p>
    <w:p w14:paraId="00DB9500" w14:textId="77777777" w:rsidR="00D5677B" w:rsidRPr="00D5677B" w:rsidRDefault="00D5677B" w:rsidP="00D5677B">
      <w:pPr>
        <w:rPr>
          <w:rFonts w:ascii="Helvetica" w:hAnsi="Helvetica"/>
          <w:color w:val="000000" w:themeColor="text1"/>
        </w:rPr>
      </w:pPr>
    </w:p>
    <w:p w14:paraId="02EFC23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Distribute and market the product.</w:t>
      </w:r>
    </w:p>
    <w:p w14:paraId="42F9BD8D"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Expands market reach and increases sales volume.</w:t>
      </w:r>
    </w:p>
    <w:p w14:paraId="01E990D8"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Demand forecasting and price negotiations.</w:t>
      </w:r>
    </w:p>
    <w:p w14:paraId="786665B0" w14:textId="77777777" w:rsidR="00D5677B" w:rsidRPr="00D5677B" w:rsidRDefault="00D5677B" w:rsidP="00D5677B">
      <w:pPr>
        <w:rPr>
          <w:rFonts w:ascii="Helvetica" w:hAnsi="Helvetica"/>
          <w:color w:val="000000" w:themeColor="text1"/>
        </w:rPr>
      </w:pPr>
    </w:p>
    <w:p w14:paraId="0B580C20"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Suppliers and Manufacturers</w:t>
      </w:r>
    </w:p>
    <w:p w14:paraId="4BD5E358" w14:textId="77777777" w:rsidR="00D5677B" w:rsidRPr="00D5677B" w:rsidRDefault="00D5677B" w:rsidP="00D5677B">
      <w:pPr>
        <w:rPr>
          <w:rFonts w:ascii="Helvetica" w:hAnsi="Helvetica"/>
          <w:color w:val="000000" w:themeColor="text1"/>
        </w:rPr>
      </w:pPr>
    </w:p>
    <w:p w14:paraId="677F77E4"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Provide hardware components, sensors, chipsets, packaging, and assembly services.</w:t>
      </w:r>
    </w:p>
    <w:p w14:paraId="2027464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Bring specialized technical resources and manufacturing capacity.</w:t>
      </w:r>
    </w:p>
    <w:p w14:paraId="1DBF496A"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Global supply chain instability and component shortages.</w:t>
      </w:r>
    </w:p>
    <w:p w14:paraId="4E702F83" w14:textId="77777777" w:rsidR="00D5677B" w:rsidRPr="00D5677B" w:rsidRDefault="00D5677B" w:rsidP="00D5677B">
      <w:pPr>
        <w:rPr>
          <w:rFonts w:ascii="Helvetica" w:hAnsi="Helvetica"/>
          <w:color w:val="000000" w:themeColor="text1"/>
        </w:rPr>
      </w:pPr>
    </w:p>
    <w:p w14:paraId="40DBA3C9"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Regulatory Bodies</w:t>
      </w:r>
    </w:p>
    <w:p w14:paraId="45271EC6" w14:textId="77777777" w:rsidR="00D5677B" w:rsidRPr="00D5677B" w:rsidRDefault="00D5677B" w:rsidP="00D5677B">
      <w:pPr>
        <w:rPr>
          <w:rFonts w:ascii="Helvetica" w:hAnsi="Helvetica"/>
          <w:color w:val="000000" w:themeColor="text1"/>
        </w:rPr>
      </w:pPr>
    </w:p>
    <w:p w14:paraId="08D47A15"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Role: Oversee device certification and data-protection compliance.</w:t>
      </w:r>
    </w:p>
    <w:p w14:paraId="5A5C3D89"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Benefits: Provide safety validation that enhances consumer trust.</w:t>
      </w:r>
    </w:p>
    <w:p w14:paraId="1FB19CAB"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Challenges: Lengthy certification processes could jeopardize launch timelines.</w:t>
      </w:r>
    </w:p>
    <w:p w14:paraId="7BD4152C" w14:textId="77777777" w:rsidR="00D5677B" w:rsidRPr="00D5677B" w:rsidRDefault="00D5677B" w:rsidP="00D5677B">
      <w:pPr>
        <w:rPr>
          <w:rFonts w:ascii="Helvetica" w:hAnsi="Helvetica"/>
          <w:color w:val="000000" w:themeColor="text1"/>
        </w:rPr>
      </w:pPr>
    </w:p>
    <w:p w14:paraId="123D3D03"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All stakeholders add unique value but also present challenges that require effective engagement strategies.</w:t>
      </w:r>
    </w:p>
    <w:p w14:paraId="525A5183" w14:textId="77777777" w:rsidR="00D5677B" w:rsidRPr="00D5677B" w:rsidRDefault="00D5677B" w:rsidP="00D5677B">
      <w:pPr>
        <w:rPr>
          <w:rFonts w:ascii="Helvetica" w:hAnsi="Helvetica"/>
          <w:color w:val="000000" w:themeColor="text1"/>
        </w:rPr>
      </w:pPr>
    </w:p>
    <w:p w14:paraId="6DF5FBFC"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5. Stakeholder Engagement Frameworks, Models, and Tools (≈500 words)</w:t>
      </w:r>
    </w:p>
    <w:p w14:paraId="10D0D3E2" w14:textId="77777777" w:rsidR="00D5677B" w:rsidRPr="00D5677B" w:rsidRDefault="00D5677B" w:rsidP="00D5677B">
      <w:pPr>
        <w:rPr>
          <w:rFonts w:ascii="Helvetica" w:hAnsi="Helvetica"/>
          <w:color w:val="000000" w:themeColor="text1"/>
        </w:rPr>
      </w:pPr>
    </w:p>
    <w:p w14:paraId="365D36C8"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Stakeholder Power-Interest Matrix</w:t>
      </w:r>
    </w:p>
    <w:p w14:paraId="310B5A8B" w14:textId="77777777" w:rsidR="00D5677B" w:rsidRPr="00D5677B" w:rsidRDefault="00D5677B" w:rsidP="00D5677B">
      <w:pPr>
        <w:rPr>
          <w:rFonts w:ascii="Helvetica" w:hAnsi="Helvetica"/>
          <w:color w:val="000000" w:themeColor="text1"/>
        </w:rPr>
      </w:pPr>
    </w:p>
    <w:p w14:paraId="1B9D4FB4"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This model categorizes stakeholders based on their influence and interest:</w:t>
      </w:r>
    </w:p>
    <w:p w14:paraId="7D07719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High power, high interest: Senior management, product development team, regulatory bodies. These require close collaboration.</w:t>
      </w:r>
    </w:p>
    <w:p w14:paraId="219EDAAC"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High power, low interest: Investors and shareholders. They should be kept satisfied with regular strategic updates.</w:t>
      </w:r>
    </w:p>
    <w:p w14:paraId="6637C057"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Low power, high interest: Consumers and healthcare providers. Their needs should be monitored through feedback and surveys.</w:t>
      </w:r>
    </w:p>
    <w:p w14:paraId="03DAAADE"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Low power, low interest: Media analysts (until launch). They require minimal engagement until the release is closer.</w:t>
      </w:r>
    </w:p>
    <w:p w14:paraId="76D9B148" w14:textId="77777777" w:rsidR="00D5677B" w:rsidRPr="00D5677B" w:rsidRDefault="00D5677B" w:rsidP="00D5677B">
      <w:pPr>
        <w:rPr>
          <w:rFonts w:ascii="Helvetica" w:hAnsi="Helvetica"/>
          <w:color w:val="000000" w:themeColor="text1"/>
        </w:rPr>
      </w:pPr>
    </w:p>
    <w:p w14:paraId="1872FE8F"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Stakeholder Engagement Plan</w:t>
      </w:r>
    </w:p>
    <w:p w14:paraId="0E9C80E7" w14:textId="77777777" w:rsidR="00D5677B" w:rsidRPr="00D5677B" w:rsidRDefault="00D5677B" w:rsidP="00D5677B">
      <w:pPr>
        <w:rPr>
          <w:rFonts w:ascii="Helvetica" w:hAnsi="Helvetica"/>
          <w:color w:val="000000" w:themeColor="text1"/>
        </w:rPr>
      </w:pPr>
    </w:p>
    <w:p w14:paraId="2509E64D"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The engagement plan outlines:</w:t>
      </w:r>
    </w:p>
    <w:p w14:paraId="07D4DD49"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Stakeholder expectations</w:t>
      </w:r>
    </w:p>
    <w:p w14:paraId="0C39EDAC"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Required communication frequency</w:t>
      </w:r>
    </w:p>
    <w:p w14:paraId="255FA326"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Who is responsible for maintaining engagement</w:t>
      </w:r>
    </w:p>
    <w:p w14:paraId="61029D1A"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Preferred communication channels</w:t>
      </w:r>
    </w:p>
    <w:p w14:paraId="3C51E668" w14:textId="77777777" w:rsidR="00D5677B" w:rsidRPr="00D5677B" w:rsidRDefault="00D5677B" w:rsidP="00D5677B">
      <w:pPr>
        <w:rPr>
          <w:rFonts w:ascii="Helvetica" w:hAnsi="Helvetica"/>
          <w:color w:val="000000" w:themeColor="text1"/>
        </w:rPr>
      </w:pPr>
      <w:r w:rsidRPr="00D5677B">
        <w:rPr>
          <w:rFonts w:ascii="Helvetica" w:hAnsi="Helvetica"/>
          <w:color w:val="000000" w:themeColor="text1"/>
        </w:rPr>
        <w:t>• Key milestones (e.g., testing, certification, launch)</w:t>
      </w:r>
    </w:p>
    <w:p w14:paraId="2D00F634" w14:textId="77777777" w:rsidR="00D5677B" w:rsidRPr="00D5677B" w:rsidRDefault="00D5677B" w:rsidP="00D5677B">
      <w:pPr>
        <w:rPr>
          <w:rFonts w:ascii="Helvetica" w:hAnsi="Helvetica"/>
          <w:color w:val="000000" w:themeColor="text1"/>
        </w:rPr>
      </w:pPr>
    </w:p>
    <w:p w14:paraId="31C59046" w14:textId="18F1FB3D" w:rsidR="00B479B6" w:rsidRPr="00B479B6" w:rsidRDefault="00D5677B" w:rsidP="00D5677B">
      <w:pPr>
        <w:rPr>
          <w:rFonts w:ascii="Helvetica" w:hAnsi="Helvetica"/>
          <w:color w:val="000000" w:themeColor="text1"/>
        </w:rPr>
      </w:pPr>
      <w:r w:rsidRPr="00D5677B">
        <w:rPr>
          <w:rFonts w:ascii="Helvetica" w:hAnsi="Helvetica"/>
          <w:color w:val="000000" w:themeColor="text1"/>
        </w:rPr>
        <w:t>This systematic documentation ensures clarity and helps maintain alignment throughout the project.</w:t>
      </w:r>
    </w:p>
    <w:p w14:paraId="0A199682" w14:textId="77777777" w:rsidR="00D5677B" w:rsidRDefault="00D5677B" w:rsidP="00B479B6">
      <w:pPr>
        <w:rPr>
          <w:rFonts w:ascii="Helvetica" w:hAnsi="Helvetica"/>
          <w:color w:val="000000" w:themeColor="text1"/>
        </w:rPr>
      </w:pPr>
    </w:p>
    <w:p w14:paraId="790B40DA" w14:textId="77777777" w:rsidR="00D5677B" w:rsidRDefault="00D5677B" w:rsidP="00B479B6">
      <w:pPr>
        <w:rPr>
          <w:rFonts w:ascii="Helvetica" w:hAnsi="Helvetica"/>
          <w:color w:val="000000" w:themeColor="text1"/>
        </w:rPr>
      </w:pPr>
    </w:p>
    <w:p w14:paraId="51410B21" w14:textId="12AFB04D" w:rsidR="00B479B6" w:rsidRPr="00B479B6" w:rsidRDefault="00B479B6" w:rsidP="00B479B6">
      <w:pPr>
        <w:rPr>
          <w:rFonts w:ascii="Helvetica" w:hAnsi="Helvetica"/>
          <w:color w:val="000000" w:themeColor="text1"/>
        </w:rPr>
      </w:pPr>
      <w:r w:rsidRPr="00D5677B">
        <w:rPr>
          <w:rFonts w:ascii="Helvetica" w:hAnsi="Helvetica"/>
          <w:color w:val="000000" w:themeColor="text1"/>
          <w:highlight w:val="yellow"/>
        </w:rPr>
        <w:t>Communication Plan</w:t>
      </w:r>
    </w:p>
    <w:p w14:paraId="4754D192" w14:textId="77777777" w:rsidR="00B479B6" w:rsidRPr="00B479B6" w:rsidRDefault="00B479B6" w:rsidP="00B479B6">
      <w:pPr>
        <w:rPr>
          <w:rFonts w:ascii="Helvetica" w:hAnsi="Helvetica"/>
          <w:color w:val="000000" w:themeColor="text1"/>
        </w:rPr>
      </w:pPr>
    </w:p>
    <w:p w14:paraId="1BF8AD0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 communication plan establishes structured information flow:</w:t>
      </w:r>
    </w:p>
    <w:p w14:paraId="2E138B7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Weekly sprint meetings with product and testing teams</w:t>
      </w:r>
    </w:p>
    <w:p w14:paraId="3EDB03F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Monthly steering-committee meetings with executives</w:t>
      </w:r>
    </w:p>
    <w:p w14:paraId="7334E8FC"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Bi-weekly updates to marketing and sales departments</w:t>
      </w:r>
    </w:p>
    <w:p w14:paraId="4FDAF0D9"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lastRenderedPageBreak/>
        <w:tab/>
        <w:t>•</w:t>
      </w:r>
      <w:r w:rsidRPr="00B479B6">
        <w:rPr>
          <w:rFonts w:ascii="Helvetica" w:hAnsi="Helvetica"/>
          <w:color w:val="000000" w:themeColor="text1"/>
        </w:rPr>
        <w:tab/>
        <w:t>Quarterly updates to investors</w:t>
      </w:r>
    </w:p>
    <w:p w14:paraId="1D56A4DA"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Regulatory submission updates as required</w:t>
      </w:r>
    </w:p>
    <w:p w14:paraId="1FFF07E1"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User-testing feedback loops</w:t>
      </w:r>
    </w:p>
    <w:p w14:paraId="15DDFD8F"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Channels include email, dashboards (JIRA), video conferences, and stakeholder newsletters.</w:t>
      </w:r>
    </w:p>
    <w:p w14:paraId="005520FC" w14:textId="77777777" w:rsidR="00B479B6" w:rsidRPr="00B479B6" w:rsidRDefault="00B479B6" w:rsidP="00B479B6">
      <w:pPr>
        <w:rPr>
          <w:rFonts w:ascii="Helvetica" w:hAnsi="Helvetica"/>
          <w:color w:val="000000" w:themeColor="text1"/>
        </w:rPr>
      </w:pPr>
    </w:p>
    <w:p w14:paraId="5CDF0257"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RACI Matrix (Responsible, Accountable, Consulted, Informed)</w:t>
      </w:r>
    </w:p>
    <w:p w14:paraId="7269B68B" w14:textId="77777777" w:rsidR="00B479B6" w:rsidRPr="00B479B6" w:rsidRDefault="00B479B6" w:rsidP="00B479B6">
      <w:pPr>
        <w:rPr>
          <w:rFonts w:ascii="Helvetica" w:hAnsi="Helvetica"/>
          <w:color w:val="000000" w:themeColor="text1"/>
        </w:rPr>
      </w:pPr>
    </w:p>
    <w:p w14:paraId="5C8CF326"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 RACI matrix helps define roles clearly:</w:t>
      </w:r>
    </w:p>
    <w:p w14:paraId="2658CE00"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Responsible: Teams executing tasks (engineering, QA).</w:t>
      </w:r>
    </w:p>
    <w:p w14:paraId="37E39DA2"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Accountable: Project manager and senior management.</w:t>
      </w:r>
    </w:p>
    <w:p w14:paraId="32231C34"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Consulted: Regulatory team, healthcare partners, technical experts.</w:t>
      </w:r>
    </w:p>
    <w:p w14:paraId="07FDD441"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Informed: Investors, retail partners, customer support.</w:t>
      </w:r>
    </w:p>
    <w:p w14:paraId="2FC48187" w14:textId="77777777" w:rsidR="00B479B6" w:rsidRPr="00B479B6" w:rsidRDefault="00B479B6" w:rsidP="00B479B6">
      <w:pPr>
        <w:rPr>
          <w:rFonts w:ascii="Helvetica" w:hAnsi="Helvetica"/>
          <w:color w:val="000000" w:themeColor="text1"/>
        </w:rPr>
      </w:pPr>
    </w:p>
    <w:p w14:paraId="20A9EF90"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The RACI model enhances role clarity, minimises duplication of work, and reduces conflict.</w:t>
      </w:r>
    </w:p>
    <w:p w14:paraId="325820C9" w14:textId="77777777" w:rsidR="00B479B6" w:rsidRPr="00B479B6" w:rsidRDefault="00B479B6" w:rsidP="00B479B6">
      <w:pPr>
        <w:rPr>
          <w:rFonts w:ascii="Helvetica" w:hAnsi="Helvetica"/>
          <w:color w:val="000000" w:themeColor="text1"/>
        </w:rPr>
      </w:pPr>
    </w:p>
    <w:p w14:paraId="79EE7EB5" w14:textId="7C6D734D" w:rsidR="00B479B6" w:rsidRPr="00B479B6" w:rsidRDefault="00B479B6" w:rsidP="00B479B6">
      <w:pPr>
        <w:rPr>
          <w:rFonts w:ascii="Helvetica" w:hAnsi="Helvetica"/>
          <w:color w:val="000000" w:themeColor="text1"/>
        </w:rPr>
      </w:pPr>
    </w:p>
    <w:p w14:paraId="4D7FCEBA" w14:textId="77777777" w:rsidR="00B479B6" w:rsidRPr="00B479B6" w:rsidRDefault="00B479B6" w:rsidP="00B479B6">
      <w:pPr>
        <w:rPr>
          <w:rFonts w:ascii="Helvetica" w:hAnsi="Helvetica"/>
          <w:color w:val="000000" w:themeColor="text1"/>
        </w:rPr>
      </w:pPr>
    </w:p>
    <w:p w14:paraId="3B2AA1D8" w14:textId="60567D98" w:rsidR="00B479B6" w:rsidRPr="00B479B6" w:rsidRDefault="00B479B6" w:rsidP="00B479B6">
      <w:pPr>
        <w:rPr>
          <w:rFonts w:ascii="Helvetica" w:hAnsi="Helvetica"/>
          <w:color w:val="000000" w:themeColor="text1"/>
        </w:rPr>
      </w:pPr>
      <w:r w:rsidRPr="00B479B6">
        <w:rPr>
          <w:rFonts w:ascii="Helvetica" w:hAnsi="Helvetica"/>
          <w:color w:val="000000" w:themeColor="text1"/>
          <w:highlight w:val="yellow"/>
        </w:rPr>
        <w:t>Critical Explanation of the Stakeholder Engagement Process Using the 4Cs</w:t>
      </w:r>
      <w:r w:rsidRPr="00B479B6">
        <w:rPr>
          <w:rFonts w:ascii="Helvetica" w:hAnsi="Helvetica"/>
          <w:color w:val="000000" w:themeColor="text1"/>
        </w:rPr>
        <w:t xml:space="preserve"> </w:t>
      </w:r>
    </w:p>
    <w:p w14:paraId="6D8FA100" w14:textId="77777777" w:rsidR="00B479B6" w:rsidRPr="00B479B6" w:rsidRDefault="00B479B6" w:rsidP="00B479B6">
      <w:pPr>
        <w:rPr>
          <w:rFonts w:ascii="Helvetica" w:hAnsi="Helvetica"/>
          <w:color w:val="000000" w:themeColor="text1"/>
          <w:u w:val="single"/>
        </w:rPr>
      </w:pPr>
    </w:p>
    <w:p w14:paraId="3A206C6B" w14:textId="77777777" w:rsidR="00B479B6" w:rsidRPr="00B479B6" w:rsidRDefault="00B479B6" w:rsidP="00B479B6">
      <w:pPr>
        <w:rPr>
          <w:rFonts w:ascii="Helvetica" w:hAnsi="Helvetica"/>
          <w:b/>
          <w:bCs/>
          <w:color w:val="000000" w:themeColor="text1"/>
          <w:u w:val="single"/>
        </w:rPr>
      </w:pPr>
      <w:r w:rsidRPr="00B479B6">
        <w:rPr>
          <w:rFonts w:ascii="Helvetica" w:hAnsi="Helvetica"/>
          <w:b/>
          <w:bCs/>
          <w:color w:val="000000" w:themeColor="text1"/>
          <w:u w:val="single"/>
        </w:rPr>
        <w:t>Communication</w:t>
      </w:r>
    </w:p>
    <w:p w14:paraId="08EC229C" w14:textId="77777777" w:rsidR="00B479B6" w:rsidRPr="00B479B6" w:rsidRDefault="00B479B6" w:rsidP="00B479B6">
      <w:pPr>
        <w:rPr>
          <w:rFonts w:ascii="Helvetica" w:hAnsi="Helvetica"/>
          <w:color w:val="000000" w:themeColor="text1"/>
        </w:rPr>
      </w:pPr>
    </w:p>
    <w:p w14:paraId="65F87710"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Effective communication ensures shared understanding and alignment. As the project manager, communication will be structured through weekly meetings, daily progress stand-ups, progress dashboards, and detailed technical documentation. Bidirectional communication enables stakeholders to raise concerns early, reducing rework and delays. Complex technical updates are translated into accessible summaries for executives and non-technical stakeholders to ensure transparency. Communication must also be culturally sensitive, especially with international suppliers.</w:t>
      </w:r>
    </w:p>
    <w:p w14:paraId="07FC8A17" w14:textId="77777777" w:rsidR="00B479B6" w:rsidRPr="00B479B6" w:rsidRDefault="00B479B6" w:rsidP="00B479B6">
      <w:pPr>
        <w:rPr>
          <w:rFonts w:ascii="Helvetica" w:hAnsi="Helvetica"/>
          <w:color w:val="000000" w:themeColor="text1"/>
        </w:rPr>
      </w:pPr>
    </w:p>
    <w:p w14:paraId="7E4A4FB2" w14:textId="77777777" w:rsidR="00B479B6" w:rsidRPr="00B479B6" w:rsidRDefault="00B479B6" w:rsidP="00B479B6">
      <w:pPr>
        <w:rPr>
          <w:rFonts w:ascii="Helvetica" w:hAnsi="Helvetica"/>
          <w:b/>
          <w:bCs/>
          <w:color w:val="000000" w:themeColor="text1"/>
          <w:u w:val="single"/>
        </w:rPr>
      </w:pPr>
      <w:r w:rsidRPr="00B479B6">
        <w:rPr>
          <w:rFonts w:ascii="Helvetica" w:hAnsi="Helvetica"/>
          <w:b/>
          <w:bCs/>
          <w:color w:val="000000" w:themeColor="text1"/>
          <w:u w:val="single"/>
        </w:rPr>
        <w:t>Coordination</w:t>
      </w:r>
    </w:p>
    <w:p w14:paraId="03E05A7A" w14:textId="77777777" w:rsidR="00B479B6" w:rsidRPr="00B479B6" w:rsidRDefault="00B479B6" w:rsidP="00B479B6">
      <w:pPr>
        <w:rPr>
          <w:rFonts w:ascii="Helvetica" w:hAnsi="Helvetica"/>
          <w:color w:val="000000" w:themeColor="text1"/>
        </w:rPr>
      </w:pPr>
    </w:p>
    <w:p w14:paraId="50FBA2B5"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Coordination ensures synchronisation across teams. Cross-functional alignment is vital because hardware, software, marketing, and regulatory tasks are interdependent. Activities such as component procurement, firmware updates, testing, and marketing campaigns must be integrated into a single project timeline using tools like Gantt charts and Agile boards. Coordination also involves managing dependencies—e.g., the marketing team cannot finalise promotional content until technical specifications are confirmed. Continuous coordination mitigates bottlenecks and prevents misalignment.</w:t>
      </w:r>
    </w:p>
    <w:p w14:paraId="609DCFEB" w14:textId="77777777" w:rsidR="00B479B6" w:rsidRPr="00B479B6" w:rsidRDefault="00B479B6" w:rsidP="00B479B6">
      <w:pPr>
        <w:rPr>
          <w:rFonts w:ascii="Helvetica" w:hAnsi="Helvetica"/>
          <w:color w:val="000000" w:themeColor="text1"/>
        </w:rPr>
      </w:pPr>
    </w:p>
    <w:p w14:paraId="213E663B" w14:textId="77777777" w:rsidR="00B479B6" w:rsidRPr="00B479B6" w:rsidRDefault="00B479B6" w:rsidP="00B479B6">
      <w:pPr>
        <w:rPr>
          <w:rFonts w:ascii="Helvetica" w:hAnsi="Helvetica"/>
          <w:b/>
          <w:bCs/>
          <w:color w:val="000000" w:themeColor="text1"/>
          <w:u w:val="single"/>
        </w:rPr>
      </w:pPr>
      <w:r w:rsidRPr="00B479B6">
        <w:rPr>
          <w:rFonts w:ascii="Helvetica" w:hAnsi="Helvetica"/>
          <w:b/>
          <w:bCs/>
          <w:color w:val="000000" w:themeColor="text1"/>
          <w:u w:val="single"/>
        </w:rPr>
        <w:t>Cooperation</w:t>
      </w:r>
    </w:p>
    <w:p w14:paraId="71E4A293" w14:textId="77777777" w:rsidR="00B479B6" w:rsidRPr="00B479B6" w:rsidRDefault="00B479B6" w:rsidP="00B479B6">
      <w:pPr>
        <w:rPr>
          <w:rFonts w:ascii="Helvetica" w:hAnsi="Helvetica"/>
          <w:color w:val="000000" w:themeColor="text1"/>
        </w:rPr>
      </w:pPr>
    </w:p>
    <w:p w14:paraId="6B3DC3A2"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 xml:space="preserve">Cooperation involves encouraging stakeholders to work collaboratively toward shared goals despite differing priorities. The product development team may prioritise technical excellence, while marketing prioritises usability and design </w:t>
      </w:r>
      <w:r w:rsidRPr="00B479B6">
        <w:rPr>
          <w:rFonts w:ascii="Helvetica" w:hAnsi="Helvetica"/>
          <w:color w:val="000000" w:themeColor="text1"/>
        </w:rPr>
        <w:lastRenderedPageBreak/>
        <w:t>aesthetics. To ensure cooperation, the project manager must facilitate compromise and maintain a shared vision. Team-building activities, joint workshops, and co-design sessions help foster empathy and shared ownership. Conflict may arise, such as disagreement between regulatory teams and product development regarding sensor accuracy claims. These must be addressed through evidence-based discussions and collaborative problem-solving.</w:t>
      </w:r>
    </w:p>
    <w:p w14:paraId="3B86FCC9" w14:textId="77777777" w:rsidR="00B479B6" w:rsidRPr="00B479B6" w:rsidRDefault="00B479B6" w:rsidP="00B479B6">
      <w:pPr>
        <w:rPr>
          <w:rFonts w:ascii="Helvetica" w:hAnsi="Helvetica"/>
          <w:color w:val="000000" w:themeColor="text1"/>
        </w:rPr>
      </w:pPr>
    </w:p>
    <w:p w14:paraId="449C8A41"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Collaboration</w:t>
      </w:r>
    </w:p>
    <w:p w14:paraId="4470B448" w14:textId="77777777" w:rsidR="00B479B6" w:rsidRPr="00B479B6" w:rsidRDefault="00B479B6" w:rsidP="00B479B6">
      <w:pPr>
        <w:rPr>
          <w:rFonts w:ascii="Helvetica" w:hAnsi="Helvetica"/>
          <w:color w:val="000000" w:themeColor="text1"/>
        </w:rPr>
      </w:pPr>
    </w:p>
    <w:p w14:paraId="32C111B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Collaboration goes beyond cooperation by integrating stakeholder efforts. The project manager facilitates collaboration using cross-functional working groups. This involves early stakeholder involvement, shared decision-making, and transparency. Collaboration tools such as shared technical repositories, collaborative design software, and cloud dashboards enhance real-time information sharing. External stakeholders like healthcare providers can collaborate through pilot trials or clinical-validation initiatives.</w:t>
      </w:r>
    </w:p>
    <w:p w14:paraId="33D2427F" w14:textId="77777777" w:rsidR="00B479B6" w:rsidRPr="00B479B6" w:rsidRDefault="00B479B6" w:rsidP="00B479B6">
      <w:pPr>
        <w:rPr>
          <w:rFonts w:ascii="Helvetica" w:hAnsi="Helvetica"/>
          <w:color w:val="000000" w:themeColor="text1"/>
        </w:rPr>
      </w:pPr>
    </w:p>
    <w:p w14:paraId="244DDCE0"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Conflict Management</w:t>
      </w:r>
    </w:p>
    <w:p w14:paraId="5A1F55F0" w14:textId="77777777" w:rsidR="00B479B6" w:rsidRPr="00B479B6" w:rsidRDefault="00B479B6" w:rsidP="00B479B6">
      <w:pPr>
        <w:rPr>
          <w:rFonts w:ascii="Helvetica" w:hAnsi="Helvetica"/>
          <w:color w:val="000000" w:themeColor="text1"/>
        </w:rPr>
      </w:pPr>
    </w:p>
    <w:p w14:paraId="7F30CCD9"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Conflicts are inevitable in complex projects. Potential conflicts include:</w:t>
      </w:r>
    </w:p>
    <w:p w14:paraId="0E2F99EB"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Competing priorities between technical and business stakeholders</w:t>
      </w:r>
    </w:p>
    <w:p w14:paraId="5330943A"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Disputes over launch deadlines</w:t>
      </w:r>
    </w:p>
    <w:p w14:paraId="09B35655"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Supplier delays</w:t>
      </w:r>
    </w:p>
    <w:p w14:paraId="4003A583"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Regulatory objections</w:t>
      </w:r>
    </w:p>
    <w:p w14:paraId="66F179F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Budget constraints</w:t>
      </w:r>
    </w:p>
    <w:p w14:paraId="58E1D239" w14:textId="77777777" w:rsidR="00B479B6" w:rsidRPr="00B479B6" w:rsidRDefault="00B479B6" w:rsidP="00B479B6">
      <w:pPr>
        <w:rPr>
          <w:rFonts w:ascii="Helvetica" w:hAnsi="Helvetica"/>
          <w:color w:val="000000" w:themeColor="text1"/>
        </w:rPr>
      </w:pPr>
    </w:p>
    <w:p w14:paraId="6A4AC373"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Strategies include:</w:t>
      </w:r>
    </w:p>
    <w:p w14:paraId="5138FE73"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Interest-based negotiation to find mutually beneficial solutions</w:t>
      </w:r>
    </w:p>
    <w:p w14:paraId="12865C4B"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Mediation between conflicting teams</w:t>
      </w:r>
    </w:p>
    <w:p w14:paraId="478F6CE8"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Escalation protocols to involve senior management when necessary</w:t>
      </w:r>
    </w:p>
    <w:p w14:paraId="6451DAF1"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Transparent documentation to reduce misunderstandings</w:t>
      </w:r>
    </w:p>
    <w:p w14:paraId="33494783"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w:t>
      </w:r>
      <w:r w:rsidRPr="00B479B6">
        <w:rPr>
          <w:rFonts w:ascii="Helvetica" w:hAnsi="Helvetica"/>
          <w:color w:val="000000" w:themeColor="text1"/>
        </w:rPr>
        <w:tab/>
        <w:t>Risk-register updates to proactively address tension points</w:t>
      </w:r>
    </w:p>
    <w:p w14:paraId="1D493F03" w14:textId="77777777" w:rsidR="00B479B6" w:rsidRPr="00B479B6" w:rsidRDefault="00B479B6" w:rsidP="00B479B6">
      <w:pPr>
        <w:rPr>
          <w:rFonts w:ascii="Helvetica" w:hAnsi="Helvetica"/>
          <w:color w:val="000000" w:themeColor="text1"/>
        </w:rPr>
      </w:pPr>
    </w:p>
    <w:p w14:paraId="1E032870"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Using the 4Cs ensures structured engagement, reduces resistance, and builds trust among stakeholders.</w:t>
      </w:r>
    </w:p>
    <w:p w14:paraId="7A331C10" w14:textId="77777777" w:rsidR="00B479B6" w:rsidRPr="00B479B6" w:rsidRDefault="00B479B6" w:rsidP="00B479B6">
      <w:pPr>
        <w:rPr>
          <w:rFonts w:ascii="Helvetica" w:hAnsi="Helvetica"/>
          <w:color w:val="000000" w:themeColor="text1"/>
        </w:rPr>
      </w:pPr>
    </w:p>
    <w:p w14:paraId="4909C70C" w14:textId="77777777" w:rsidR="00B479B6" w:rsidRPr="00B479B6" w:rsidRDefault="00B479B6" w:rsidP="00B479B6">
      <w:pPr>
        <w:rPr>
          <w:rFonts w:ascii="Helvetica" w:hAnsi="Helvetica"/>
          <w:color w:val="000000" w:themeColor="text1"/>
        </w:rPr>
      </w:pPr>
    </w:p>
    <w:p w14:paraId="1725F0FA" w14:textId="7763E094" w:rsidR="00B479B6" w:rsidRPr="00B479B6" w:rsidRDefault="00B479B6" w:rsidP="00B479B6">
      <w:pPr>
        <w:rPr>
          <w:rFonts w:ascii="Helvetica" w:hAnsi="Helvetica"/>
          <w:color w:val="000000" w:themeColor="text1"/>
        </w:rPr>
      </w:pPr>
      <w:r w:rsidRPr="00D5677B">
        <w:rPr>
          <w:rFonts w:ascii="Helvetica" w:hAnsi="Helvetica"/>
          <w:color w:val="000000" w:themeColor="text1"/>
          <w:highlight w:val="yellow"/>
        </w:rPr>
        <w:t>Impact of Stakeholder Engagement on Business Performance and Recommendations</w:t>
      </w:r>
      <w:r w:rsidRPr="00B479B6">
        <w:rPr>
          <w:rFonts w:ascii="Helvetica" w:hAnsi="Helvetica"/>
          <w:color w:val="000000" w:themeColor="text1"/>
        </w:rPr>
        <w:t xml:space="preserve"> </w:t>
      </w:r>
    </w:p>
    <w:p w14:paraId="259A6397" w14:textId="77777777" w:rsidR="00B479B6" w:rsidRPr="00B479B6" w:rsidRDefault="00B479B6" w:rsidP="00B479B6">
      <w:pPr>
        <w:rPr>
          <w:rFonts w:ascii="Helvetica" w:hAnsi="Helvetica"/>
          <w:color w:val="000000" w:themeColor="text1"/>
        </w:rPr>
      </w:pPr>
    </w:p>
    <w:p w14:paraId="2EEB573F"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Impact on Product Quality</w:t>
      </w:r>
    </w:p>
    <w:p w14:paraId="157ED8FE" w14:textId="77777777" w:rsidR="00B479B6" w:rsidRPr="00B479B6" w:rsidRDefault="00B479B6" w:rsidP="00B479B6">
      <w:pPr>
        <w:rPr>
          <w:rFonts w:ascii="Helvetica" w:hAnsi="Helvetica"/>
          <w:color w:val="000000" w:themeColor="text1"/>
        </w:rPr>
      </w:pPr>
    </w:p>
    <w:p w14:paraId="3E57383A"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Strong stakeholder engagement improves technical performance and innovation. Early involvement of engineers, healthcare providers, and QA teams ensures the device meets accuracy and reliability standards. Regulatory engagement prevents non-compliance issues.</w:t>
      </w:r>
    </w:p>
    <w:p w14:paraId="3314EC80" w14:textId="77777777" w:rsidR="00B479B6" w:rsidRPr="00B479B6" w:rsidRDefault="00B479B6" w:rsidP="00B479B6">
      <w:pPr>
        <w:rPr>
          <w:rFonts w:ascii="Helvetica" w:hAnsi="Helvetica"/>
          <w:color w:val="000000" w:themeColor="text1"/>
        </w:rPr>
      </w:pPr>
    </w:p>
    <w:p w14:paraId="44C1C5C3"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Impact on Time-to-Market</w:t>
      </w:r>
    </w:p>
    <w:p w14:paraId="58CCACD2" w14:textId="77777777" w:rsidR="00B479B6" w:rsidRPr="00B479B6" w:rsidRDefault="00B479B6" w:rsidP="00B479B6">
      <w:pPr>
        <w:rPr>
          <w:rFonts w:ascii="Helvetica" w:hAnsi="Helvetica"/>
          <w:color w:val="000000" w:themeColor="text1"/>
        </w:rPr>
      </w:pPr>
    </w:p>
    <w:p w14:paraId="3F0ECC1B"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Engaged stakeholders provide timely feedback, reducing delays. Suppliers and manufacturers can anticipate production requirements, while marketing can prepare campaigns early.</w:t>
      </w:r>
    </w:p>
    <w:p w14:paraId="35B8FD27" w14:textId="77777777" w:rsidR="00B479B6" w:rsidRPr="00B479B6" w:rsidRDefault="00B479B6" w:rsidP="00B479B6">
      <w:pPr>
        <w:rPr>
          <w:rFonts w:ascii="Helvetica" w:hAnsi="Helvetica"/>
          <w:color w:val="000000" w:themeColor="text1"/>
        </w:rPr>
      </w:pPr>
    </w:p>
    <w:p w14:paraId="14D496B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Impact on Customer Satisfaction</w:t>
      </w:r>
    </w:p>
    <w:p w14:paraId="3AA794C5" w14:textId="77777777" w:rsidR="00B479B6" w:rsidRPr="00B479B6" w:rsidRDefault="00B479B6" w:rsidP="00B479B6">
      <w:pPr>
        <w:rPr>
          <w:rFonts w:ascii="Helvetica" w:hAnsi="Helvetica"/>
          <w:color w:val="000000" w:themeColor="text1"/>
        </w:rPr>
      </w:pPr>
    </w:p>
    <w:p w14:paraId="4A0327A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Consumer involvement in prototype testing ensures the final product aligns with user needs. Engaging customer-support teams early ensures that post-launch issues are resolved efficiently.</w:t>
      </w:r>
    </w:p>
    <w:p w14:paraId="7615F714" w14:textId="77777777" w:rsidR="00B479B6" w:rsidRPr="00B479B6" w:rsidRDefault="00B479B6" w:rsidP="00B479B6">
      <w:pPr>
        <w:rPr>
          <w:rFonts w:ascii="Helvetica" w:hAnsi="Helvetica"/>
          <w:color w:val="000000" w:themeColor="text1"/>
        </w:rPr>
      </w:pPr>
    </w:p>
    <w:p w14:paraId="43B4B54C"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Impact on Revenue and Market Position</w:t>
      </w:r>
    </w:p>
    <w:p w14:paraId="069C0831" w14:textId="77777777" w:rsidR="00B479B6" w:rsidRPr="00B479B6" w:rsidRDefault="00B479B6" w:rsidP="00B479B6">
      <w:pPr>
        <w:rPr>
          <w:rFonts w:ascii="Helvetica" w:hAnsi="Helvetica"/>
          <w:color w:val="000000" w:themeColor="text1"/>
        </w:rPr>
      </w:pPr>
    </w:p>
    <w:p w14:paraId="2AF302A3"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Positive engagement with retailers, healthcare providers, and investors improves adoption and increases sales. Regulatory compliance increases trust, which is essential for healthcare-related products.</w:t>
      </w:r>
    </w:p>
    <w:p w14:paraId="47B901F4" w14:textId="77777777" w:rsidR="00B479B6" w:rsidRPr="00B479B6" w:rsidRDefault="00B479B6" w:rsidP="00B479B6">
      <w:pPr>
        <w:rPr>
          <w:rFonts w:ascii="Helvetica" w:hAnsi="Helvetica"/>
          <w:color w:val="000000" w:themeColor="text1"/>
        </w:rPr>
      </w:pPr>
    </w:p>
    <w:p w14:paraId="1F8CC635"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Recommendations</w:t>
      </w:r>
    </w:p>
    <w:p w14:paraId="769CAD8D"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1.</w:t>
      </w:r>
      <w:r w:rsidRPr="00B479B6">
        <w:rPr>
          <w:rFonts w:ascii="Helvetica" w:hAnsi="Helvetica"/>
          <w:color w:val="000000" w:themeColor="text1"/>
        </w:rPr>
        <w:tab/>
        <w:t>Establish a formal stakeholder-engagement office within Fitbit UK to manage future projects.</w:t>
      </w:r>
    </w:p>
    <w:p w14:paraId="73BAF34E"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2.</w:t>
      </w:r>
      <w:r w:rsidRPr="00B479B6">
        <w:rPr>
          <w:rFonts w:ascii="Helvetica" w:hAnsi="Helvetica"/>
          <w:color w:val="000000" w:themeColor="text1"/>
        </w:rPr>
        <w:tab/>
        <w:t>Implement digital stakeholder-management software to centralise communication.</w:t>
      </w:r>
    </w:p>
    <w:p w14:paraId="6614E58E"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3.</w:t>
      </w:r>
      <w:r w:rsidRPr="00B479B6">
        <w:rPr>
          <w:rFonts w:ascii="Helvetica" w:hAnsi="Helvetica"/>
          <w:color w:val="000000" w:themeColor="text1"/>
        </w:rPr>
        <w:tab/>
        <w:t>Increase early involvement of healthcare professionals for clinically oriented product features.</w:t>
      </w:r>
    </w:p>
    <w:p w14:paraId="4AB759EB"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4.</w:t>
      </w:r>
      <w:r w:rsidRPr="00B479B6">
        <w:rPr>
          <w:rFonts w:ascii="Helvetica" w:hAnsi="Helvetica"/>
          <w:color w:val="000000" w:themeColor="text1"/>
        </w:rPr>
        <w:tab/>
        <w:t>Strengthen supplier relationships with contingency plans for component shortages.</w:t>
      </w:r>
    </w:p>
    <w:p w14:paraId="77016455"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5.</w:t>
      </w:r>
      <w:r w:rsidRPr="00B479B6">
        <w:rPr>
          <w:rFonts w:ascii="Helvetica" w:hAnsi="Helvetica"/>
          <w:color w:val="000000" w:themeColor="text1"/>
        </w:rPr>
        <w:tab/>
        <w:t>Conduct ongoing consumer panels and A/B testing to refine features.</w:t>
      </w:r>
    </w:p>
    <w:p w14:paraId="0B731A87"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6.</w:t>
      </w:r>
      <w:r w:rsidRPr="00B479B6">
        <w:rPr>
          <w:rFonts w:ascii="Helvetica" w:hAnsi="Helvetica"/>
          <w:color w:val="000000" w:themeColor="text1"/>
        </w:rPr>
        <w:tab/>
        <w:t>Provide training programmes to upskill internal staff in collaboration and Agile working.</w:t>
      </w:r>
    </w:p>
    <w:p w14:paraId="59CD5414"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7.</w:t>
      </w:r>
      <w:r w:rsidRPr="00B479B6">
        <w:rPr>
          <w:rFonts w:ascii="Helvetica" w:hAnsi="Helvetica"/>
          <w:color w:val="000000" w:themeColor="text1"/>
        </w:rPr>
        <w:tab/>
        <w:t>Invest in regulatory foresight teams to anticipate future compliance risks.</w:t>
      </w:r>
    </w:p>
    <w:p w14:paraId="351F7575"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ab/>
        <w:t>8.</w:t>
      </w:r>
      <w:r w:rsidRPr="00B479B6">
        <w:rPr>
          <w:rFonts w:ascii="Helvetica" w:hAnsi="Helvetica"/>
          <w:color w:val="000000" w:themeColor="text1"/>
        </w:rPr>
        <w:tab/>
        <w:t>Enhance long-term communication strategy through transparency, dashboards, and stakeholder briefings.</w:t>
      </w:r>
    </w:p>
    <w:p w14:paraId="12E9DC74" w14:textId="77777777" w:rsidR="00B479B6" w:rsidRPr="00B479B6" w:rsidRDefault="00B479B6" w:rsidP="00B479B6">
      <w:pPr>
        <w:rPr>
          <w:rFonts w:ascii="Helvetica" w:hAnsi="Helvetica"/>
          <w:color w:val="000000" w:themeColor="text1"/>
        </w:rPr>
      </w:pPr>
    </w:p>
    <w:p w14:paraId="30BB048A"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Well-managed stakeholder engagement contributes significantly to Fitbit UK’s competitive advantage and supports sustained business growth.</w:t>
      </w:r>
    </w:p>
    <w:p w14:paraId="11A9F708" w14:textId="77777777" w:rsidR="00B479B6" w:rsidRPr="00B479B6" w:rsidRDefault="00B479B6" w:rsidP="00B479B6">
      <w:pPr>
        <w:rPr>
          <w:rFonts w:ascii="Helvetica" w:hAnsi="Helvetica"/>
          <w:color w:val="000000" w:themeColor="text1"/>
        </w:rPr>
      </w:pPr>
    </w:p>
    <w:p w14:paraId="0EA4ADA2" w14:textId="77777777" w:rsidR="00B479B6" w:rsidRPr="00B479B6" w:rsidRDefault="00B479B6" w:rsidP="00B479B6">
      <w:pPr>
        <w:rPr>
          <w:rFonts w:ascii="Helvetica" w:hAnsi="Helvetica"/>
          <w:color w:val="000000" w:themeColor="text1"/>
        </w:rPr>
      </w:pPr>
    </w:p>
    <w:p w14:paraId="5EA5D6C6"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 xml:space="preserve">This report demonstrates that successful stakeholder engagement is essential to delivering Fitbit UK’s new wearable health device within the six-month launch timeline. The SWOT analysis highlights the company’s strong technological capabilities and market opportunities, as well as critical external threats that must be addressed through strategic stakeholder involvement. Mapping internal and external </w:t>
      </w:r>
      <w:proofErr w:type="gramStart"/>
      <w:r w:rsidRPr="00B479B6">
        <w:rPr>
          <w:rFonts w:ascii="Helvetica" w:hAnsi="Helvetica"/>
          <w:color w:val="000000" w:themeColor="text1"/>
        </w:rPr>
        <w:t>stakeholders</w:t>
      </w:r>
      <w:proofErr w:type="gramEnd"/>
      <w:r w:rsidRPr="00B479B6">
        <w:rPr>
          <w:rFonts w:ascii="Helvetica" w:hAnsi="Helvetica"/>
          <w:color w:val="000000" w:themeColor="text1"/>
        </w:rPr>
        <w:t xml:space="preserve"> reveals the complexity of the project ecosystem, emphasising the need for structured engagement mechanisms.</w:t>
      </w:r>
    </w:p>
    <w:p w14:paraId="1B2D493E" w14:textId="77777777" w:rsidR="00B479B6" w:rsidRPr="00B479B6" w:rsidRDefault="00B479B6" w:rsidP="00B479B6">
      <w:pPr>
        <w:rPr>
          <w:rFonts w:ascii="Helvetica" w:hAnsi="Helvetica"/>
          <w:color w:val="000000" w:themeColor="text1"/>
        </w:rPr>
      </w:pPr>
    </w:p>
    <w:p w14:paraId="335F84CC"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 xml:space="preserve">The use of frameworks such as the power–interest matrix, engagement plans, communication plans, and the RACI model provides clarity on roles, responsibilities, </w:t>
      </w:r>
      <w:r w:rsidRPr="00B479B6">
        <w:rPr>
          <w:rFonts w:ascii="Helvetica" w:hAnsi="Helvetica"/>
          <w:color w:val="000000" w:themeColor="text1"/>
        </w:rPr>
        <w:lastRenderedPageBreak/>
        <w:t>and influence. Applying the 4Cs model—communication, coordination, cooperation, and collaboration—ensures a strong project culture built on transparency, shared goals, and continuous dialogue. Effective conflict-management strategies further support project stability.</w:t>
      </w:r>
    </w:p>
    <w:p w14:paraId="72766591" w14:textId="77777777" w:rsidR="00B479B6" w:rsidRPr="00B479B6" w:rsidRDefault="00B479B6" w:rsidP="00B479B6">
      <w:pPr>
        <w:rPr>
          <w:rFonts w:ascii="Helvetica" w:hAnsi="Helvetica"/>
          <w:color w:val="000000" w:themeColor="text1"/>
        </w:rPr>
      </w:pPr>
    </w:p>
    <w:p w14:paraId="43235540"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Engagement directly influences business performance through improved product quality, faster time-to-market, stronger customer satisfaction, and increased commercial viability. The recommendations emphasise long-term improvements in organisational capability, digital tools, supplier relations, regulatory readiness, and user-centric design.</w:t>
      </w:r>
    </w:p>
    <w:p w14:paraId="3D8A4F8B" w14:textId="77777777" w:rsidR="00B479B6" w:rsidRPr="00B479B6" w:rsidRDefault="00B479B6" w:rsidP="00B479B6">
      <w:pPr>
        <w:rPr>
          <w:rFonts w:ascii="Helvetica" w:hAnsi="Helvetica"/>
          <w:color w:val="000000" w:themeColor="text1"/>
        </w:rPr>
      </w:pPr>
    </w:p>
    <w:p w14:paraId="7E1A526C" w14:textId="77777777" w:rsidR="00B479B6" w:rsidRPr="00B479B6" w:rsidRDefault="00B479B6" w:rsidP="00B479B6">
      <w:pPr>
        <w:rPr>
          <w:rFonts w:ascii="Helvetica" w:hAnsi="Helvetica"/>
          <w:color w:val="000000" w:themeColor="text1"/>
        </w:rPr>
      </w:pPr>
      <w:r w:rsidRPr="00B479B6">
        <w:rPr>
          <w:rFonts w:ascii="Helvetica" w:hAnsi="Helvetica"/>
          <w:color w:val="000000" w:themeColor="text1"/>
        </w:rPr>
        <w:t>Ultimately, stakeholder engagement is not merely a project requirement but a strategic asset. When managed proactively, it enables Fitbit UK to navigate uncertainties, align diverse stakeholder interests, and deliver a market-ready device that strengthens its leadership position in the UK wearables market.</w:t>
      </w:r>
    </w:p>
    <w:p w14:paraId="28196D03" w14:textId="0B049CA9" w:rsidR="00CB60B0" w:rsidRPr="00CB60B0" w:rsidRDefault="00CB60B0" w:rsidP="00B479B6">
      <w:pPr>
        <w:rPr>
          <w:rFonts w:ascii="Helvetica" w:hAnsi="Helvetica"/>
          <w:color w:val="000000" w:themeColor="text1"/>
        </w:rPr>
      </w:pPr>
    </w:p>
    <w:sectPr w:rsidR="00CB60B0" w:rsidRPr="00CB60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B519EB"/>
    <w:multiLevelType w:val="hybridMultilevel"/>
    <w:tmpl w:val="1D9687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2814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0B0"/>
    <w:rsid w:val="00006BA2"/>
    <w:rsid w:val="003430BC"/>
    <w:rsid w:val="00441A6C"/>
    <w:rsid w:val="00514FA6"/>
    <w:rsid w:val="005B44DA"/>
    <w:rsid w:val="005D74F2"/>
    <w:rsid w:val="00606E76"/>
    <w:rsid w:val="00635EF4"/>
    <w:rsid w:val="0081629F"/>
    <w:rsid w:val="00915B19"/>
    <w:rsid w:val="00B479B6"/>
    <w:rsid w:val="00BB77C1"/>
    <w:rsid w:val="00C574EC"/>
    <w:rsid w:val="00CB60B0"/>
    <w:rsid w:val="00D5677B"/>
    <w:rsid w:val="00E57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269CBA"/>
  <w15:chartTrackingRefBased/>
  <w15:docId w15:val="{51B4594F-8069-E940-9E70-D3936A9C9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0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60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60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60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60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60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0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0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0B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0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60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60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60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60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60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0B0"/>
    <w:rPr>
      <w:rFonts w:eastAsiaTheme="majorEastAsia" w:cstheme="majorBidi"/>
      <w:color w:val="272727" w:themeColor="text1" w:themeTint="D8"/>
    </w:rPr>
  </w:style>
  <w:style w:type="paragraph" w:styleId="Title">
    <w:name w:val="Title"/>
    <w:basedOn w:val="Normal"/>
    <w:next w:val="Normal"/>
    <w:link w:val="TitleChar"/>
    <w:uiPriority w:val="10"/>
    <w:qFormat/>
    <w:rsid w:val="00CB60B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0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0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60B0"/>
    <w:rPr>
      <w:i/>
      <w:iCs/>
      <w:color w:val="404040" w:themeColor="text1" w:themeTint="BF"/>
    </w:rPr>
  </w:style>
  <w:style w:type="paragraph" w:styleId="ListParagraph">
    <w:name w:val="List Paragraph"/>
    <w:basedOn w:val="Normal"/>
    <w:uiPriority w:val="34"/>
    <w:qFormat/>
    <w:rsid w:val="00CB60B0"/>
    <w:pPr>
      <w:ind w:left="720"/>
      <w:contextualSpacing/>
    </w:pPr>
  </w:style>
  <w:style w:type="character" w:styleId="IntenseEmphasis">
    <w:name w:val="Intense Emphasis"/>
    <w:basedOn w:val="DefaultParagraphFont"/>
    <w:uiPriority w:val="21"/>
    <w:qFormat/>
    <w:rsid w:val="00CB60B0"/>
    <w:rPr>
      <w:i/>
      <w:iCs/>
      <w:color w:val="2F5496" w:themeColor="accent1" w:themeShade="BF"/>
    </w:rPr>
  </w:style>
  <w:style w:type="paragraph" w:styleId="IntenseQuote">
    <w:name w:val="Intense Quote"/>
    <w:basedOn w:val="Normal"/>
    <w:next w:val="Normal"/>
    <w:link w:val="IntenseQuoteChar"/>
    <w:uiPriority w:val="30"/>
    <w:qFormat/>
    <w:rsid w:val="00CB60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60B0"/>
    <w:rPr>
      <w:i/>
      <w:iCs/>
      <w:color w:val="2F5496" w:themeColor="accent1" w:themeShade="BF"/>
    </w:rPr>
  </w:style>
  <w:style w:type="character" w:styleId="IntenseReference">
    <w:name w:val="Intense Reference"/>
    <w:basedOn w:val="DefaultParagraphFont"/>
    <w:uiPriority w:val="32"/>
    <w:qFormat/>
    <w:rsid w:val="00CB60B0"/>
    <w:rPr>
      <w:b/>
      <w:bCs/>
      <w:smallCaps/>
      <w:color w:val="2F5496" w:themeColor="accent1" w:themeShade="BF"/>
      <w:spacing w:val="5"/>
    </w:rPr>
  </w:style>
  <w:style w:type="character" w:customStyle="1" w:styleId="apple-tab-span">
    <w:name w:val="apple-tab-span"/>
    <w:basedOn w:val="DefaultParagraphFont"/>
    <w:rsid w:val="00CB60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2776</Words>
  <Characters>15829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Wella</dc:creator>
  <cp:keywords/>
  <dc:description/>
  <cp:lastModifiedBy>Precious Wella</cp:lastModifiedBy>
  <cp:revision>3</cp:revision>
  <dcterms:created xsi:type="dcterms:W3CDTF">2025-11-20T22:48:00Z</dcterms:created>
  <dcterms:modified xsi:type="dcterms:W3CDTF">2025-11-20T22:51:00Z</dcterms:modified>
</cp:coreProperties>
</file>