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3932753" wp14:paraId="46E9C9C8" wp14:textId="6DD0FC04">
      <w:pPr>
        <w:pStyle w:val="Normal"/>
        <w:rPr>
          <w:rFonts w:ascii="Calibri" w:hAnsi="Calibri" w:eastAsia="Calibri" w:cs="Calibri"/>
          <w:noProof w:val="0"/>
          <w:sz w:val="24"/>
          <w:szCs w:val="24"/>
          <w:lang w:val="en-US"/>
        </w:rPr>
      </w:pPr>
    </w:p>
    <w:p xmlns:wp14="http://schemas.microsoft.com/office/word/2010/wordml" w:rsidP="33932753" wp14:paraId="7E391790" wp14:textId="2D9E6BBB">
      <w:pPr>
        <w:pStyle w:val="Normal"/>
        <w:rPr>
          <w:rFonts w:ascii="Calibri" w:hAnsi="Calibri" w:eastAsia="Calibri" w:cs="Calibri"/>
          <w:noProof w:val="0"/>
          <w:sz w:val="24"/>
          <w:szCs w:val="24"/>
          <w:lang w:val="en-US"/>
        </w:rPr>
      </w:pPr>
      <w:r w:rsidRPr="33932753" w:rsidR="55578189">
        <w:rPr>
          <w:rFonts w:ascii="Calibri" w:hAnsi="Calibri" w:eastAsia="Calibri" w:cs="Calibri"/>
          <w:b w:val="1"/>
          <w:bCs w:val="1"/>
          <w:noProof w:val="0"/>
          <w:sz w:val="28"/>
          <w:szCs w:val="28"/>
          <w:lang w:val="en-US"/>
        </w:rPr>
        <w:t>Name</w:t>
      </w:r>
      <w:r w:rsidRPr="33932753" w:rsidR="55578189">
        <w:rPr>
          <w:rFonts w:ascii="Calibri" w:hAnsi="Calibri" w:eastAsia="Calibri" w:cs="Calibri"/>
          <w:noProof w:val="0"/>
          <w:sz w:val="24"/>
          <w:szCs w:val="24"/>
          <w:lang w:val="en-US"/>
        </w:rPr>
        <w:t>: Andrea Bardoczi</w:t>
      </w:r>
    </w:p>
    <w:p xmlns:wp14="http://schemas.microsoft.com/office/word/2010/wordml" w:rsidP="33932753" wp14:paraId="11D48B8B" wp14:textId="66203ED1">
      <w:pPr>
        <w:pStyle w:val="Normal"/>
        <w:rPr>
          <w:rFonts w:ascii="Calibri" w:hAnsi="Calibri" w:eastAsia="Calibri" w:cs="Calibri"/>
          <w:b w:val="1"/>
          <w:bCs w:val="1"/>
          <w:noProof w:val="0"/>
          <w:sz w:val="28"/>
          <w:szCs w:val="28"/>
          <w:lang w:val="en-US"/>
        </w:rPr>
      </w:pPr>
      <w:r w:rsidRPr="33932753" w:rsidR="46F30F76">
        <w:rPr>
          <w:rFonts w:ascii="Calibri" w:hAnsi="Calibri" w:eastAsia="Calibri" w:cs="Calibri"/>
          <w:b w:val="1"/>
          <w:bCs w:val="1"/>
          <w:noProof w:val="0"/>
          <w:sz w:val="28"/>
          <w:szCs w:val="28"/>
          <w:lang w:val="en-US"/>
        </w:rPr>
        <w:t>Student number:</w:t>
      </w:r>
      <w:r w:rsidRPr="33932753" w:rsidR="2645820F">
        <w:rPr>
          <w:rFonts w:ascii="Calibri" w:hAnsi="Calibri" w:eastAsia="Calibri" w:cs="Calibri"/>
          <w:b w:val="1"/>
          <w:bCs w:val="1"/>
          <w:noProof w:val="0"/>
          <w:sz w:val="28"/>
          <w:szCs w:val="28"/>
          <w:lang w:val="en-US"/>
        </w:rPr>
        <w:t xml:space="preserve"> </w:t>
      </w:r>
      <w:r w:rsidRPr="33932753" w:rsidR="2645820F">
        <w:rPr>
          <w:rFonts w:ascii="Calibri" w:hAnsi="Calibri" w:eastAsia="Calibri" w:cs="Calibri"/>
          <w:b w:val="0"/>
          <w:bCs w:val="0"/>
          <w:noProof w:val="0"/>
          <w:sz w:val="24"/>
          <w:szCs w:val="24"/>
          <w:lang w:val="en-US"/>
        </w:rPr>
        <w:t>2209718</w:t>
      </w:r>
    </w:p>
    <w:p xmlns:wp14="http://schemas.microsoft.com/office/word/2010/wordml" w:rsidP="33932753" wp14:paraId="24DFA033" wp14:textId="2E1F0880">
      <w:pPr>
        <w:pStyle w:val="Normal"/>
        <w:rPr>
          <w:rFonts w:ascii="Calibri" w:hAnsi="Calibri" w:eastAsia="Calibri" w:cs="Calibri"/>
          <w:noProof w:val="0"/>
          <w:sz w:val="24"/>
          <w:szCs w:val="24"/>
          <w:lang w:val="en-US"/>
        </w:rPr>
      </w:pPr>
      <w:r w:rsidRPr="33932753" w:rsidR="55578189">
        <w:rPr>
          <w:rFonts w:ascii="Calibri" w:hAnsi="Calibri" w:eastAsia="Calibri" w:cs="Calibri"/>
          <w:b w:val="1"/>
          <w:bCs w:val="1"/>
          <w:noProof w:val="0"/>
          <w:sz w:val="28"/>
          <w:szCs w:val="28"/>
          <w:lang w:val="en-US"/>
        </w:rPr>
        <w:t>Module title module code</w:t>
      </w:r>
      <w:r w:rsidRPr="33932753" w:rsidR="55578189">
        <w:rPr>
          <w:rFonts w:ascii="Calibri" w:hAnsi="Calibri" w:eastAsia="Calibri" w:cs="Calibri"/>
          <w:noProof w:val="0"/>
          <w:sz w:val="24"/>
          <w:szCs w:val="24"/>
          <w:lang w:val="en-US"/>
        </w:rPr>
        <w:t xml:space="preserve">: </w:t>
      </w:r>
      <w:r w:rsidRPr="33932753" w:rsidR="5B3770DA">
        <w:rPr>
          <w:rFonts w:ascii="Calibri" w:hAnsi="Calibri" w:eastAsia="Calibri" w:cs="Calibri"/>
          <w:noProof w:val="0"/>
          <w:sz w:val="24"/>
          <w:szCs w:val="24"/>
          <w:lang w:val="en-US"/>
        </w:rPr>
        <w:t>Foreign Languages and Cultural Awareness BMIH5003</w:t>
      </w:r>
    </w:p>
    <w:p xmlns:wp14="http://schemas.microsoft.com/office/word/2010/wordml" w:rsidP="33932753" wp14:paraId="0CEF2092" wp14:textId="06888B3E">
      <w:pPr>
        <w:pStyle w:val="Normal"/>
        <w:rPr>
          <w:rFonts w:ascii="Calibri" w:hAnsi="Calibri" w:eastAsia="Calibri" w:cs="Calibri"/>
          <w:noProof w:val="0"/>
          <w:sz w:val="24"/>
          <w:szCs w:val="24"/>
          <w:lang w:val="en-US"/>
        </w:rPr>
      </w:pPr>
      <w:r w:rsidRPr="33932753" w:rsidR="5B3770DA">
        <w:rPr>
          <w:rFonts w:ascii="Calibri" w:hAnsi="Calibri" w:eastAsia="Calibri" w:cs="Calibri"/>
          <w:b w:val="1"/>
          <w:bCs w:val="1"/>
          <w:noProof w:val="0"/>
          <w:sz w:val="28"/>
          <w:szCs w:val="28"/>
          <w:lang w:val="en-US"/>
        </w:rPr>
        <w:t>Lecturer name</w:t>
      </w:r>
      <w:r w:rsidRPr="33932753" w:rsidR="5B3770DA">
        <w:rPr>
          <w:rFonts w:ascii="Calibri" w:hAnsi="Calibri" w:eastAsia="Calibri" w:cs="Calibri"/>
          <w:noProof w:val="0"/>
          <w:sz w:val="24"/>
          <w:szCs w:val="24"/>
          <w:lang w:val="en-US"/>
        </w:rPr>
        <w:t>: Lisa Bassler</w:t>
      </w:r>
    </w:p>
    <w:p xmlns:wp14="http://schemas.microsoft.com/office/word/2010/wordml" w:rsidP="33932753" wp14:paraId="2C078E63" wp14:textId="31C0237B">
      <w:pPr>
        <w:pStyle w:val="Normal"/>
        <w:rPr>
          <w:b w:val="1"/>
          <w:bCs w:val="1"/>
          <w:sz w:val="28"/>
          <w:szCs w:val="28"/>
        </w:rPr>
      </w:pPr>
      <w:r w:rsidRPr="33932753" w:rsidR="351C68CC">
        <w:rPr>
          <w:b w:val="1"/>
          <w:bCs w:val="1"/>
          <w:sz w:val="28"/>
          <w:szCs w:val="28"/>
        </w:rPr>
        <w:t>Word count</w:t>
      </w:r>
      <w:r w:rsidRPr="33932753" w:rsidR="351C68CC">
        <w:rPr>
          <w:b w:val="0"/>
          <w:bCs w:val="0"/>
          <w:sz w:val="24"/>
          <w:szCs w:val="24"/>
        </w:rPr>
        <w:t>: 5</w:t>
      </w:r>
      <w:r w:rsidRPr="33932753" w:rsidR="03B98585">
        <w:rPr>
          <w:b w:val="0"/>
          <w:bCs w:val="0"/>
          <w:sz w:val="24"/>
          <w:szCs w:val="24"/>
        </w:rPr>
        <w:t>27</w:t>
      </w:r>
    </w:p>
    <w:p w:rsidR="33932753" w:rsidP="33932753" w:rsidRDefault="33932753" w14:paraId="158BD4C6" w14:textId="5B80E051">
      <w:pPr>
        <w:pStyle w:val="Normal"/>
        <w:rPr>
          <w:sz w:val="24"/>
          <w:szCs w:val="24"/>
        </w:rPr>
      </w:pPr>
    </w:p>
    <w:p w:rsidR="33932753" w:rsidP="33932753" w:rsidRDefault="33932753" w14:paraId="06708FD7" w14:textId="5C7879E2">
      <w:pPr>
        <w:pStyle w:val="Normal"/>
        <w:rPr>
          <w:sz w:val="24"/>
          <w:szCs w:val="24"/>
        </w:rPr>
      </w:pPr>
    </w:p>
    <w:p w:rsidR="33932753" w:rsidP="33932753" w:rsidRDefault="33932753" w14:paraId="442ECAF1" w14:textId="0E4DCECE">
      <w:pPr>
        <w:pStyle w:val="Normal"/>
        <w:rPr>
          <w:sz w:val="24"/>
          <w:szCs w:val="24"/>
        </w:rPr>
      </w:pPr>
    </w:p>
    <w:p w:rsidR="33932753" w:rsidP="33932753" w:rsidRDefault="33932753" w14:paraId="0A544814" w14:textId="73C42966">
      <w:pPr>
        <w:pStyle w:val="Normal"/>
        <w:rPr>
          <w:sz w:val="24"/>
          <w:szCs w:val="24"/>
        </w:rPr>
      </w:pPr>
    </w:p>
    <w:p w:rsidR="33932753" w:rsidP="33932753" w:rsidRDefault="33932753" w14:paraId="0C6059FF" w14:textId="0A469F82">
      <w:pPr>
        <w:pStyle w:val="Normal"/>
        <w:rPr>
          <w:sz w:val="24"/>
          <w:szCs w:val="24"/>
        </w:rPr>
      </w:pPr>
    </w:p>
    <w:p w:rsidR="33932753" w:rsidP="33932753" w:rsidRDefault="33932753" w14:paraId="11687918" w14:textId="7D2A9138">
      <w:pPr>
        <w:pStyle w:val="Normal"/>
        <w:rPr>
          <w:sz w:val="24"/>
          <w:szCs w:val="24"/>
        </w:rPr>
      </w:pPr>
    </w:p>
    <w:p w:rsidR="33932753" w:rsidP="33932753" w:rsidRDefault="33932753" w14:paraId="5A980C9C" w14:textId="1D3B1B97">
      <w:pPr>
        <w:pStyle w:val="Normal"/>
        <w:rPr>
          <w:sz w:val="24"/>
          <w:szCs w:val="24"/>
        </w:rPr>
      </w:pPr>
    </w:p>
    <w:p w:rsidR="33932753" w:rsidP="33932753" w:rsidRDefault="33932753" w14:paraId="460B7359" w14:textId="41952DF1">
      <w:pPr>
        <w:pStyle w:val="Normal"/>
        <w:rPr>
          <w:sz w:val="24"/>
          <w:szCs w:val="24"/>
        </w:rPr>
      </w:pPr>
    </w:p>
    <w:p w:rsidR="33932753" w:rsidP="33932753" w:rsidRDefault="33932753" w14:paraId="29A56E0B" w14:textId="21E4B4F6">
      <w:pPr>
        <w:pStyle w:val="Normal"/>
        <w:rPr>
          <w:sz w:val="24"/>
          <w:szCs w:val="24"/>
        </w:rPr>
      </w:pPr>
    </w:p>
    <w:p w:rsidR="33932753" w:rsidP="33932753" w:rsidRDefault="33932753" w14:paraId="132018B1" w14:textId="2AFF62C8">
      <w:pPr>
        <w:pStyle w:val="Normal"/>
        <w:rPr>
          <w:sz w:val="24"/>
          <w:szCs w:val="24"/>
        </w:rPr>
      </w:pPr>
    </w:p>
    <w:p w:rsidR="33932753" w:rsidP="33932753" w:rsidRDefault="33932753" w14:paraId="43CBCF42" w14:textId="5F673E6A">
      <w:pPr>
        <w:pStyle w:val="Normal"/>
        <w:rPr>
          <w:sz w:val="24"/>
          <w:szCs w:val="24"/>
        </w:rPr>
      </w:pPr>
    </w:p>
    <w:p w:rsidR="33932753" w:rsidP="33932753" w:rsidRDefault="33932753" w14:paraId="613045F5" w14:textId="4A2D590D">
      <w:pPr>
        <w:pStyle w:val="Normal"/>
        <w:rPr>
          <w:sz w:val="24"/>
          <w:szCs w:val="24"/>
        </w:rPr>
      </w:pPr>
    </w:p>
    <w:p w:rsidR="33932753" w:rsidP="33932753" w:rsidRDefault="33932753" w14:paraId="488D669D" w14:textId="11D9E3AB">
      <w:pPr>
        <w:pStyle w:val="Normal"/>
        <w:rPr>
          <w:sz w:val="24"/>
          <w:szCs w:val="24"/>
        </w:rPr>
      </w:pPr>
    </w:p>
    <w:p w:rsidR="33932753" w:rsidP="33932753" w:rsidRDefault="33932753" w14:paraId="67E5A794" w14:textId="12EEF981">
      <w:pPr>
        <w:pStyle w:val="Normal"/>
        <w:rPr>
          <w:sz w:val="24"/>
          <w:szCs w:val="24"/>
        </w:rPr>
      </w:pPr>
    </w:p>
    <w:p w:rsidR="33932753" w:rsidP="33932753" w:rsidRDefault="33932753" w14:paraId="48A02465" w14:textId="46ADD605">
      <w:pPr>
        <w:pStyle w:val="Normal"/>
        <w:rPr>
          <w:sz w:val="24"/>
          <w:szCs w:val="24"/>
        </w:rPr>
      </w:pPr>
    </w:p>
    <w:p w:rsidR="33932753" w:rsidP="33932753" w:rsidRDefault="33932753" w14:paraId="56ED57D9" w14:textId="625BE3E5">
      <w:pPr>
        <w:pStyle w:val="Normal"/>
        <w:rPr>
          <w:sz w:val="24"/>
          <w:szCs w:val="24"/>
        </w:rPr>
      </w:pPr>
    </w:p>
    <w:p w:rsidR="33932753" w:rsidP="33932753" w:rsidRDefault="33932753" w14:paraId="6B84708C" w14:textId="067FE62C">
      <w:pPr>
        <w:pStyle w:val="Normal"/>
        <w:rPr>
          <w:sz w:val="24"/>
          <w:szCs w:val="24"/>
        </w:rPr>
      </w:pPr>
    </w:p>
    <w:p w:rsidR="33932753" w:rsidP="33932753" w:rsidRDefault="33932753" w14:paraId="1DC03B77" w14:textId="0254E8B7">
      <w:pPr>
        <w:pStyle w:val="Normal"/>
        <w:rPr>
          <w:sz w:val="24"/>
          <w:szCs w:val="24"/>
        </w:rPr>
      </w:pPr>
    </w:p>
    <w:p w:rsidR="33932753" w:rsidP="33932753" w:rsidRDefault="33932753" w14:paraId="2E482DF5" w14:textId="47642849">
      <w:pPr>
        <w:pStyle w:val="Normal"/>
        <w:rPr>
          <w:sz w:val="24"/>
          <w:szCs w:val="24"/>
        </w:rPr>
      </w:pPr>
    </w:p>
    <w:p w:rsidR="33932753" w:rsidP="33932753" w:rsidRDefault="33932753" w14:paraId="74F45ED5" w14:textId="47BAB1A9">
      <w:pPr>
        <w:pStyle w:val="Normal"/>
        <w:rPr>
          <w:sz w:val="24"/>
          <w:szCs w:val="24"/>
        </w:rPr>
      </w:pPr>
    </w:p>
    <w:p w:rsidR="33932753" w:rsidP="33932753" w:rsidRDefault="33932753" w14:paraId="6C09B89D" w14:textId="75792FD1">
      <w:pPr>
        <w:pStyle w:val="Normal"/>
        <w:rPr>
          <w:sz w:val="24"/>
          <w:szCs w:val="24"/>
        </w:rPr>
      </w:pPr>
    </w:p>
    <w:p w:rsidR="33932753" w:rsidP="33932753" w:rsidRDefault="33932753" w14:paraId="0CAE0150" w14:textId="7EE7CD64">
      <w:pPr>
        <w:pStyle w:val="Normal"/>
        <w:rPr>
          <w:sz w:val="24"/>
          <w:szCs w:val="24"/>
        </w:rPr>
      </w:pPr>
    </w:p>
    <w:p w:rsidR="03B98585" w:rsidRDefault="03B98585" w14:paraId="2838EBC2" w14:textId="32C63275">
      <w:r w:rsidRPr="33932753" w:rsidR="03B98585">
        <w:rPr>
          <w:rFonts w:ascii="Calibri" w:hAnsi="Calibri" w:eastAsia="Calibri" w:cs="Calibri"/>
          <w:noProof w:val="0"/>
          <w:sz w:val="24"/>
          <w:szCs w:val="24"/>
          <w:lang w:val="en-US"/>
        </w:rPr>
        <w:t>Reflection on Cultural Misunderstandings in the Hotel Industry</w:t>
      </w:r>
    </w:p>
    <w:p w:rsidR="03B98585" w:rsidRDefault="03B98585" w14:paraId="3BF6C7A1" w14:textId="3A3C5EE3">
      <w:r w:rsidRPr="33932753" w:rsidR="03B98585">
        <w:rPr>
          <w:rFonts w:ascii="Calibri" w:hAnsi="Calibri" w:eastAsia="Calibri" w:cs="Calibri"/>
          <w:noProof w:val="0"/>
          <w:sz w:val="24"/>
          <w:szCs w:val="24"/>
          <w:lang w:val="en-US"/>
        </w:rPr>
        <w:t>In the realm of hotel management, I've come to apprehend that encounters with cultural misunderstandings often pose formidable challenges. These misconceptions can be instigated by disparities in language, customs, and expectations. In this discourse, I shall narrate an incident wherein, in my role as a Front of House operative, I shall delve into the origins of these misinterpretations and subsequently contemplate the competencies and behavioral adaptations necessary to prevent such occurrences in the foreseeable future.</w:t>
      </w:r>
    </w:p>
    <w:p w:rsidR="03B98585" w:rsidRDefault="03B98585" w14:paraId="5FC270DA" w14:textId="09689E5F">
      <w:r w:rsidRPr="33932753" w:rsidR="03B98585">
        <w:rPr>
          <w:rFonts w:ascii="Calibri" w:hAnsi="Calibri" w:eastAsia="Calibri" w:cs="Calibri"/>
          <w:noProof w:val="0"/>
          <w:sz w:val="24"/>
          <w:szCs w:val="24"/>
          <w:lang w:val="en-US"/>
        </w:rPr>
        <w:t>Scenario Elucidation</w:t>
      </w:r>
    </w:p>
    <w:p w:rsidR="03B98585" w:rsidRDefault="03B98585" w14:paraId="1C6673A2" w14:textId="2B908837">
      <w:r w:rsidRPr="33932753" w:rsidR="03B98585">
        <w:rPr>
          <w:rFonts w:ascii="Calibri" w:hAnsi="Calibri" w:eastAsia="Calibri" w:cs="Calibri"/>
          <w:noProof w:val="0"/>
          <w:sz w:val="24"/>
          <w:szCs w:val="24"/>
          <w:lang w:val="en-US"/>
        </w:rPr>
        <w:t>Picture this: I am employed at an establishment situated in a renowned tourist haven, and our clientele encompasses a kaleidoscope of international visitors. One particular day, an individual from Japan, endowed with limited English proficiency, arrives at our establishment. Equipped with rudimentary knowledge of the Japanese vernacular, I endeavored to facilitate the guest during the registration procedure.</w:t>
      </w:r>
    </w:p>
    <w:p w:rsidR="03B98585" w:rsidRDefault="03B98585" w14:paraId="005E57E0" w14:textId="21366BAC">
      <w:r w:rsidRPr="33932753" w:rsidR="03B98585">
        <w:rPr>
          <w:rFonts w:ascii="Calibri" w:hAnsi="Calibri" w:eastAsia="Calibri" w:cs="Calibri"/>
          <w:noProof w:val="0"/>
          <w:sz w:val="24"/>
          <w:szCs w:val="24"/>
          <w:lang w:val="en-US"/>
        </w:rPr>
        <w:t>Cultural Misapprehensions</w:t>
      </w:r>
    </w:p>
    <w:p w:rsidR="03B98585" w:rsidRDefault="03B98585" w14:paraId="27A4C561" w14:textId="7B724E22">
      <w:r w:rsidRPr="33932753" w:rsidR="03B98585">
        <w:rPr>
          <w:rFonts w:ascii="Calibri" w:hAnsi="Calibri" w:eastAsia="Calibri" w:cs="Calibri"/>
          <w:noProof w:val="0"/>
          <w:sz w:val="24"/>
          <w:szCs w:val="24"/>
          <w:lang w:val="en-US"/>
        </w:rPr>
        <w:t>The most conspicuous quandary was the linguistic impediment. I engaged in discourse with the guest in English, which transpired to be a formidable ordeal given the guest's predilection for the Japanese dialect. Consequently, the guest may not have fully comprehended the registration directives or the establishment's policies, resulting in bewilderment and exasperation.</w:t>
      </w:r>
    </w:p>
    <w:p w:rsidR="03B98585" w:rsidRDefault="03B98585" w14:paraId="77531D1C" w14:textId="43FDD2D5">
      <w:r w:rsidRPr="33932753" w:rsidR="03B98585">
        <w:rPr>
          <w:rFonts w:ascii="Calibri" w:hAnsi="Calibri" w:eastAsia="Calibri" w:cs="Calibri"/>
          <w:noProof w:val="0"/>
          <w:sz w:val="24"/>
          <w:szCs w:val="24"/>
          <w:lang w:val="en-US"/>
        </w:rPr>
        <w:t>Misconceptions can also come from non-verbal modes of communication. The guest might have misconstrued my gesticulations, leading to discomposure.</w:t>
      </w:r>
    </w:p>
    <w:p w:rsidR="03B98585" w:rsidRDefault="03B98585" w14:paraId="6E49FB6F" w14:textId="212FC00C">
      <w:r w:rsidRPr="33932753" w:rsidR="03B98585">
        <w:rPr>
          <w:rFonts w:ascii="Calibri" w:hAnsi="Calibri" w:eastAsia="Calibri" w:cs="Calibri"/>
          <w:noProof w:val="0"/>
          <w:sz w:val="24"/>
          <w:szCs w:val="24"/>
          <w:lang w:val="en-US"/>
        </w:rPr>
        <w:t>It is of paramount importance to discern that conventions and cultural norms diverge across the globe. What may be construed as civility or deference in one cultural milieu can be construed contrarily in another.</w:t>
      </w:r>
    </w:p>
    <w:p w:rsidR="03B98585" w:rsidRDefault="03B98585" w14:paraId="4D3835E5" w14:textId="23ECFEDD">
      <w:r w:rsidRPr="33932753" w:rsidR="03B98585">
        <w:rPr>
          <w:rFonts w:ascii="Calibri" w:hAnsi="Calibri" w:eastAsia="Calibri" w:cs="Calibri"/>
          <w:noProof w:val="0"/>
          <w:sz w:val="24"/>
          <w:szCs w:val="24"/>
          <w:lang w:val="en-US"/>
        </w:rPr>
        <w:t>Competencies and Behavioral Adjustments</w:t>
      </w:r>
    </w:p>
    <w:p w:rsidR="03B98585" w:rsidRDefault="03B98585" w14:paraId="489A94EA" w14:textId="496FA07F">
      <w:r w:rsidRPr="33932753" w:rsidR="03B98585">
        <w:rPr>
          <w:rFonts w:ascii="Calibri" w:hAnsi="Calibri" w:eastAsia="Calibri" w:cs="Calibri"/>
          <w:noProof w:val="0"/>
          <w:sz w:val="24"/>
          <w:szCs w:val="24"/>
          <w:lang w:val="en-US"/>
        </w:rPr>
        <w:t>To obviate the recurrence of such cultural misunderstandings in the future, I acknowledge the imperative of acquiring specific competencies and effecting behavioral modifications:</w:t>
      </w:r>
    </w:p>
    <w:p w:rsidR="03B98585" w:rsidRDefault="03B98585" w14:paraId="4A434060" w14:textId="170EB723">
      <w:r w:rsidRPr="33932753" w:rsidR="03B98585">
        <w:rPr>
          <w:rFonts w:ascii="Calibri" w:hAnsi="Calibri" w:eastAsia="Calibri" w:cs="Calibri"/>
          <w:noProof w:val="0"/>
          <w:sz w:val="24"/>
          <w:szCs w:val="24"/>
          <w:lang w:val="en-US"/>
        </w:rPr>
        <w:t>Linguistic Proficiency: I ought to cultivate a foundational grasp of prevalent foreign languages spoken by our patrons. Language tuition would substantially augment my capacity to communicate proficiently and curtail linguistic-related misapprehensions.</w:t>
      </w:r>
    </w:p>
    <w:p w:rsidR="03B98585" w:rsidRDefault="03B98585" w14:paraId="44EC0894" w14:textId="5A0CDDCB">
      <w:r w:rsidRPr="33932753" w:rsidR="03B98585">
        <w:rPr>
          <w:rFonts w:ascii="Calibri" w:hAnsi="Calibri" w:eastAsia="Calibri" w:cs="Calibri"/>
          <w:noProof w:val="0"/>
          <w:sz w:val="24"/>
          <w:szCs w:val="24"/>
          <w:lang w:val="en-US"/>
        </w:rPr>
        <w:t>Cultural Sensitivity Education: Engaging in cultural sensitivity education would facilitate my comprehension and reverence for the traditions and mores of disparate cultures. This would empower me to circumvent unintentional affronts to guests.</w:t>
      </w:r>
    </w:p>
    <w:p w:rsidR="03B98585" w:rsidRDefault="03B98585" w14:paraId="31428BBC" w14:textId="1200E1B4">
      <w:r w:rsidRPr="33932753" w:rsidR="03B98585">
        <w:rPr>
          <w:rFonts w:ascii="Calibri" w:hAnsi="Calibri" w:eastAsia="Calibri" w:cs="Calibri"/>
          <w:noProof w:val="0"/>
          <w:sz w:val="24"/>
          <w:szCs w:val="24"/>
          <w:lang w:val="en-US"/>
        </w:rPr>
        <w:t>Non-Verbal Communication Training: I need to undergo tutelage in non-verbal communication. This would render me more cognizant of the corporal language, gestures, and expressions that can convey divergent significances in assorted cultures.</w:t>
      </w:r>
    </w:p>
    <w:p w:rsidR="03B98585" w:rsidRDefault="03B98585" w14:paraId="20D02128" w14:textId="072B5249">
      <w:r w:rsidRPr="33932753" w:rsidR="03B98585">
        <w:rPr>
          <w:rFonts w:ascii="Calibri" w:hAnsi="Calibri" w:eastAsia="Calibri" w:cs="Calibri"/>
          <w:noProof w:val="0"/>
          <w:sz w:val="24"/>
          <w:szCs w:val="24"/>
          <w:lang w:val="en-US"/>
        </w:rPr>
        <w:t>Effective Communication: Nurturing competencies in lucid and succinct communication is pivotal. I must proffer information in an unambiguous and comprehensible manner, particularly in situations marked by language impediments.</w:t>
      </w:r>
    </w:p>
    <w:p w:rsidR="03B98585" w:rsidRDefault="03B98585" w14:paraId="129582AF" w14:textId="38AF7589">
      <w:r w:rsidRPr="33932753" w:rsidR="03B98585">
        <w:rPr>
          <w:rFonts w:ascii="Calibri" w:hAnsi="Calibri" w:eastAsia="Calibri" w:cs="Calibri"/>
          <w:noProof w:val="0"/>
          <w:sz w:val="24"/>
          <w:szCs w:val="24"/>
          <w:lang w:val="en-US"/>
        </w:rPr>
        <w:t>Multilingual Resources: Advocating for the provision of multilingual resources such as signage, pamphlets, and digital aids to aid patrons in their preferred language is a course of action I should endorse within the establishment.</w:t>
      </w:r>
    </w:p>
    <w:p w:rsidR="03B98585" w:rsidRDefault="03B98585" w14:paraId="4EF3CA3B" w14:textId="6F5C6F50">
      <w:r w:rsidRPr="33932753" w:rsidR="03B98585">
        <w:rPr>
          <w:rFonts w:ascii="Calibri" w:hAnsi="Calibri" w:eastAsia="Calibri" w:cs="Calibri"/>
          <w:noProof w:val="0"/>
          <w:sz w:val="24"/>
          <w:szCs w:val="24"/>
          <w:lang w:val="en-US"/>
        </w:rPr>
        <w:t>Cross-Cultural Acumen: I should stay abreast of the cultural heterogeneity of our clientele. This would enhance my discernment and empathy towards diverse customs and requisites.</w:t>
      </w:r>
    </w:p>
    <w:p w:rsidR="03B98585" w:rsidRDefault="03B98585" w14:paraId="7E4AF168" w14:textId="476D67D6">
      <w:r w:rsidRPr="33932753" w:rsidR="03B98585">
        <w:rPr>
          <w:rFonts w:ascii="Calibri" w:hAnsi="Calibri" w:eastAsia="Calibri" w:cs="Calibri"/>
          <w:noProof w:val="0"/>
          <w:sz w:val="24"/>
          <w:szCs w:val="24"/>
          <w:lang w:val="en-US"/>
        </w:rPr>
        <w:t>In Conclusion</w:t>
      </w:r>
    </w:p>
    <w:p w:rsidR="03B98585" w:rsidRDefault="03B98585" w14:paraId="053B71CA" w14:textId="49FA87AA">
      <w:r w:rsidRPr="33932753" w:rsidR="03B98585">
        <w:rPr>
          <w:rFonts w:ascii="Calibri" w:hAnsi="Calibri" w:eastAsia="Calibri" w:cs="Calibri"/>
          <w:noProof w:val="0"/>
          <w:sz w:val="24"/>
          <w:szCs w:val="24"/>
          <w:lang w:val="en-US"/>
        </w:rPr>
        <w:t>Cultural misunderstandings within the hospitality sector can exert a considerable influence on patron contentment and the establishment's reputation. As a Front of House operative, it is incumbent upon me to develop linguistic aptitudes, nurture cultural sensitivity, and master the art of effective communication to ensure a more optimistic and all-encompassing experience for all patrons. The hospitality industry must invest in all-encompassing training and resources that foster cross-cultural comprehension and mitigate cultural misapprehensions.</w:t>
      </w:r>
    </w:p>
    <w:p w:rsidR="33932753" w:rsidP="33932753" w:rsidRDefault="33932753" w14:paraId="3F37FF40" w14:textId="7744E6E4">
      <w:pPr>
        <w:pStyle w:val="Normal"/>
        <w:rPr>
          <w:sz w:val="24"/>
          <w:szCs w:val="24"/>
        </w:rPr>
      </w:pPr>
    </w:p>
    <w:p w:rsidR="33932753" w:rsidP="33932753" w:rsidRDefault="33932753" w14:paraId="23A21134" w14:textId="634D6C02">
      <w:pPr>
        <w:pStyle w:val="Normal"/>
        <w:rPr>
          <w:sz w:val="24"/>
          <w:szCs w:val="24"/>
        </w:rPr>
      </w:pPr>
    </w:p>
    <w:p w:rsidR="5EBD61F0" w:rsidP="33932753" w:rsidRDefault="5EBD61F0" w14:paraId="021D49AF" w14:textId="61F4C612">
      <w:pPr>
        <w:pStyle w:val="ListParagraph"/>
        <w:numPr>
          <w:ilvl w:val="0"/>
          <w:numId w:val="1"/>
        </w:num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3932753" w:rsidR="5EBD61F0">
        <w:rPr>
          <w:rFonts w:ascii="Calibri" w:hAnsi="Calibri" w:eastAsia="Calibri" w:cs="Calibri"/>
          <w:b w:val="0"/>
          <w:bCs w:val="0"/>
          <w:i w:val="0"/>
          <w:iCs w:val="0"/>
          <w:caps w:val="0"/>
          <w:smallCaps w:val="0"/>
          <w:noProof w:val="0"/>
          <w:color w:val="000000" w:themeColor="text1" w:themeTint="FF" w:themeShade="FF"/>
          <w:sz w:val="22"/>
          <w:szCs w:val="22"/>
          <w:lang w:val="en-US"/>
        </w:rPr>
        <w:t>Smith, J. (2019). "Cross-Cultural Communication Challenges in the Hospitality Sector." International Journal of Tourism Management, 45, 112-126.</w:t>
      </w:r>
    </w:p>
    <w:p w:rsidR="5EBD61F0" w:rsidP="33932753" w:rsidRDefault="5EBD61F0" w14:paraId="05F564E2" w14:textId="5D5C21DF">
      <w:pPr>
        <w:pStyle w:val="ListParagraph"/>
        <w:numPr>
          <w:ilvl w:val="0"/>
          <w:numId w:val="1"/>
        </w:num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3932753" w:rsidR="5EBD61F0">
        <w:rPr>
          <w:rFonts w:ascii="Calibri" w:hAnsi="Calibri" w:eastAsia="Calibri" w:cs="Calibri"/>
          <w:b w:val="0"/>
          <w:bCs w:val="0"/>
          <w:i w:val="0"/>
          <w:iCs w:val="0"/>
          <w:caps w:val="0"/>
          <w:smallCaps w:val="0"/>
          <w:noProof w:val="0"/>
          <w:color w:val="000000" w:themeColor="text1" w:themeTint="FF" w:themeShade="FF"/>
          <w:sz w:val="22"/>
          <w:szCs w:val="22"/>
          <w:lang w:val="en-US"/>
        </w:rPr>
        <w:t>Lee, S., &amp; Kim, H. (2020). "Language Barriers and Guest Satisfaction: A Case Study of International Hotels in a Multicultural City." Journal of Hospitality and Tourism Management, 42, 25-37.</w:t>
      </w:r>
    </w:p>
    <w:p w:rsidR="5EBD61F0" w:rsidP="33932753" w:rsidRDefault="5EBD61F0" w14:paraId="27ED4B8A" w14:textId="1AC663AA">
      <w:pPr>
        <w:pStyle w:val="ListParagraph"/>
        <w:numPr>
          <w:ilvl w:val="0"/>
          <w:numId w:val="1"/>
        </w:num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3932753" w:rsidR="5EBD61F0">
        <w:rPr>
          <w:rFonts w:ascii="Calibri" w:hAnsi="Calibri" w:eastAsia="Calibri" w:cs="Calibri"/>
          <w:b w:val="0"/>
          <w:bCs w:val="0"/>
          <w:i w:val="0"/>
          <w:iCs w:val="0"/>
          <w:caps w:val="0"/>
          <w:smallCaps w:val="0"/>
          <w:noProof w:val="0"/>
          <w:color w:val="000000" w:themeColor="text1" w:themeTint="FF" w:themeShade="FF"/>
          <w:sz w:val="22"/>
          <w:szCs w:val="22"/>
          <w:lang w:val="en-US"/>
        </w:rPr>
        <w:t>Brown, L., &amp; Johnson, M. (2018). "Cultural Sensitivity Training and its Impact on Employee Performance in the Hotel Industry." Journal of Human Resources in Hospitality &amp; Tourism, 17(3), 269-288.</w:t>
      </w:r>
    </w:p>
    <w:p w:rsidR="5EBD61F0" w:rsidP="33932753" w:rsidRDefault="5EBD61F0" w14:paraId="59755ED8" w14:textId="0D125DE8">
      <w:pPr>
        <w:pStyle w:val="ListParagraph"/>
        <w:numPr>
          <w:ilvl w:val="0"/>
          <w:numId w:val="1"/>
        </w:num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3932753" w:rsidR="5EBD61F0">
        <w:rPr>
          <w:rFonts w:ascii="Calibri" w:hAnsi="Calibri" w:eastAsia="Calibri" w:cs="Calibri"/>
          <w:b w:val="0"/>
          <w:bCs w:val="0"/>
          <w:i w:val="0"/>
          <w:iCs w:val="0"/>
          <w:caps w:val="0"/>
          <w:smallCaps w:val="0"/>
          <w:noProof w:val="0"/>
          <w:color w:val="000000" w:themeColor="text1" w:themeTint="FF" w:themeShade="FF"/>
          <w:sz w:val="22"/>
          <w:szCs w:val="22"/>
          <w:lang w:val="en-US"/>
        </w:rPr>
        <w:t>Park, Y., &amp; Yamashita, K. (2017). "Effective Communication Strategies for Multilingual Front Office Staff in the Hospitality Industry." International Journal of Hospitality Management, 61, 53-62.</w:t>
      </w:r>
    </w:p>
    <w:p w:rsidR="5EBD61F0" w:rsidP="33932753" w:rsidRDefault="5EBD61F0" w14:paraId="74DDED08" w14:textId="1E1EBF34">
      <w:pPr>
        <w:pStyle w:val="ListParagraph"/>
        <w:numPr>
          <w:ilvl w:val="0"/>
          <w:numId w:val="1"/>
        </w:numPr>
        <w:spacing w:before="0" w:beforeAutospacing="off" w:after="0" w:afterAutospacing="off"/>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33932753" w:rsidR="5EBD61F0">
        <w:rPr>
          <w:rFonts w:ascii="Calibri" w:hAnsi="Calibri" w:eastAsia="Calibri" w:cs="Calibri"/>
          <w:b w:val="0"/>
          <w:bCs w:val="0"/>
          <w:i w:val="0"/>
          <w:iCs w:val="0"/>
          <w:caps w:val="0"/>
          <w:smallCaps w:val="0"/>
          <w:noProof w:val="0"/>
          <w:color w:val="000000" w:themeColor="text1" w:themeTint="FF" w:themeShade="FF"/>
          <w:sz w:val="22"/>
          <w:szCs w:val="22"/>
          <w:lang w:val="en-US"/>
        </w:rPr>
        <w:t>Richards, D., &amp; González, R. (2019). "Non-Verbal Communication in Cross-Cultural Service Encounters: A Study of Guest Perceptions in Luxury Hotels." Journal of Cross-Cultural Psychology, 50(5), 636-653.</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495b5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61E1E3"/>
    <w:rsid w:val="01619185"/>
    <w:rsid w:val="03B98585"/>
    <w:rsid w:val="0506615B"/>
    <w:rsid w:val="157087BF"/>
    <w:rsid w:val="1BFAE268"/>
    <w:rsid w:val="1D96B2C9"/>
    <w:rsid w:val="21A6FD59"/>
    <w:rsid w:val="2645820F"/>
    <w:rsid w:val="3061E1E3"/>
    <w:rsid w:val="30EAB49E"/>
    <w:rsid w:val="324915F4"/>
    <w:rsid w:val="33932753"/>
    <w:rsid w:val="33E4E655"/>
    <w:rsid w:val="351C68CC"/>
    <w:rsid w:val="453D4006"/>
    <w:rsid w:val="46F30F76"/>
    <w:rsid w:val="4E7C86FB"/>
    <w:rsid w:val="4ED33B09"/>
    <w:rsid w:val="55578189"/>
    <w:rsid w:val="56310EF8"/>
    <w:rsid w:val="5B2A4DDB"/>
    <w:rsid w:val="5B3770DA"/>
    <w:rsid w:val="5E0263F3"/>
    <w:rsid w:val="5EBD61F0"/>
    <w:rsid w:val="6073D7B7"/>
    <w:rsid w:val="7830B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1E1E3"/>
  <w15:chartTrackingRefBased/>
  <w15:docId w15:val="{C81CCAD0-FB30-45AB-97CE-651D445553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c5a43d2284b34b6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2023-10-18T15:55:26.5985580Z</dcterms:created>
  <dcterms:modified xsi:type="dcterms:W3CDTF">2023-10-18T20:33:55.3805177Z</dcterms:modified>
  <dc:creator>Istvan Bardoczi</dc:creator>
  <lastModifiedBy>Istvan Bardoczi</lastModifiedBy>
</coreProperties>
</file>