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1712BC" w14:textId="77777777" w:rsidR="00020E4F" w:rsidRDefault="00020E4F" w:rsidP="00020E4F">
      <w:pPr>
        <w:jc w:val="center"/>
        <w:rPr>
          <w:b/>
          <w:bCs/>
          <w:sz w:val="28"/>
          <w:szCs w:val="28"/>
          <w:u w:val="single"/>
          <w:lang w:val="fr-FR"/>
        </w:rPr>
      </w:pPr>
    </w:p>
    <w:p w14:paraId="35F7C8F0" w14:textId="77777777" w:rsidR="00020E4F" w:rsidRDefault="00020E4F" w:rsidP="00020E4F">
      <w:pPr>
        <w:jc w:val="center"/>
        <w:rPr>
          <w:b/>
          <w:bCs/>
          <w:sz w:val="28"/>
          <w:szCs w:val="28"/>
          <w:u w:val="single"/>
          <w:lang w:val="fr-FR"/>
        </w:rPr>
      </w:pPr>
    </w:p>
    <w:p w14:paraId="4276A288" w14:textId="77777777" w:rsidR="00020E4F" w:rsidRDefault="00020E4F" w:rsidP="00020E4F">
      <w:pPr>
        <w:jc w:val="center"/>
        <w:rPr>
          <w:b/>
          <w:bCs/>
          <w:sz w:val="28"/>
          <w:szCs w:val="28"/>
          <w:u w:val="single"/>
          <w:lang w:val="fr-FR"/>
        </w:rPr>
      </w:pPr>
    </w:p>
    <w:p w14:paraId="086D5AC5" w14:textId="77777777" w:rsidR="00020E4F" w:rsidRDefault="00020E4F" w:rsidP="00020E4F">
      <w:pPr>
        <w:jc w:val="center"/>
        <w:rPr>
          <w:b/>
          <w:bCs/>
          <w:sz w:val="28"/>
          <w:szCs w:val="28"/>
          <w:u w:val="single"/>
          <w:lang w:val="fr-FR"/>
        </w:rPr>
      </w:pPr>
    </w:p>
    <w:p w14:paraId="3B572B9F" w14:textId="77777777" w:rsidR="00020E4F" w:rsidRDefault="00020E4F" w:rsidP="00020E4F">
      <w:pPr>
        <w:jc w:val="center"/>
        <w:rPr>
          <w:b/>
          <w:bCs/>
          <w:sz w:val="28"/>
          <w:szCs w:val="28"/>
          <w:u w:val="single"/>
          <w:lang w:val="fr-FR"/>
        </w:rPr>
      </w:pPr>
    </w:p>
    <w:p w14:paraId="6CD3A9F7" w14:textId="77777777" w:rsidR="00020E4F" w:rsidRDefault="00020E4F" w:rsidP="00020E4F">
      <w:pPr>
        <w:jc w:val="center"/>
        <w:rPr>
          <w:b/>
          <w:bCs/>
          <w:sz w:val="28"/>
          <w:szCs w:val="28"/>
          <w:u w:val="single"/>
          <w:lang w:val="fr-FR"/>
        </w:rPr>
      </w:pPr>
    </w:p>
    <w:p w14:paraId="32E84B6C" w14:textId="77777777" w:rsidR="00020E4F" w:rsidRDefault="00020E4F" w:rsidP="00020E4F">
      <w:pPr>
        <w:jc w:val="center"/>
        <w:rPr>
          <w:b/>
          <w:bCs/>
          <w:sz w:val="28"/>
          <w:szCs w:val="28"/>
          <w:u w:val="single"/>
          <w:lang w:val="fr-FR"/>
        </w:rPr>
      </w:pPr>
    </w:p>
    <w:p w14:paraId="2D91D6A8" w14:textId="77777777" w:rsidR="00020E4F" w:rsidRDefault="00020E4F" w:rsidP="00020E4F">
      <w:pPr>
        <w:jc w:val="center"/>
        <w:rPr>
          <w:b/>
          <w:bCs/>
          <w:sz w:val="28"/>
          <w:szCs w:val="28"/>
          <w:u w:val="single"/>
          <w:lang w:val="fr-FR"/>
        </w:rPr>
      </w:pPr>
    </w:p>
    <w:p w14:paraId="39251366" w14:textId="77777777" w:rsidR="00020E4F" w:rsidRDefault="00020E4F" w:rsidP="00020E4F">
      <w:pPr>
        <w:jc w:val="center"/>
        <w:rPr>
          <w:b/>
          <w:bCs/>
          <w:sz w:val="28"/>
          <w:szCs w:val="28"/>
          <w:u w:val="single"/>
          <w:lang w:val="fr-FR"/>
        </w:rPr>
      </w:pPr>
    </w:p>
    <w:p w14:paraId="0CFDB7B3" w14:textId="77777777" w:rsidR="00020E4F" w:rsidRDefault="00020E4F" w:rsidP="00020E4F">
      <w:pPr>
        <w:jc w:val="center"/>
        <w:rPr>
          <w:b/>
          <w:bCs/>
          <w:sz w:val="28"/>
          <w:szCs w:val="28"/>
          <w:u w:val="single"/>
          <w:lang w:val="fr-FR"/>
        </w:rPr>
      </w:pPr>
    </w:p>
    <w:p w14:paraId="37C4DCC5" w14:textId="5E661342" w:rsidR="00FF0F83" w:rsidRPr="00020E4F" w:rsidRDefault="001A1102" w:rsidP="00020E4F">
      <w:pPr>
        <w:jc w:val="center"/>
        <w:rPr>
          <w:b/>
          <w:bCs/>
          <w:sz w:val="28"/>
          <w:szCs w:val="28"/>
          <w:u w:val="single"/>
          <w:lang w:val="fr-FR"/>
        </w:rPr>
      </w:pPr>
      <w:proofErr w:type="spellStart"/>
      <w:r w:rsidRPr="00020E4F">
        <w:rPr>
          <w:b/>
          <w:bCs/>
          <w:sz w:val="28"/>
          <w:szCs w:val="28"/>
          <w:u w:val="single"/>
          <w:lang w:val="fr-FR"/>
        </w:rPr>
        <w:t>Module:International</w:t>
      </w:r>
      <w:proofErr w:type="spellEnd"/>
      <w:r w:rsidRPr="00020E4F">
        <w:rPr>
          <w:b/>
          <w:bCs/>
          <w:sz w:val="28"/>
          <w:szCs w:val="28"/>
          <w:u w:val="single"/>
          <w:lang w:val="fr-FR"/>
        </w:rPr>
        <w:t xml:space="preserve"> Financial Management</w:t>
      </w:r>
    </w:p>
    <w:p w14:paraId="209B77C8" w14:textId="1946B052" w:rsidR="001A1102" w:rsidRPr="00020E4F" w:rsidRDefault="001A1102" w:rsidP="00020E4F">
      <w:pPr>
        <w:jc w:val="center"/>
        <w:rPr>
          <w:b/>
          <w:bCs/>
          <w:sz w:val="28"/>
          <w:szCs w:val="28"/>
          <w:u w:val="single"/>
        </w:rPr>
      </w:pPr>
      <w:r w:rsidRPr="00020E4F">
        <w:rPr>
          <w:b/>
          <w:bCs/>
          <w:sz w:val="28"/>
          <w:szCs w:val="28"/>
          <w:u w:val="single"/>
        </w:rPr>
        <w:t>Module code:</w:t>
      </w:r>
      <w:r w:rsidRPr="00020E4F">
        <w:rPr>
          <w:b/>
          <w:bCs/>
          <w:sz w:val="28"/>
          <w:szCs w:val="28"/>
          <w:u w:val="single"/>
        </w:rPr>
        <w:t xml:space="preserve"> </w:t>
      </w:r>
      <w:r w:rsidRPr="00020E4F">
        <w:rPr>
          <w:b/>
          <w:bCs/>
          <w:sz w:val="28"/>
          <w:szCs w:val="28"/>
          <w:u w:val="single"/>
        </w:rPr>
        <w:t>LCBB6002</w:t>
      </w:r>
    </w:p>
    <w:p w14:paraId="4F85B6CD" w14:textId="103FD6E5" w:rsidR="001A1102" w:rsidRPr="00020E4F" w:rsidRDefault="001A1102" w:rsidP="00020E4F">
      <w:pPr>
        <w:jc w:val="center"/>
        <w:rPr>
          <w:b/>
          <w:bCs/>
          <w:sz w:val="28"/>
          <w:szCs w:val="28"/>
          <w:u w:val="single"/>
        </w:rPr>
      </w:pPr>
      <w:r w:rsidRPr="00020E4F">
        <w:rPr>
          <w:b/>
          <w:bCs/>
          <w:sz w:val="28"/>
          <w:szCs w:val="28"/>
          <w:u w:val="single"/>
        </w:rPr>
        <w:t>Assignment Title:</w:t>
      </w:r>
      <w:r w:rsidRPr="00020E4F">
        <w:rPr>
          <w:b/>
          <w:bCs/>
          <w:sz w:val="28"/>
          <w:szCs w:val="28"/>
          <w:u w:val="single"/>
        </w:rPr>
        <w:t xml:space="preserve"> </w:t>
      </w:r>
      <w:r w:rsidRPr="00020E4F">
        <w:rPr>
          <w:b/>
          <w:bCs/>
          <w:sz w:val="28"/>
          <w:szCs w:val="28"/>
          <w:u w:val="single"/>
        </w:rPr>
        <w:t xml:space="preserve">Component 1: Coursework: </w:t>
      </w:r>
      <w:r w:rsidRPr="00020E4F">
        <w:rPr>
          <w:b/>
          <w:bCs/>
          <w:sz w:val="28"/>
          <w:szCs w:val="28"/>
          <w:u w:val="single"/>
        </w:rPr>
        <w:t xml:space="preserve"> </w:t>
      </w:r>
      <w:r w:rsidRPr="00020E4F">
        <w:rPr>
          <w:b/>
          <w:bCs/>
          <w:sz w:val="28"/>
          <w:szCs w:val="28"/>
          <w:u w:val="single"/>
        </w:rPr>
        <w:t>Written Report</w:t>
      </w:r>
    </w:p>
    <w:p w14:paraId="6E4F3CB6" w14:textId="2183ABF5" w:rsidR="001A1102" w:rsidRPr="00020E4F" w:rsidRDefault="001A1102" w:rsidP="00020E4F">
      <w:pPr>
        <w:jc w:val="center"/>
        <w:rPr>
          <w:b/>
          <w:bCs/>
          <w:sz w:val="28"/>
          <w:szCs w:val="28"/>
          <w:u w:val="single"/>
        </w:rPr>
      </w:pPr>
      <w:r w:rsidRPr="00020E4F">
        <w:rPr>
          <w:b/>
          <w:bCs/>
          <w:sz w:val="28"/>
          <w:szCs w:val="28"/>
          <w:u w:val="single"/>
        </w:rPr>
        <w:t>Lecturer:</w:t>
      </w:r>
      <w:r w:rsidRPr="00020E4F">
        <w:rPr>
          <w:b/>
          <w:bCs/>
          <w:sz w:val="28"/>
          <w:szCs w:val="28"/>
          <w:u w:val="single"/>
        </w:rPr>
        <w:t xml:space="preserve"> </w:t>
      </w:r>
      <w:r w:rsidRPr="00020E4F">
        <w:rPr>
          <w:b/>
          <w:bCs/>
          <w:sz w:val="28"/>
          <w:szCs w:val="28"/>
          <w:u w:val="single"/>
        </w:rPr>
        <w:t>Dr Patrick Yeboah</w:t>
      </w:r>
    </w:p>
    <w:p w14:paraId="6F4C0460" w14:textId="7C23CA88" w:rsidR="001A1102" w:rsidRPr="00020E4F" w:rsidRDefault="001A1102" w:rsidP="00020E4F">
      <w:pPr>
        <w:jc w:val="center"/>
        <w:rPr>
          <w:b/>
          <w:bCs/>
          <w:sz w:val="28"/>
          <w:szCs w:val="28"/>
          <w:u w:val="single"/>
        </w:rPr>
      </w:pPr>
      <w:r w:rsidRPr="00020E4F">
        <w:rPr>
          <w:b/>
          <w:bCs/>
          <w:sz w:val="28"/>
          <w:szCs w:val="28"/>
          <w:u w:val="single"/>
        </w:rPr>
        <w:t>Student Name : Lavinia Adriana Mandache</w:t>
      </w:r>
    </w:p>
    <w:p w14:paraId="5EADE49A" w14:textId="6720A561" w:rsidR="00020E4F" w:rsidRDefault="001A1102" w:rsidP="00020E4F">
      <w:pPr>
        <w:jc w:val="center"/>
        <w:rPr>
          <w:b/>
          <w:bCs/>
          <w:sz w:val="28"/>
          <w:szCs w:val="28"/>
          <w:u w:val="single"/>
        </w:rPr>
      </w:pPr>
      <w:r w:rsidRPr="00020E4F">
        <w:rPr>
          <w:b/>
          <w:bCs/>
          <w:sz w:val="28"/>
          <w:szCs w:val="28"/>
          <w:u w:val="single"/>
        </w:rPr>
        <w:t>Student ID : 224364</w:t>
      </w:r>
      <w:r w:rsidR="00020E4F" w:rsidRPr="00020E4F">
        <w:rPr>
          <w:b/>
          <w:bCs/>
          <w:sz w:val="28"/>
          <w:szCs w:val="28"/>
          <w:u w:val="single"/>
        </w:rPr>
        <w:t>0</w:t>
      </w:r>
    </w:p>
    <w:p w14:paraId="63344502" w14:textId="77777777" w:rsidR="00020E4F" w:rsidRPr="00020E4F" w:rsidRDefault="00020E4F" w:rsidP="00020E4F">
      <w:pPr>
        <w:jc w:val="center"/>
        <w:rPr>
          <w:sz w:val="28"/>
          <w:szCs w:val="28"/>
          <w:u w:val="single"/>
        </w:rPr>
      </w:pPr>
      <w:r w:rsidRPr="00020E4F">
        <w:rPr>
          <w:b/>
          <w:bCs/>
          <w:sz w:val="28"/>
          <w:szCs w:val="28"/>
          <w:u w:val="single"/>
        </w:rPr>
        <w:t>Report to the Board of Directors of STF Cleaning and Construction Limited</w:t>
      </w:r>
    </w:p>
    <w:p w14:paraId="5A34D414" w14:textId="2058936A" w:rsidR="00020E4F" w:rsidRDefault="00020E4F" w:rsidP="00020E4F"/>
    <w:p w14:paraId="2D293A2A" w14:textId="77777777" w:rsidR="00020E4F" w:rsidRDefault="00020E4F" w:rsidP="00020E4F"/>
    <w:p w14:paraId="7118B542" w14:textId="77777777" w:rsidR="00020E4F" w:rsidRDefault="00020E4F" w:rsidP="00020E4F"/>
    <w:p w14:paraId="6931A660" w14:textId="77777777" w:rsidR="00020E4F" w:rsidRDefault="00020E4F" w:rsidP="00020E4F"/>
    <w:p w14:paraId="19A672D6" w14:textId="77777777" w:rsidR="00020E4F" w:rsidRDefault="00020E4F" w:rsidP="00020E4F"/>
    <w:p w14:paraId="33002E0F" w14:textId="77777777" w:rsidR="00020E4F" w:rsidRDefault="00020E4F" w:rsidP="00020E4F"/>
    <w:p w14:paraId="2D69AFCA" w14:textId="77777777" w:rsidR="00020E4F" w:rsidRDefault="00020E4F" w:rsidP="00020E4F"/>
    <w:p w14:paraId="1B009A80" w14:textId="77777777" w:rsidR="00020E4F" w:rsidRDefault="00020E4F" w:rsidP="00020E4F"/>
    <w:p w14:paraId="3DF2FD00" w14:textId="77777777" w:rsidR="00020E4F" w:rsidRDefault="00020E4F" w:rsidP="00020E4F"/>
    <w:p w14:paraId="207A87F2" w14:textId="77777777" w:rsidR="00020E4F" w:rsidRDefault="00020E4F" w:rsidP="00020E4F"/>
    <w:p w14:paraId="71237457" w14:textId="77777777" w:rsidR="00020E4F" w:rsidRPr="00020E4F" w:rsidRDefault="00020E4F" w:rsidP="00020E4F"/>
    <w:p w14:paraId="37B8DC6E" w14:textId="77777777" w:rsidR="00020E4F" w:rsidRPr="00020E4F" w:rsidRDefault="00020E4F" w:rsidP="00020E4F">
      <w:r w:rsidRPr="00020E4F">
        <w:rPr>
          <w:b/>
          <w:bCs/>
        </w:rPr>
        <w:t>Table of Contents</w:t>
      </w:r>
    </w:p>
    <w:p w14:paraId="49ED47A5" w14:textId="77777777" w:rsidR="00020E4F" w:rsidRPr="00020E4F" w:rsidRDefault="00020E4F" w:rsidP="00020E4F">
      <w:pPr>
        <w:numPr>
          <w:ilvl w:val="0"/>
          <w:numId w:val="1"/>
        </w:numPr>
      </w:pPr>
      <w:r w:rsidRPr="00020E4F">
        <w:rPr>
          <w:b/>
          <w:bCs/>
        </w:rPr>
        <w:t>Introduction</w:t>
      </w:r>
      <w:r w:rsidRPr="00020E4F">
        <w:t> ............................................................ 1</w:t>
      </w:r>
    </w:p>
    <w:p w14:paraId="2EE25D0F" w14:textId="4AFA28F8" w:rsidR="00020E4F" w:rsidRPr="00020E4F" w:rsidRDefault="00020E4F" w:rsidP="00020E4F">
      <w:pPr>
        <w:numPr>
          <w:ilvl w:val="0"/>
          <w:numId w:val="1"/>
        </w:numPr>
      </w:pPr>
      <w:r w:rsidRPr="00020E4F">
        <w:rPr>
          <w:b/>
          <w:bCs/>
        </w:rPr>
        <w:t>Corporate Governance and Agency Theory: Concepts and Significance</w:t>
      </w:r>
      <w:r w:rsidRPr="00020E4F">
        <w:t> ... 2</w:t>
      </w:r>
    </w:p>
    <w:p w14:paraId="3D18D34E" w14:textId="77777777" w:rsidR="00020E4F" w:rsidRPr="00020E4F" w:rsidRDefault="00020E4F" w:rsidP="00020E4F">
      <w:pPr>
        <w:numPr>
          <w:ilvl w:val="0"/>
          <w:numId w:val="1"/>
        </w:numPr>
      </w:pPr>
      <w:r w:rsidRPr="00020E4F">
        <w:rPr>
          <w:b/>
          <w:bCs/>
        </w:rPr>
        <w:t>Retaining Control Post-AIM Listing</w:t>
      </w:r>
      <w:r w:rsidRPr="00020E4F">
        <w:t> .................................. 4</w:t>
      </w:r>
    </w:p>
    <w:p w14:paraId="7C6F1C6B" w14:textId="77777777" w:rsidR="00020E4F" w:rsidRPr="00020E4F" w:rsidRDefault="00020E4F" w:rsidP="00020E4F">
      <w:pPr>
        <w:numPr>
          <w:ilvl w:val="0"/>
          <w:numId w:val="1"/>
        </w:numPr>
      </w:pPr>
      <w:r w:rsidRPr="00020E4F">
        <w:rPr>
          <w:b/>
          <w:bCs/>
        </w:rPr>
        <w:t>Directors’ Remuneration Structures</w:t>
      </w:r>
      <w:r w:rsidRPr="00020E4F">
        <w:t> ................................... 6</w:t>
      </w:r>
    </w:p>
    <w:p w14:paraId="4DA220D8" w14:textId="6C4FBBF4" w:rsidR="00020E4F" w:rsidRPr="00020E4F" w:rsidRDefault="00020E4F" w:rsidP="00020E4F">
      <w:pPr>
        <w:numPr>
          <w:ilvl w:val="0"/>
          <w:numId w:val="1"/>
        </w:numPr>
      </w:pPr>
      <w:r w:rsidRPr="00020E4F">
        <w:rPr>
          <w:b/>
          <w:bCs/>
        </w:rPr>
        <w:t>Institutional and Regulatory Differences for International Listing</w:t>
      </w:r>
      <w:r w:rsidRPr="00020E4F">
        <w:t> .... 7</w:t>
      </w:r>
    </w:p>
    <w:p w14:paraId="5FD2CE91" w14:textId="77777777" w:rsidR="00020E4F" w:rsidRPr="00020E4F" w:rsidRDefault="00020E4F" w:rsidP="00020E4F">
      <w:pPr>
        <w:numPr>
          <w:ilvl w:val="0"/>
          <w:numId w:val="1"/>
        </w:numPr>
      </w:pPr>
      <w:r w:rsidRPr="00020E4F">
        <w:rPr>
          <w:b/>
          <w:bCs/>
        </w:rPr>
        <w:t>Recommendations</w:t>
      </w:r>
      <w:r w:rsidRPr="00020E4F">
        <w:t> ......................................................... 10</w:t>
      </w:r>
    </w:p>
    <w:p w14:paraId="354B712F" w14:textId="77777777" w:rsidR="00020E4F" w:rsidRPr="00020E4F" w:rsidRDefault="00020E4F" w:rsidP="00020E4F">
      <w:pPr>
        <w:numPr>
          <w:ilvl w:val="0"/>
          <w:numId w:val="1"/>
        </w:numPr>
      </w:pPr>
      <w:r w:rsidRPr="00020E4F">
        <w:rPr>
          <w:b/>
          <w:bCs/>
        </w:rPr>
        <w:t>Conclusion</w:t>
      </w:r>
      <w:r w:rsidRPr="00020E4F">
        <w:t> .............................................................. 11</w:t>
      </w:r>
    </w:p>
    <w:p w14:paraId="2A41F01E" w14:textId="77777777" w:rsidR="00020E4F" w:rsidRPr="00020E4F" w:rsidRDefault="00020E4F" w:rsidP="00020E4F">
      <w:pPr>
        <w:numPr>
          <w:ilvl w:val="0"/>
          <w:numId w:val="1"/>
        </w:numPr>
      </w:pPr>
      <w:r w:rsidRPr="00020E4F">
        <w:rPr>
          <w:b/>
          <w:bCs/>
        </w:rPr>
        <w:t>References</w:t>
      </w:r>
      <w:r w:rsidRPr="00020E4F">
        <w:t> ............................................................... 12</w:t>
      </w:r>
    </w:p>
    <w:p w14:paraId="3EA572C9" w14:textId="67E513E0" w:rsidR="00020E4F" w:rsidRDefault="00020E4F" w:rsidP="00020E4F"/>
    <w:p w14:paraId="3F044AA7" w14:textId="77777777" w:rsidR="00020E4F" w:rsidRDefault="00020E4F" w:rsidP="00020E4F"/>
    <w:p w14:paraId="6F6B2631" w14:textId="77777777" w:rsidR="00020E4F" w:rsidRDefault="00020E4F" w:rsidP="00020E4F"/>
    <w:p w14:paraId="6698C725" w14:textId="77777777" w:rsidR="00020E4F" w:rsidRDefault="00020E4F" w:rsidP="00020E4F"/>
    <w:p w14:paraId="7DD189C1" w14:textId="77777777" w:rsidR="00020E4F" w:rsidRDefault="00020E4F" w:rsidP="00020E4F"/>
    <w:p w14:paraId="6691F053" w14:textId="77777777" w:rsidR="00020E4F" w:rsidRDefault="00020E4F" w:rsidP="00020E4F"/>
    <w:p w14:paraId="0CFAA00F" w14:textId="77777777" w:rsidR="00020E4F" w:rsidRDefault="00020E4F" w:rsidP="00020E4F"/>
    <w:p w14:paraId="404C8173" w14:textId="77777777" w:rsidR="00020E4F" w:rsidRDefault="00020E4F" w:rsidP="00020E4F"/>
    <w:p w14:paraId="24B4AF98" w14:textId="77777777" w:rsidR="00020E4F" w:rsidRDefault="00020E4F" w:rsidP="00020E4F"/>
    <w:p w14:paraId="07F720A3" w14:textId="77777777" w:rsidR="00020E4F" w:rsidRDefault="00020E4F" w:rsidP="00020E4F"/>
    <w:p w14:paraId="0B7415DA" w14:textId="77777777" w:rsidR="00020E4F" w:rsidRDefault="00020E4F" w:rsidP="00020E4F"/>
    <w:p w14:paraId="1218E839" w14:textId="77777777" w:rsidR="00020E4F" w:rsidRDefault="00020E4F" w:rsidP="00020E4F"/>
    <w:p w14:paraId="48E9D55A" w14:textId="77777777" w:rsidR="00020E4F" w:rsidRDefault="00020E4F" w:rsidP="00020E4F"/>
    <w:p w14:paraId="50FB27C2" w14:textId="77777777" w:rsidR="00020E4F" w:rsidRDefault="00020E4F" w:rsidP="00020E4F"/>
    <w:p w14:paraId="4FDEE77D" w14:textId="77777777" w:rsidR="00020E4F" w:rsidRDefault="00020E4F" w:rsidP="00020E4F"/>
    <w:p w14:paraId="46B757DA" w14:textId="77777777" w:rsidR="00020E4F" w:rsidRDefault="00020E4F" w:rsidP="00020E4F"/>
    <w:p w14:paraId="2824E1E5" w14:textId="77777777" w:rsidR="00020E4F" w:rsidRDefault="00020E4F" w:rsidP="00020E4F"/>
    <w:p w14:paraId="14D04431" w14:textId="77777777" w:rsidR="00020E4F" w:rsidRDefault="00020E4F" w:rsidP="00020E4F"/>
    <w:p w14:paraId="41C34C91" w14:textId="77777777" w:rsidR="00020E4F" w:rsidRDefault="00020E4F" w:rsidP="00020E4F"/>
    <w:p w14:paraId="1EB642A5" w14:textId="77777777" w:rsidR="00020E4F" w:rsidRDefault="00020E4F" w:rsidP="00020E4F"/>
    <w:p w14:paraId="70CB3920" w14:textId="77777777" w:rsidR="00020E4F" w:rsidRPr="00020E4F" w:rsidRDefault="00020E4F" w:rsidP="00020E4F"/>
    <w:p w14:paraId="6C315239" w14:textId="77777777" w:rsidR="00020E4F" w:rsidRPr="00020E4F" w:rsidRDefault="00020E4F" w:rsidP="00020E4F">
      <w:pPr>
        <w:rPr>
          <w:b/>
          <w:bCs/>
        </w:rPr>
      </w:pPr>
      <w:r w:rsidRPr="00020E4F">
        <w:rPr>
          <w:b/>
          <w:bCs/>
        </w:rPr>
        <w:lastRenderedPageBreak/>
        <w:t>1. Introduction</w:t>
      </w:r>
    </w:p>
    <w:p w14:paraId="3B2C404E" w14:textId="77777777" w:rsidR="00020E4F" w:rsidRPr="00020E4F" w:rsidRDefault="00020E4F" w:rsidP="00020E4F">
      <w:r w:rsidRPr="00020E4F">
        <w:t>STF Cleaning and Construction Limited (hereafter STF) is a family-owned business with a strong local presence in the UK. The company has decided to pursue an initial public offering (IPO) on the AIM market of the London Stock Exchange to facilitate growth, attract external investment, and expand its operations internationally. Given the familial ownership structure and the planned dilution of ownership, the company’s Board faces complex governance challenges, including maintaining control, ensuring effective oversight, and aligning management incentives with shareholder objectives.</w:t>
      </w:r>
    </w:p>
    <w:p w14:paraId="2BABC3E2" w14:textId="77777777" w:rsidR="00020E4F" w:rsidRPr="00020E4F" w:rsidRDefault="00020E4F" w:rsidP="00020E4F">
      <w:r w:rsidRPr="00020E4F">
        <w:t>This report provides a comprehensive analysis of key governance concepts, strategic control mechanisms, remuneration policies, and institutional differences that STF must consider as it transitions into a publicly traded company and potentially relocates its headquarters to Shanghai or the Netherlands. The aim is to equip the Board with informed, practical recommendations aligned with international best practices.</w:t>
      </w:r>
    </w:p>
    <w:p w14:paraId="77867CE1" w14:textId="56BB2680" w:rsidR="00020E4F" w:rsidRPr="00020E4F" w:rsidRDefault="00020E4F" w:rsidP="00020E4F"/>
    <w:p w14:paraId="7D71C463" w14:textId="77777777" w:rsidR="00020E4F" w:rsidRPr="00020E4F" w:rsidRDefault="00020E4F" w:rsidP="00020E4F">
      <w:pPr>
        <w:rPr>
          <w:b/>
          <w:bCs/>
        </w:rPr>
      </w:pPr>
      <w:r w:rsidRPr="00020E4F">
        <w:rPr>
          <w:b/>
          <w:bCs/>
        </w:rPr>
        <w:t>2. Corporate Governance and Agency Theory: Concepts and Significance</w:t>
      </w:r>
    </w:p>
    <w:p w14:paraId="10880586" w14:textId="77777777" w:rsidR="00020E4F" w:rsidRPr="00020E4F" w:rsidRDefault="00020E4F" w:rsidP="00020E4F">
      <w:pPr>
        <w:rPr>
          <w:b/>
          <w:bCs/>
        </w:rPr>
      </w:pPr>
      <w:r w:rsidRPr="00020E4F">
        <w:rPr>
          <w:b/>
          <w:bCs/>
        </w:rPr>
        <w:t>2.1 Corporate Governance</w:t>
      </w:r>
    </w:p>
    <w:p w14:paraId="4D48AD63" w14:textId="77777777" w:rsidR="00020E4F" w:rsidRPr="00020E4F" w:rsidRDefault="00020E4F" w:rsidP="00020E4F">
      <w:r w:rsidRPr="00020E4F">
        <w:t>Corporate governance encompasses the frameworks, processes, and mechanisms that steer and control a company to achieve its objectives while safeguarding stakeholder interests (Cadbury, 1992). Effective governance ensures transparency, accountability, and fairness, thereby fostering investor confidence and sustainable growth (FRC, 2018).</w:t>
      </w:r>
    </w:p>
    <w:p w14:paraId="78308248" w14:textId="77777777" w:rsidR="00020E4F" w:rsidRPr="00020E4F" w:rsidRDefault="00020E4F" w:rsidP="00020E4F">
      <w:r w:rsidRPr="00020E4F">
        <w:t>In the UK, corporate governance is primarily guided by the UK Corporate Governance Code, which emphasizes the role of the Board, independence, shareholder rights, and stakeholder engagement (FRC, 2018). Effective governance mitigates risks associated with mismanagement, fraud, and conflicts of interest—especially critical during the transition to a public company with dispersed ownership (Mallin, 2019).</w:t>
      </w:r>
    </w:p>
    <w:p w14:paraId="780303C2" w14:textId="77777777" w:rsidR="00020E4F" w:rsidRPr="00020E4F" w:rsidRDefault="00020E4F" w:rsidP="00020E4F">
      <w:pPr>
        <w:rPr>
          <w:b/>
          <w:bCs/>
        </w:rPr>
      </w:pPr>
      <w:r w:rsidRPr="00020E4F">
        <w:rPr>
          <w:b/>
          <w:bCs/>
        </w:rPr>
        <w:t>2.2 Agency Theory</w:t>
      </w:r>
    </w:p>
    <w:p w14:paraId="26B41035" w14:textId="77777777" w:rsidR="00020E4F" w:rsidRPr="00020E4F" w:rsidRDefault="00020E4F" w:rsidP="00020E4F">
      <w:r w:rsidRPr="00020E4F">
        <w:t>Agency theory explains the relationship between owners (principals) and managers (agents) (Jensen &amp; Meckling, 1976). It suggests that managers may pursue personal goals that conflict with shareholder interests, leading to agency costs such as excessive executive compensation, inefficient decision-making, or risk aversion.</w:t>
      </w:r>
    </w:p>
    <w:p w14:paraId="64DE75ED" w14:textId="77777777" w:rsidR="00020E4F" w:rsidRPr="00020E4F" w:rsidRDefault="00020E4F" w:rsidP="00020E4F">
      <w:r w:rsidRPr="00020E4F">
        <w:t>For family firms like STF seeking public listing, agency problems may be exacerbated by the divergence of interests between the family owners and external shareholders. These conflicts necessitate governance mechanisms—such as incentive alignment, monitoring, and independent oversight—to ensure that management acts in shareholders' best interests (Eisenhardt, 1989). Properly addressing agency issues is vital for attracting investment while maintaining control.</w:t>
      </w:r>
    </w:p>
    <w:p w14:paraId="455EF989" w14:textId="4DBA5B91" w:rsidR="00020E4F" w:rsidRDefault="00020E4F" w:rsidP="00020E4F"/>
    <w:p w14:paraId="1984F800" w14:textId="77777777" w:rsidR="00020E4F" w:rsidRDefault="00020E4F" w:rsidP="00020E4F"/>
    <w:p w14:paraId="0E70BD20" w14:textId="77777777" w:rsidR="00020E4F" w:rsidRDefault="00020E4F" w:rsidP="00020E4F"/>
    <w:p w14:paraId="1FBEDEC2" w14:textId="77777777" w:rsidR="00020E4F" w:rsidRPr="00020E4F" w:rsidRDefault="00020E4F" w:rsidP="00020E4F"/>
    <w:p w14:paraId="6797E0F2" w14:textId="77777777" w:rsidR="00020E4F" w:rsidRPr="00020E4F" w:rsidRDefault="00020E4F" w:rsidP="00020E4F">
      <w:pPr>
        <w:rPr>
          <w:b/>
          <w:bCs/>
        </w:rPr>
      </w:pPr>
      <w:r w:rsidRPr="00020E4F">
        <w:rPr>
          <w:b/>
          <w:bCs/>
        </w:rPr>
        <w:lastRenderedPageBreak/>
        <w:t>3. Retaining Control Post-AIM Listing</w:t>
      </w:r>
    </w:p>
    <w:p w14:paraId="489D9E7F" w14:textId="77777777" w:rsidR="00020E4F" w:rsidRPr="00020E4F" w:rsidRDefault="00020E4F" w:rsidP="00020E4F">
      <w:r w:rsidRPr="00020E4F">
        <w:t>The transition from a family-controlled private entity to a publicly traded company will dilute STF’s ownership stake from 100% to approximately 30%, with external investors acquiring 70%. Preserving family control in this context requires strategic structural arrangements.</w:t>
      </w:r>
    </w:p>
    <w:p w14:paraId="61D64E45" w14:textId="77777777" w:rsidR="00020E4F" w:rsidRPr="00020E4F" w:rsidRDefault="00020E4F" w:rsidP="00020E4F">
      <w:pPr>
        <w:rPr>
          <w:b/>
          <w:bCs/>
        </w:rPr>
      </w:pPr>
      <w:r w:rsidRPr="00020E4F">
        <w:rPr>
          <w:b/>
          <w:bCs/>
        </w:rPr>
        <w:t>3.1 Shareholder Agreements and Voting Arrangements</w:t>
      </w:r>
    </w:p>
    <w:p w14:paraId="758588A0" w14:textId="77777777" w:rsidR="00020E4F" w:rsidRPr="00020E4F" w:rsidRDefault="00020E4F" w:rsidP="00020E4F">
      <w:r w:rsidRPr="00020E4F">
        <w:t>Legal agreements can specify voting rights, decision-making processes, and restrictions on share transfers (Bebchuk &amp; Kastner, 2017). For example, the family can execute voting agreements that bind external investors to vote in line with the family’s interests, provided such arrangements are permissible under the jurisdiction’s laws.</w:t>
      </w:r>
    </w:p>
    <w:p w14:paraId="1ED760FB" w14:textId="77777777" w:rsidR="00020E4F" w:rsidRPr="00020E4F" w:rsidRDefault="00020E4F" w:rsidP="00020E4F">
      <w:pPr>
        <w:rPr>
          <w:b/>
          <w:bCs/>
        </w:rPr>
      </w:pPr>
      <w:r w:rsidRPr="00020E4F">
        <w:rPr>
          <w:b/>
          <w:bCs/>
        </w:rPr>
        <w:t>3.2 Dual-Class Share Structures</w:t>
      </w:r>
    </w:p>
    <w:p w14:paraId="47B04497" w14:textId="77777777" w:rsidR="00020E4F" w:rsidRPr="00020E4F" w:rsidRDefault="00020E4F" w:rsidP="00020E4F">
      <w:r w:rsidRPr="00020E4F">
        <w:t>A common approach among family firms is issuing dual-class shares, where one class carries superior voting rights (e.g., 10 votes per share) while the other class has limited or no voting rights. This structure allows the family to retain control despite owning a minority economic stake (Bebchuk &amp; Kastner, 2017). It is widely used in companies like Google and Facebook to preserve founder and family influence.</w:t>
      </w:r>
    </w:p>
    <w:p w14:paraId="504432AA" w14:textId="77777777" w:rsidR="00020E4F" w:rsidRPr="00020E4F" w:rsidRDefault="00020E4F" w:rsidP="00020E4F">
      <w:pPr>
        <w:rPr>
          <w:b/>
          <w:bCs/>
        </w:rPr>
      </w:pPr>
      <w:r w:rsidRPr="00020E4F">
        <w:rPr>
          <w:b/>
          <w:bCs/>
        </w:rPr>
        <w:t>3.3 Board Control and Reserved Seats</w:t>
      </w:r>
    </w:p>
    <w:p w14:paraId="63588D7B" w14:textId="77777777" w:rsidR="00020E4F" w:rsidRPr="00020E4F" w:rsidRDefault="00020E4F" w:rsidP="00020E4F">
      <w:r w:rsidRPr="00020E4F">
        <w:t>Securing reserved positions on the Board of Directors or establishing veto rights over key decisions (e.g., strategic mergers, amendments to the Articles of Association) can help maintain control. Such provisions are often embedded in the company’s Articles or shareholders’ agreements (Mallin, 2019).</w:t>
      </w:r>
    </w:p>
    <w:p w14:paraId="57388CD6" w14:textId="77777777" w:rsidR="00020E4F" w:rsidRPr="00020E4F" w:rsidRDefault="00020E4F" w:rsidP="00020E4F">
      <w:pPr>
        <w:rPr>
          <w:b/>
          <w:bCs/>
        </w:rPr>
      </w:pPr>
      <w:r w:rsidRPr="00020E4F">
        <w:rPr>
          <w:b/>
          <w:bCs/>
        </w:rPr>
        <w:t>3.4 Share Pledges and Voting Trusts</w:t>
      </w:r>
    </w:p>
    <w:p w14:paraId="2F7FCFD3" w14:textId="77777777" w:rsidR="00020E4F" w:rsidRPr="00020E4F" w:rsidRDefault="00020E4F" w:rsidP="00020E4F">
      <w:r w:rsidRPr="00020E4F">
        <w:t>Using shares as collateral or pledging them to family members or trusted entities can reinforce control. Voting trusts can delegate voting rights to a trusted party who aligns with family interests (Clarke &amp; Branson, 2018).</w:t>
      </w:r>
    </w:p>
    <w:p w14:paraId="5554A293" w14:textId="77777777" w:rsidR="00020E4F" w:rsidRPr="00020E4F" w:rsidRDefault="00020E4F" w:rsidP="00020E4F">
      <w:pPr>
        <w:rPr>
          <w:b/>
          <w:bCs/>
        </w:rPr>
      </w:pPr>
      <w:r w:rsidRPr="00020E4F">
        <w:rPr>
          <w:b/>
          <w:bCs/>
        </w:rPr>
        <w:t>3.5 Strategic Considerations</w:t>
      </w:r>
    </w:p>
    <w:p w14:paraId="2AEDC1D6" w14:textId="77777777" w:rsidR="00020E4F" w:rsidRPr="00020E4F" w:rsidRDefault="00020E4F" w:rsidP="00020E4F">
      <w:r w:rsidRPr="00020E4F">
        <w:t>While dual-class shares and control mechanisms can safeguard control, they may attract criticism from institutional investors and face regulatory scrutiny, particularly in jurisdictions like the EU or the US. Therefore, STF must balance control retention with investor attractiveness and regulatory compliance.</w:t>
      </w:r>
    </w:p>
    <w:p w14:paraId="2A89F5C2" w14:textId="77777777" w:rsidR="00020E4F" w:rsidRDefault="00020E4F" w:rsidP="00020E4F">
      <w:pPr>
        <w:rPr>
          <w:b/>
          <w:bCs/>
        </w:rPr>
      </w:pPr>
    </w:p>
    <w:p w14:paraId="3DB08C8C" w14:textId="77777777" w:rsidR="00020E4F" w:rsidRDefault="00020E4F" w:rsidP="00020E4F">
      <w:pPr>
        <w:rPr>
          <w:b/>
          <w:bCs/>
        </w:rPr>
      </w:pPr>
    </w:p>
    <w:p w14:paraId="3528E89E" w14:textId="77777777" w:rsidR="00020E4F" w:rsidRDefault="00020E4F" w:rsidP="00020E4F">
      <w:pPr>
        <w:rPr>
          <w:b/>
          <w:bCs/>
        </w:rPr>
      </w:pPr>
    </w:p>
    <w:p w14:paraId="691947DE" w14:textId="77777777" w:rsidR="00020E4F" w:rsidRDefault="00020E4F" w:rsidP="00020E4F">
      <w:pPr>
        <w:rPr>
          <w:b/>
          <w:bCs/>
        </w:rPr>
      </w:pPr>
    </w:p>
    <w:p w14:paraId="7F0A7EDE" w14:textId="77777777" w:rsidR="00020E4F" w:rsidRDefault="00020E4F" w:rsidP="00020E4F">
      <w:pPr>
        <w:rPr>
          <w:b/>
          <w:bCs/>
        </w:rPr>
      </w:pPr>
    </w:p>
    <w:p w14:paraId="562C8369" w14:textId="77777777" w:rsidR="00020E4F" w:rsidRDefault="00020E4F" w:rsidP="00020E4F">
      <w:pPr>
        <w:rPr>
          <w:b/>
          <w:bCs/>
        </w:rPr>
      </w:pPr>
    </w:p>
    <w:p w14:paraId="7805D291" w14:textId="77777777" w:rsidR="00020E4F" w:rsidRDefault="00020E4F" w:rsidP="00020E4F">
      <w:pPr>
        <w:rPr>
          <w:b/>
          <w:bCs/>
        </w:rPr>
      </w:pPr>
    </w:p>
    <w:p w14:paraId="69416EE8" w14:textId="77777777" w:rsidR="00020E4F" w:rsidRDefault="00020E4F" w:rsidP="00020E4F"/>
    <w:p w14:paraId="456FE5BB" w14:textId="44D98EA0" w:rsidR="00020E4F" w:rsidRPr="00020E4F" w:rsidRDefault="00020E4F" w:rsidP="00020E4F">
      <w:pPr>
        <w:rPr>
          <w:b/>
          <w:bCs/>
        </w:rPr>
      </w:pPr>
      <w:r w:rsidRPr="00020E4F">
        <w:rPr>
          <w:b/>
          <w:bCs/>
        </w:rPr>
        <w:lastRenderedPageBreak/>
        <w:t>4. Directors’ Remuneration Structures</w:t>
      </w:r>
    </w:p>
    <w:p w14:paraId="70CD06A8" w14:textId="77777777" w:rsidR="00020E4F" w:rsidRPr="00020E4F" w:rsidRDefault="00020E4F" w:rsidP="00020E4F">
      <w:r w:rsidRPr="00020E4F">
        <w:t>Aligning executive and director incentives with the company’s long-term strategic goals is critical, especially following an IPO.</w:t>
      </w:r>
    </w:p>
    <w:p w14:paraId="04853F11" w14:textId="77777777" w:rsidR="00020E4F" w:rsidRPr="00020E4F" w:rsidRDefault="00020E4F" w:rsidP="00020E4F">
      <w:pPr>
        <w:rPr>
          <w:b/>
          <w:bCs/>
        </w:rPr>
      </w:pPr>
      <w:r w:rsidRPr="00020E4F">
        <w:rPr>
          <w:b/>
          <w:bCs/>
        </w:rPr>
        <w:t>4.1 Components of Remuneration</w:t>
      </w:r>
    </w:p>
    <w:p w14:paraId="06D10F2D" w14:textId="77777777" w:rsidR="00020E4F" w:rsidRPr="00020E4F" w:rsidRDefault="00020E4F" w:rsidP="00020E4F">
      <w:pPr>
        <w:numPr>
          <w:ilvl w:val="0"/>
          <w:numId w:val="2"/>
        </w:numPr>
      </w:pPr>
      <w:r w:rsidRPr="00020E4F">
        <w:rPr>
          <w:b/>
          <w:bCs/>
        </w:rPr>
        <w:t>Fixed Salary:</w:t>
      </w:r>
      <w:r w:rsidRPr="00020E4F">
        <w:t> Provides stability and reflects experience and market benchmarks (FRC, 2018).</w:t>
      </w:r>
    </w:p>
    <w:p w14:paraId="1D3FD3F8" w14:textId="77777777" w:rsidR="00020E4F" w:rsidRPr="00020E4F" w:rsidRDefault="00020E4F" w:rsidP="00020E4F">
      <w:pPr>
        <w:numPr>
          <w:ilvl w:val="0"/>
          <w:numId w:val="2"/>
        </w:numPr>
      </w:pPr>
      <w:r w:rsidRPr="00020E4F">
        <w:rPr>
          <w:b/>
          <w:bCs/>
        </w:rPr>
        <w:t>Performance-based Incentives:</w:t>
      </w:r>
      <w:r w:rsidRPr="00020E4F">
        <w:t> Bonuses tied to financial metrics such as revenue growth, profitability, or operational efficiency; and non-financial metrics like customer satisfaction (Tricker, 2019).</w:t>
      </w:r>
    </w:p>
    <w:p w14:paraId="34B3816C" w14:textId="77777777" w:rsidR="00020E4F" w:rsidRPr="00020E4F" w:rsidRDefault="00020E4F" w:rsidP="00020E4F">
      <w:pPr>
        <w:numPr>
          <w:ilvl w:val="0"/>
          <w:numId w:val="2"/>
        </w:numPr>
      </w:pPr>
      <w:r w:rsidRPr="00020E4F">
        <w:rPr>
          <w:b/>
          <w:bCs/>
        </w:rPr>
        <w:t>Equity-based Compensation:</w:t>
      </w:r>
      <w:r w:rsidRPr="00020E4F">
        <w:t> Stock options, restricted shares, or performance shares to motivate long-term value creation (FRC, 2018).</w:t>
      </w:r>
    </w:p>
    <w:p w14:paraId="6578EC24" w14:textId="77777777" w:rsidR="00020E4F" w:rsidRPr="00020E4F" w:rsidRDefault="00020E4F" w:rsidP="00020E4F">
      <w:pPr>
        <w:numPr>
          <w:ilvl w:val="0"/>
          <w:numId w:val="2"/>
        </w:numPr>
      </w:pPr>
      <w:r w:rsidRPr="00020E4F">
        <w:rPr>
          <w:b/>
          <w:bCs/>
        </w:rPr>
        <w:t>Long-term Incentive Plans (LTIPs):</w:t>
      </w:r>
      <w:r w:rsidRPr="00020E4F">
        <w:t> Designed to align managers' interests with shareholders over multi-year periods (OECD, 2015).</w:t>
      </w:r>
    </w:p>
    <w:p w14:paraId="6B080E19" w14:textId="77777777" w:rsidR="00020E4F" w:rsidRPr="00020E4F" w:rsidRDefault="00020E4F" w:rsidP="00020E4F">
      <w:pPr>
        <w:numPr>
          <w:ilvl w:val="0"/>
          <w:numId w:val="2"/>
        </w:numPr>
      </w:pPr>
      <w:r w:rsidRPr="00020E4F">
        <w:rPr>
          <w:b/>
          <w:bCs/>
        </w:rPr>
        <w:t>Clawback Provisions:</w:t>
      </w:r>
      <w:r w:rsidRPr="00020E4F">
        <w:t> To recover bonuses or share awards if misconduct or misstatement occurs (FRC, 2018).</w:t>
      </w:r>
    </w:p>
    <w:p w14:paraId="2F11B9F0" w14:textId="77777777" w:rsidR="00020E4F" w:rsidRPr="00020E4F" w:rsidRDefault="00020E4F" w:rsidP="00020E4F">
      <w:pPr>
        <w:rPr>
          <w:b/>
          <w:bCs/>
        </w:rPr>
      </w:pPr>
      <w:r w:rsidRPr="00020E4F">
        <w:rPr>
          <w:b/>
          <w:bCs/>
        </w:rPr>
        <w:t>4.2 Governance and Fairness</w:t>
      </w:r>
    </w:p>
    <w:p w14:paraId="5616F28B" w14:textId="77777777" w:rsidR="00020E4F" w:rsidRPr="00020E4F" w:rsidRDefault="00020E4F" w:rsidP="00020E4F">
      <w:r w:rsidRPr="00020E4F">
        <w:t>The remuneration policy should be overseen by an independent Remuneration Committee, ensuring transparency and fairness. Disclosures should comply with AIM listing rules and UK best practices, including clear communication of remuneration policies to shareholders (Tricker, 2019).</w:t>
      </w:r>
    </w:p>
    <w:p w14:paraId="4963ADD7" w14:textId="77777777" w:rsidR="00020E4F" w:rsidRPr="00020E4F" w:rsidRDefault="00020E4F" w:rsidP="00020E4F">
      <w:pPr>
        <w:rPr>
          <w:b/>
          <w:bCs/>
        </w:rPr>
      </w:pPr>
      <w:r w:rsidRPr="00020E4F">
        <w:rPr>
          <w:b/>
          <w:bCs/>
        </w:rPr>
        <w:t>4.3 International Context</w:t>
      </w:r>
    </w:p>
    <w:p w14:paraId="1010E7CD" w14:textId="77777777" w:rsidR="00020E4F" w:rsidRPr="00020E4F" w:rsidRDefault="00020E4F" w:rsidP="00020E4F">
      <w:r w:rsidRPr="00020E4F">
        <w:t>If STF considers international listings, remuneration structures must also comply with local regulations. For example, the Netherlands emphasizes shareholder approval for variable pay, while Chinese regulations impose stricter oversight over executive compensation (OECD, 2015).</w:t>
      </w:r>
    </w:p>
    <w:p w14:paraId="5D924F79" w14:textId="77777777" w:rsidR="00020E4F" w:rsidRPr="00020E4F" w:rsidRDefault="00020E4F" w:rsidP="00020E4F">
      <w:r w:rsidRPr="00020E4F">
        <w:pict w14:anchorId="6B634E15">
          <v:rect id="_x0000_i1030" style="width:0;height:1.5pt" o:hralign="center" o:hrstd="t" o:hrnoshade="t" o:hr="t" stroked="f"/>
        </w:pict>
      </w:r>
    </w:p>
    <w:p w14:paraId="50FFB9E2" w14:textId="77777777" w:rsidR="00020E4F" w:rsidRPr="00020E4F" w:rsidRDefault="00020E4F" w:rsidP="00020E4F">
      <w:pPr>
        <w:rPr>
          <w:b/>
          <w:bCs/>
        </w:rPr>
      </w:pPr>
      <w:r w:rsidRPr="00020E4F">
        <w:rPr>
          <w:b/>
          <w:bCs/>
        </w:rPr>
        <w:t>5. Institutional and Regulatory Differences for International Listing</w:t>
      </w:r>
    </w:p>
    <w:p w14:paraId="7D8B06A3" w14:textId="77777777" w:rsidR="00020E4F" w:rsidRPr="00020E4F" w:rsidRDefault="00020E4F" w:rsidP="00020E4F">
      <w:pPr>
        <w:rPr>
          <w:b/>
          <w:bCs/>
        </w:rPr>
      </w:pPr>
      <w:r w:rsidRPr="00020E4F">
        <w:rPr>
          <w:b/>
          <w:bCs/>
        </w:rPr>
        <w:t>5.1 UK Regulations (Current)</w:t>
      </w:r>
    </w:p>
    <w:p w14:paraId="598A9EDD" w14:textId="77777777" w:rsidR="00020E4F" w:rsidRPr="00020E4F" w:rsidRDefault="00020E4F" w:rsidP="00020E4F">
      <w:r w:rsidRPr="00020E4F">
        <w:t>The UK’s AIM market requires companies to adhere to the AIM Rules and the UK Corporate Governance Code. These emphasize transparency, risk management, shareholder engagement, and independent Board oversight (LSE, 2020). Companies must publish annual reports, disclose related-party transactions, and adhere to strict listing standards.</w:t>
      </w:r>
    </w:p>
    <w:p w14:paraId="35FD63AB" w14:textId="77777777" w:rsidR="00020E4F" w:rsidRPr="00020E4F" w:rsidRDefault="00020E4F" w:rsidP="00020E4F">
      <w:pPr>
        <w:rPr>
          <w:b/>
          <w:bCs/>
        </w:rPr>
      </w:pPr>
      <w:r w:rsidRPr="00020E4F">
        <w:rPr>
          <w:b/>
          <w:bCs/>
        </w:rPr>
        <w:t>5.2 Shanghai Regulations</w:t>
      </w:r>
    </w:p>
    <w:p w14:paraId="54E579BA" w14:textId="77777777" w:rsidR="00020E4F" w:rsidRDefault="00020E4F" w:rsidP="00020E4F">
      <w:r w:rsidRPr="00020E4F">
        <w:t>The Chinese regulatory environment is characterized by extensive state oversight, with the CSRC enforcing strict rules to protect social stability and national interests (CSRC, 2020). Dual-class share structures are generally discouraged, and foreign ownership restrictions are significant. Listing standards require approval from Chinese authorities, and reporting is heavily regulated (Wang, 2018).</w:t>
      </w:r>
    </w:p>
    <w:p w14:paraId="15DC6798" w14:textId="77777777" w:rsidR="00020E4F" w:rsidRPr="00020E4F" w:rsidRDefault="00020E4F" w:rsidP="00020E4F"/>
    <w:p w14:paraId="027BAFE9" w14:textId="77777777" w:rsidR="00020E4F" w:rsidRPr="00020E4F" w:rsidRDefault="00020E4F" w:rsidP="00020E4F">
      <w:pPr>
        <w:rPr>
          <w:b/>
          <w:bCs/>
        </w:rPr>
      </w:pPr>
      <w:r w:rsidRPr="00020E4F">
        <w:rPr>
          <w:b/>
          <w:bCs/>
        </w:rPr>
        <w:lastRenderedPageBreak/>
        <w:t>5.3 Netherlands Regulations</w:t>
      </w:r>
    </w:p>
    <w:p w14:paraId="5E18413A" w14:textId="77777777" w:rsidR="00020E4F" w:rsidRPr="00020E4F" w:rsidRDefault="00020E4F" w:rsidP="00020E4F">
      <w:r w:rsidRPr="00020E4F">
        <w:t>The Dutch regulatory framework offers a more flexible environment aligned with international standards. The Dutch Civil Code allows for dual-class shares and shareholder voting agreements, with strong investor protection mechanisms (Dutch Civil Code, 2020). The AFM enforces transparency and disclosure requirements similar to those in the UK but with more flexibility for innovative governance arrangements.</w:t>
      </w:r>
    </w:p>
    <w:p w14:paraId="638B4821" w14:textId="77777777" w:rsidR="00020E4F" w:rsidRPr="00020E4F" w:rsidRDefault="00020E4F" w:rsidP="00020E4F">
      <w:pPr>
        <w:rPr>
          <w:b/>
          <w:bCs/>
        </w:rPr>
      </w:pPr>
      <w:r w:rsidRPr="00020E4F">
        <w:rPr>
          <w:b/>
          <w:bCs/>
        </w:rPr>
        <w:t>5.4 Key Institutional Considerations</w:t>
      </w:r>
    </w:p>
    <w:p w14:paraId="715B06B5" w14:textId="77777777" w:rsidR="00020E4F" w:rsidRPr="00020E4F" w:rsidRDefault="00020E4F" w:rsidP="00020E4F">
      <w:pPr>
        <w:numPr>
          <w:ilvl w:val="0"/>
          <w:numId w:val="3"/>
        </w:numPr>
      </w:pPr>
      <w:r w:rsidRPr="00020E4F">
        <w:rPr>
          <w:b/>
          <w:bCs/>
        </w:rPr>
        <w:t>Legal Environment:</w:t>
      </w:r>
      <w:r w:rsidRPr="00020E4F">
        <w:t> The Netherlands provides a conducive environment for maintaining family control with flexible governance structures.</w:t>
      </w:r>
    </w:p>
    <w:p w14:paraId="4C1D3D19" w14:textId="77777777" w:rsidR="00020E4F" w:rsidRPr="00020E4F" w:rsidRDefault="00020E4F" w:rsidP="00020E4F">
      <w:pPr>
        <w:numPr>
          <w:ilvl w:val="0"/>
          <w:numId w:val="3"/>
        </w:numPr>
      </w:pPr>
      <w:r w:rsidRPr="00020E4F">
        <w:rPr>
          <w:b/>
          <w:bCs/>
        </w:rPr>
        <w:t>Regulatory Stringency:</w:t>
      </w:r>
      <w:r w:rsidRPr="00020E4F">
        <w:t> China’s regulatory regime is more restrictive, emphasizing state control and limiting certain ownership structures.</w:t>
      </w:r>
    </w:p>
    <w:p w14:paraId="18BDBEED" w14:textId="77777777" w:rsidR="00020E4F" w:rsidRPr="00020E4F" w:rsidRDefault="00020E4F" w:rsidP="00020E4F">
      <w:pPr>
        <w:numPr>
          <w:ilvl w:val="0"/>
          <w:numId w:val="3"/>
        </w:numPr>
      </w:pPr>
      <w:r w:rsidRPr="00020E4F">
        <w:rPr>
          <w:b/>
          <w:bCs/>
        </w:rPr>
        <w:t>Cultural Factors:</w:t>
      </w:r>
      <w:r w:rsidRPr="00020E4F">
        <w:t> Cultural attitudes toward corporate governance and control differ, influencing investor trust and acceptance.</w:t>
      </w:r>
    </w:p>
    <w:p w14:paraId="6B107F8B" w14:textId="437EF2CF" w:rsidR="00020E4F" w:rsidRPr="00020E4F" w:rsidRDefault="00020E4F" w:rsidP="00020E4F"/>
    <w:p w14:paraId="72F9DD19" w14:textId="77777777" w:rsidR="00020E4F" w:rsidRPr="00020E4F" w:rsidRDefault="00020E4F" w:rsidP="00020E4F">
      <w:pPr>
        <w:rPr>
          <w:b/>
          <w:bCs/>
        </w:rPr>
      </w:pPr>
      <w:r w:rsidRPr="00020E4F">
        <w:rPr>
          <w:b/>
          <w:bCs/>
        </w:rPr>
        <w:t>6. Recommendations</w:t>
      </w:r>
    </w:p>
    <w:p w14:paraId="76A3ED9B" w14:textId="77777777" w:rsidR="00020E4F" w:rsidRPr="00020E4F" w:rsidRDefault="00020E4F" w:rsidP="00020E4F">
      <w:pPr>
        <w:numPr>
          <w:ilvl w:val="0"/>
          <w:numId w:val="4"/>
        </w:numPr>
      </w:pPr>
      <w:r w:rsidRPr="00020E4F">
        <w:rPr>
          <w:b/>
          <w:bCs/>
        </w:rPr>
        <w:t>Implement a Dual-Class Share Structure:</w:t>
      </w:r>
      <w:r w:rsidRPr="00020E4F">
        <w:t xml:space="preserve"> To preserve voting control in the UK and Netherlands, enabling the family to retain strategic influence while attracting external capital (Bebchuk &amp; Kastner, 2017).</w:t>
      </w:r>
    </w:p>
    <w:p w14:paraId="09DF584F" w14:textId="77777777" w:rsidR="00020E4F" w:rsidRPr="00020E4F" w:rsidRDefault="00020E4F" w:rsidP="00020E4F">
      <w:pPr>
        <w:numPr>
          <w:ilvl w:val="0"/>
          <w:numId w:val="4"/>
        </w:numPr>
      </w:pPr>
      <w:r w:rsidRPr="00020E4F">
        <w:rPr>
          <w:b/>
          <w:bCs/>
        </w:rPr>
        <w:t>Formalize Shareholder and Voting Agreements:</w:t>
      </w:r>
      <w:r w:rsidRPr="00020E4F">
        <w:t xml:space="preserve"> To clearly define control rights, voting patterns, and dispute resolution mechanisms (Clarke &amp; Branson, 2018).</w:t>
      </w:r>
    </w:p>
    <w:p w14:paraId="584B920F" w14:textId="77777777" w:rsidR="00020E4F" w:rsidRPr="00020E4F" w:rsidRDefault="00020E4F" w:rsidP="00020E4F">
      <w:pPr>
        <w:numPr>
          <w:ilvl w:val="0"/>
          <w:numId w:val="4"/>
        </w:numPr>
      </w:pPr>
      <w:r w:rsidRPr="00020E4F">
        <w:rPr>
          <w:b/>
          <w:bCs/>
        </w:rPr>
        <w:t>Enhance Corporate Governance Practices:</w:t>
      </w:r>
      <w:r w:rsidRPr="00020E4F">
        <w:t xml:space="preserve"> Establish independent Board committees, improve transparency, and strengthen internal controls to meet AIM standards and international best practices (FRC, 2018).</w:t>
      </w:r>
    </w:p>
    <w:p w14:paraId="662F2E9A" w14:textId="77777777" w:rsidR="00020E4F" w:rsidRPr="00020E4F" w:rsidRDefault="00020E4F" w:rsidP="00020E4F">
      <w:pPr>
        <w:numPr>
          <w:ilvl w:val="0"/>
          <w:numId w:val="4"/>
        </w:numPr>
      </w:pPr>
      <w:r w:rsidRPr="00020E4F">
        <w:rPr>
          <w:b/>
          <w:bCs/>
        </w:rPr>
        <w:t>Design a Fair and Transparent Remuneration Policy:</w:t>
      </w:r>
      <w:r w:rsidRPr="00020E4F">
        <w:t xml:space="preserve"> Incorporate short-term and long-term incentives aligned with company performance, overseen by an independent Remuneration Committee (OECD, 2015).</w:t>
      </w:r>
    </w:p>
    <w:p w14:paraId="3B1BAC07" w14:textId="77777777" w:rsidR="00020E4F" w:rsidRPr="00020E4F" w:rsidRDefault="00020E4F" w:rsidP="00020E4F">
      <w:pPr>
        <w:numPr>
          <w:ilvl w:val="0"/>
          <w:numId w:val="4"/>
        </w:numPr>
      </w:pPr>
      <w:r w:rsidRPr="00020E4F">
        <w:rPr>
          <w:b/>
          <w:bCs/>
        </w:rPr>
        <w:t>Conduct a Thorough Regulatory and Institutional Analysis:</w:t>
      </w:r>
      <w:r w:rsidRPr="00020E4F">
        <w:t xml:space="preserve"> Prior to international expansion, assess legal frameworks, ownership restrictions, and cultural factors in Shanghai and the Netherlands.</w:t>
      </w:r>
    </w:p>
    <w:p w14:paraId="2FA35978" w14:textId="77777777" w:rsidR="00020E4F" w:rsidRPr="00020E4F" w:rsidRDefault="00020E4F" w:rsidP="00020E4F">
      <w:pPr>
        <w:numPr>
          <w:ilvl w:val="0"/>
          <w:numId w:val="4"/>
        </w:numPr>
      </w:pPr>
      <w:r w:rsidRPr="00020E4F">
        <w:rPr>
          <w:b/>
          <w:bCs/>
        </w:rPr>
        <w:t>Engage Local Legal and Financial Advisors:</w:t>
      </w:r>
      <w:r w:rsidRPr="00020E4F">
        <w:t xml:space="preserve"> To navigate jurisdiction-specific regulations and ensure compliance with listing requirements.</w:t>
      </w:r>
    </w:p>
    <w:p w14:paraId="28AC0AAA" w14:textId="77777777" w:rsidR="00020E4F" w:rsidRPr="00020E4F" w:rsidRDefault="00020E4F" w:rsidP="00020E4F">
      <w:pPr>
        <w:numPr>
          <w:ilvl w:val="0"/>
          <w:numId w:val="4"/>
        </w:numPr>
      </w:pPr>
      <w:r w:rsidRPr="00020E4F">
        <w:rPr>
          <w:b/>
          <w:bCs/>
        </w:rPr>
        <w:t>Develop a Long-Term Strategic Plan:</w:t>
      </w:r>
      <w:r w:rsidRPr="00020E4F">
        <w:t xml:space="preserve"> Including risk management, stakeholder engagement, and succession planning aligned with international governance standards.</w:t>
      </w:r>
    </w:p>
    <w:p w14:paraId="6B21ECD4" w14:textId="36F2288D" w:rsidR="00020E4F" w:rsidRDefault="00020E4F" w:rsidP="00020E4F"/>
    <w:p w14:paraId="44DCF3C9" w14:textId="77777777" w:rsidR="00020E4F" w:rsidRDefault="00020E4F" w:rsidP="00020E4F"/>
    <w:p w14:paraId="5ABD899A" w14:textId="77777777" w:rsidR="00020E4F" w:rsidRDefault="00020E4F" w:rsidP="00020E4F"/>
    <w:p w14:paraId="314D0FD4" w14:textId="77777777" w:rsidR="00020E4F" w:rsidRPr="00020E4F" w:rsidRDefault="00020E4F" w:rsidP="00020E4F"/>
    <w:p w14:paraId="0F876F63" w14:textId="77777777" w:rsidR="00020E4F" w:rsidRPr="00020E4F" w:rsidRDefault="00020E4F" w:rsidP="00020E4F">
      <w:pPr>
        <w:rPr>
          <w:b/>
          <w:bCs/>
        </w:rPr>
      </w:pPr>
      <w:r w:rsidRPr="00020E4F">
        <w:rPr>
          <w:b/>
          <w:bCs/>
        </w:rPr>
        <w:lastRenderedPageBreak/>
        <w:t>7. Conclusion</w:t>
      </w:r>
    </w:p>
    <w:p w14:paraId="59C8F1DE" w14:textId="77777777" w:rsidR="00020E4F" w:rsidRPr="00020E4F" w:rsidRDefault="00020E4F" w:rsidP="00020E4F">
      <w:r w:rsidRPr="00020E4F">
        <w:t xml:space="preserve">Transitioning STF from a family-controlled private company to a public entity involves complex governance considerations. By adopting appropriate control mechanisms, aligning management incentives, and respecting jurisdictional differences, STF can attract investment, maintain strategic influence, and sustain growth. The Netherlands offers a </w:t>
      </w:r>
      <w:proofErr w:type="spellStart"/>
      <w:r w:rsidRPr="00020E4F">
        <w:t>favorable</w:t>
      </w:r>
      <w:proofErr w:type="spellEnd"/>
      <w:r w:rsidRPr="00020E4F">
        <w:t xml:space="preserve"> environment for balancing control and access to international capital, whereas Shanghai presents a more regulated environment with tighter restrictions. Strategic planning, robust governance, and compliance are essential to successful international expansion.</w:t>
      </w:r>
    </w:p>
    <w:p w14:paraId="0CF3C7BD" w14:textId="4B8533DA" w:rsidR="00020E4F" w:rsidRPr="00020E4F" w:rsidRDefault="00020E4F" w:rsidP="00020E4F"/>
    <w:p w14:paraId="7F425B53" w14:textId="77777777" w:rsidR="00020E4F" w:rsidRPr="00020E4F" w:rsidRDefault="00020E4F" w:rsidP="00020E4F">
      <w:pPr>
        <w:rPr>
          <w:b/>
          <w:bCs/>
          <w:lang w:val="nl-NL"/>
        </w:rPr>
      </w:pPr>
      <w:r w:rsidRPr="00020E4F">
        <w:rPr>
          <w:b/>
          <w:bCs/>
          <w:lang w:val="nl-NL"/>
        </w:rPr>
        <w:t xml:space="preserve">8. </w:t>
      </w:r>
      <w:proofErr w:type="spellStart"/>
      <w:r w:rsidRPr="00020E4F">
        <w:rPr>
          <w:b/>
          <w:bCs/>
          <w:lang w:val="nl-NL"/>
        </w:rPr>
        <w:t>References</w:t>
      </w:r>
      <w:proofErr w:type="spellEnd"/>
    </w:p>
    <w:p w14:paraId="2FB66BCD" w14:textId="77777777" w:rsidR="00020E4F" w:rsidRPr="00020E4F" w:rsidRDefault="00020E4F" w:rsidP="002430F4">
      <w:pPr>
        <w:pStyle w:val="ListParagraph"/>
        <w:numPr>
          <w:ilvl w:val="0"/>
          <w:numId w:val="5"/>
        </w:numPr>
      </w:pPr>
      <w:proofErr w:type="spellStart"/>
      <w:r w:rsidRPr="002430F4">
        <w:rPr>
          <w:lang w:val="nl-NL"/>
        </w:rPr>
        <w:t>Bebchuk</w:t>
      </w:r>
      <w:proofErr w:type="spellEnd"/>
      <w:r w:rsidRPr="002430F4">
        <w:rPr>
          <w:lang w:val="nl-NL"/>
        </w:rPr>
        <w:t xml:space="preserve">, L. &amp; </w:t>
      </w:r>
      <w:proofErr w:type="spellStart"/>
      <w:r w:rsidRPr="002430F4">
        <w:rPr>
          <w:lang w:val="nl-NL"/>
        </w:rPr>
        <w:t>Kastner</w:t>
      </w:r>
      <w:proofErr w:type="spellEnd"/>
      <w:r w:rsidRPr="002430F4">
        <w:rPr>
          <w:lang w:val="nl-NL"/>
        </w:rPr>
        <w:t xml:space="preserve">, K. (2017). </w:t>
      </w:r>
      <w:r w:rsidRPr="00020E4F">
        <w:t xml:space="preserve">'Dual-Class Share Structures and Corporate Control', </w:t>
      </w:r>
      <w:r w:rsidRPr="002430F4">
        <w:rPr>
          <w:i/>
          <w:iCs/>
        </w:rPr>
        <w:t>Harvard Law Review</w:t>
      </w:r>
      <w:r w:rsidRPr="00020E4F">
        <w:t>, 130(2), pp. 409-488.</w:t>
      </w:r>
    </w:p>
    <w:p w14:paraId="045259A3" w14:textId="77777777" w:rsidR="00020E4F" w:rsidRPr="00020E4F" w:rsidRDefault="00020E4F" w:rsidP="002430F4">
      <w:pPr>
        <w:pStyle w:val="ListParagraph"/>
        <w:numPr>
          <w:ilvl w:val="0"/>
          <w:numId w:val="5"/>
        </w:numPr>
      </w:pPr>
      <w:r w:rsidRPr="00020E4F">
        <w:t xml:space="preserve">Cadbury, A. (1992). </w:t>
      </w:r>
      <w:r w:rsidRPr="002430F4">
        <w:rPr>
          <w:i/>
          <w:iCs/>
        </w:rPr>
        <w:t>The Cadbury Report</w:t>
      </w:r>
      <w:r w:rsidRPr="00020E4F">
        <w:t>. London: Gee &amp; Co.</w:t>
      </w:r>
    </w:p>
    <w:p w14:paraId="66458499" w14:textId="77777777" w:rsidR="00020E4F" w:rsidRPr="00020E4F" w:rsidRDefault="00020E4F" w:rsidP="002430F4">
      <w:pPr>
        <w:pStyle w:val="ListParagraph"/>
        <w:numPr>
          <w:ilvl w:val="0"/>
          <w:numId w:val="5"/>
        </w:numPr>
      </w:pPr>
      <w:r w:rsidRPr="00020E4F">
        <w:t xml:space="preserve">Clarke, T. &amp; Branson, D. (2018). 'Controlling Shareholders and Corporate Governance', in Tricker, R. (ed.) </w:t>
      </w:r>
      <w:r w:rsidRPr="002430F4">
        <w:rPr>
          <w:i/>
          <w:iCs/>
        </w:rPr>
        <w:t>Corporate Governance: Principles, Policies, and Practices</w:t>
      </w:r>
      <w:r w:rsidRPr="00020E4F">
        <w:t>. Oxford University Press.</w:t>
      </w:r>
    </w:p>
    <w:p w14:paraId="13FCDF3D" w14:textId="77777777" w:rsidR="00020E4F" w:rsidRPr="00020E4F" w:rsidRDefault="00020E4F" w:rsidP="002430F4">
      <w:pPr>
        <w:pStyle w:val="ListParagraph"/>
        <w:numPr>
          <w:ilvl w:val="0"/>
          <w:numId w:val="5"/>
        </w:numPr>
      </w:pPr>
      <w:r w:rsidRPr="00020E4F">
        <w:t xml:space="preserve">Chinese Securities Regulatory Commission (CSRC) (2020). </w:t>
      </w:r>
      <w:r w:rsidRPr="002430F4">
        <w:rPr>
          <w:i/>
          <w:iCs/>
        </w:rPr>
        <w:t>Regulations on Listed Companies</w:t>
      </w:r>
      <w:r w:rsidRPr="00020E4F">
        <w:t>. Beijing: CSRC.</w:t>
      </w:r>
    </w:p>
    <w:p w14:paraId="670CF216" w14:textId="77777777" w:rsidR="00020E4F" w:rsidRPr="00020E4F" w:rsidRDefault="00020E4F" w:rsidP="002430F4">
      <w:pPr>
        <w:pStyle w:val="ListParagraph"/>
        <w:numPr>
          <w:ilvl w:val="0"/>
          <w:numId w:val="5"/>
        </w:numPr>
      </w:pPr>
      <w:r w:rsidRPr="00020E4F">
        <w:t xml:space="preserve">Dutch Civil Code (2020). </w:t>
      </w:r>
      <w:r w:rsidRPr="002430F4">
        <w:rPr>
          <w:i/>
          <w:iCs/>
        </w:rPr>
        <w:t>Book 2: Corporate Law</w:t>
      </w:r>
      <w:r w:rsidRPr="00020E4F">
        <w:t>. The Hague: Netherlands Ministry of Justice.</w:t>
      </w:r>
    </w:p>
    <w:p w14:paraId="76B02868" w14:textId="77777777" w:rsidR="00020E4F" w:rsidRPr="00020E4F" w:rsidRDefault="00020E4F" w:rsidP="002430F4">
      <w:pPr>
        <w:pStyle w:val="ListParagraph"/>
        <w:numPr>
          <w:ilvl w:val="0"/>
          <w:numId w:val="5"/>
        </w:numPr>
      </w:pPr>
      <w:r w:rsidRPr="00020E4F">
        <w:t xml:space="preserve">Eisenhardt, K.M. (1989). 'Agency Theory: An Assessment and Review', </w:t>
      </w:r>
      <w:r w:rsidRPr="002430F4">
        <w:rPr>
          <w:i/>
          <w:iCs/>
        </w:rPr>
        <w:t>Academy of Management Review</w:t>
      </w:r>
      <w:r w:rsidRPr="00020E4F">
        <w:t>, 14(1), pp. 57-74.</w:t>
      </w:r>
    </w:p>
    <w:p w14:paraId="5F0B05A1" w14:textId="77777777" w:rsidR="00020E4F" w:rsidRPr="00020E4F" w:rsidRDefault="00020E4F" w:rsidP="002430F4">
      <w:pPr>
        <w:pStyle w:val="ListParagraph"/>
        <w:numPr>
          <w:ilvl w:val="0"/>
          <w:numId w:val="5"/>
        </w:numPr>
      </w:pPr>
      <w:r w:rsidRPr="00020E4F">
        <w:t xml:space="preserve">Financial Reporting Council (FRC) (2018). </w:t>
      </w:r>
      <w:r w:rsidRPr="002430F4">
        <w:rPr>
          <w:i/>
          <w:iCs/>
        </w:rPr>
        <w:t>The UK Corporate Governance Code</w:t>
      </w:r>
      <w:r w:rsidRPr="00020E4F">
        <w:t>. London: FRC.</w:t>
      </w:r>
    </w:p>
    <w:p w14:paraId="44E3E866" w14:textId="77777777" w:rsidR="00020E4F" w:rsidRPr="00020E4F" w:rsidRDefault="00020E4F" w:rsidP="002430F4">
      <w:pPr>
        <w:pStyle w:val="ListParagraph"/>
        <w:numPr>
          <w:ilvl w:val="0"/>
          <w:numId w:val="5"/>
        </w:numPr>
      </w:pPr>
      <w:r w:rsidRPr="00020E4F">
        <w:t xml:space="preserve">London Stock Exchange (LSE) (2020). </w:t>
      </w:r>
      <w:r w:rsidRPr="002430F4">
        <w:rPr>
          <w:i/>
          <w:iCs/>
        </w:rPr>
        <w:t>AIM Rules for Companies</w:t>
      </w:r>
      <w:r w:rsidRPr="00020E4F">
        <w:t>. London: LSE.</w:t>
      </w:r>
    </w:p>
    <w:p w14:paraId="76577502" w14:textId="77777777" w:rsidR="00020E4F" w:rsidRPr="00020E4F" w:rsidRDefault="00020E4F" w:rsidP="002430F4">
      <w:pPr>
        <w:pStyle w:val="ListParagraph"/>
        <w:numPr>
          <w:ilvl w:val="0"/>
          <w:numId w:val="5"/>
        </w:numPr>
      </w:pPr>
      <w:r w:rsidRPr="00020E4F">
        <w:t xml:space="preserve">OECD (2015). </w:t>
      </w:r>
      <w:r w:rsidRPr="002430F4">
        <w:rPr>
          <w:i/>
          <w:iCs/>
        </w:rPr>
        <w:t>Corporate Governance Principles</w:t>
      </w:r>
      <w:r w:rsidRPr="00020E4F">
        <w:t>. OECD Publishing.</w:t>
      </w:r>
    </w:p>
    <w:p w14:paraId="1430B368" w14:textId="77777777" w:rsidR="00020E4F" w:rsidRPr="00020E4F" w:rsidRDefault="00020E4F" w:rsidP="002430F4">
      <w:pPr>
        <w:pStyle w:val="ListParagraph"/>
        <w:numPr>
          <w:ilvl w:val="0"/>
          <w:numId w:val="5"/>
        </w:numPr>
      </w:pPr>
      <w:r w:rsidRPr="00020E4F">
        <w:t xml:space="preserve">Wang, L. (2018). 'Corporate Governance and Market Regulation in China', </w:t>
      </w:r>
      <w:r w:rsidRPr="002430F4">
        <w:rPr>
          <w:i/>
          <w:iCs/>
        </w:rPr>
        <w:t>Journal of Chinese Law</w:t>
      </w:r>
      <w:r w:rsidRPr="00020E4F">
        <w:t>, 32(2), pp. 134-147.</w:t>
      </w:r>
    </w:p>
    <w:p w14:paraId="2B5F62FE" w14:textId="77777777" w:rsidR="00020E4F" w:rsidRPr="00020E4F" w:rsidRDefault="00020E4F" w:rsidP="002430F4">
      <w:pPr>
        <w:pStyle w:val="ListParagraph"/>
        <w:numPr>
          <w:ilvl w:val="0"/>
          <w:numId w:val="5"/>
        </w:numPr>
      </w:pPr>
      <w:r w:rsidRPr="00020E4F">
        <w:t xml:space="preserve">Tricker, R. (2019). </w:t>
      </w:r>
      <w:r w:rsidRPr="002430F4">
        <w:rPr>
          <w:i/>
          <w:iCs/>
        </w:rPr>
        <w:t>Corporate Governance: Principles, Policies, and Practices</w:t>
      </w:r>
      <w:r w:rsidRPr="00020E4F">
        <w:t>. Oxford: Oxford University Press.</w:t>
      </w:r>
    </w:p>
    <w:p w14:paraId="70DA399F" w14:textId="77777777" w:rsidR="00020E4F" w:rsidRPr="00020E4F" w:rsidRDefault="00020E4F" w:rsidP="00020E4F"/>
    <w:sectPr w:rsidR="00020E4F" w:rsidRPr="00020E4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8A2990"/>
    <w:multiLevelType w:val="multilevel"/>
    <w:tmpl w:val="83061A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154A62"/>
    <w:multiLevelType w:val="multilevel"/>
    <w:tmpl w:val="C62AE8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831091E"/>
    <w:multiLevelType w:val="multilevel"/>
    <w:tmpl w:val="EE4A10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9A305DB"/>
    <w:multiLevelType w:val="hybridMultilevel"/>
    <w:tmpl w:val="8F402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F657D46"/>
    <w:multiLevelType w:val="multilevel"/>
    <w:tmpl w:val="97B443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05514478">
    <w:abstractNumId w:val="4"/>
  </w:num>
  <w:num w:numId="2" w16cid:durableId="778641943">
    <w:abstractNumId w:val="1"/>
  </w:num>
  <w:num w:numId="3" w16cid:durableId="719014418">
    <w:abstractNumId w:val="0"/>
  </w:num>
  <w:num w:numId="4" w16cid:durableId="1185438724">
    <w:abstractNumId w:val="2"/>
  </w:num>
  <w:num w:numId="5" w16cid:durableId="57639934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1102"/>
    <w:rsid w:val="00020E4F"/>
    <w:rsid w:val="00045426"/>
    <w:rsid w:val="001A1102"/>
    <w:rsid w:val="001C36DB"/>
    <w:rsid w:val="002430F4"/>
    <w:rsid w:val="00762BB9"/>
    <w:rsid w:val="00883E95"/>
    <w:rsid w:val="0092451A"/>
    <w:rsid w:val="00FF0F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B85C4D"/>
  <w15:chartTrackingRefBased/>
  <w15:docId w15:val="{FEB7839B-02B5-42AD-9CB3-FDB3F02394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A110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A110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A110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A110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A110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A110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A110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A110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A110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110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A110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A110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A110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A110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A110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A110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A110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A1102"/>
    <w:rPr>
      <w:rFonts w:eastAsiaTheme="majorEastAsia" w:cstheme="majorBidi"/>
      <w:color w:val="272727" w:themeColor="text1" w:themeTint="D8"/>
    </w:rPr>
  </w:style>
  <w:style w:type="paragraph" w:styleId="Title">
    <w:name w:val="Title"/>
    <w:basedOn w:val="Normal"/>
    <w:next w:val="Normal"/>
    <w:link w:val="TitleChar"/>
    <w:uiPriority w:val="10"/>
    <w:qFormat/>
    <w:rsid w:val="001A110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A110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A110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A110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A1102"/>
    <w:pPr>
      <w:spacing w:before="160"/>
      <w:jc w:val="center"/>
    </w:pPr>
    <w:rPr>
      <w:i/>
      <w:iCs/>
      <w:color w:val="404040" w:themeColor="text1" w:themeTint="BF"/>
    </w:rPr>
  </w:style>
  <w:style w:type="character" w:customStyle="1" w:styleId="QuoteChar">
    <w:name w:val="Quote Char"/>
    <w:basedOn w:val="DefaultParagraphFont"/>
    <w:link w:val="Quote"/>
    <w:uiPriority w:val="29"/>
    <w:rsid w:val="001A1102"/>
    <w:rPr>
      <w:i/>
      <w:iCs/>
      <w:color w:val="404040" w:themeColor="text1" w:themeTint="BF"/>
    </w:rPr>
  </w:style>
  <w:style w:type="paragraph" w:styleId="ListParagraph">
    <w:name w:val="List Paragraph"/>
    <w:basedOn w:val="Normal"/>
    <w:uiPriority w:val="34"/>
    <w:qFormat/>
    <w:rsid w:val="001A1102"/>
    <w:pPr>
      <w:ind w:left="720"/>
      <w:contextualSpacing/>
    </w:pPr>
  </w:style>
  <w:style w:type="character" w:styleId="IntenseEmphasis">
    <w:name w:val="Intense Emphasis"/>
    <w:basedOn w:val="DefaultParagraphFont"/>
    <w:uiPriority w:val="21"/>
    <w:qFormat/>
    <w:rsid w:val="001A1102"/>
    <w:rPr>
      <w:i/>
      <w:iCs/>
      <w:color w:val="0F4761" w:themeColor="accent1" w:themeShade="BF"/>
    </w:rPr>
  </w:style>
  <w:style w:type="paragraph" w:styleId="IntenseQuote">
    <w:name w:val="Intense Quote"/>
    <w:basedOn w:val="Normal"/>
    <w:next w:val="Normal"/>
    <w:link w:val="IntenseQuoteChar"/>
    <w:uiPriority w:val="30"/>
    <w:qFormat/>
    <w:rsid w:val="001A110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A1102"/>
    <w:rPr>
      <w:i/>
      <w:iCs/>
      <w:color w:val="0F4761" w:themeColor="accent1" w:themeShade="BF"/>
    </w:rPr>
  </w:style>
  <w:style w:type="character" w:styleId="IntenseReference">
    <w:name w:val="Intense Reference"/>
    <w:basedOn w:val="DefaultParagraphFont"/>
    <w:uiPriority w:val="32"/>
    <w:qFormat/>
    <w:rsid w:val="001A1102"/>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055880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1789</Words>
  <Characters>10202</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adriana mandache</dc:creator>
  <cp:keywords/>
  <dc:description/>
  <cp:lastModifiedBy>adriana mandache</cp:lastModifiedBy>
  <cp:revision>1</cp:revision>
  <dcterms:created xsi:type="dcterms:W3CDTF">2025-06-22T09:49:00Z</dcterms:created>
  <dcterms:modified xsi:type="dcterms:W3CDTF">2025-06-22T10:13:00Z</dcterms:modified>
</cp:coreProperties>
</file>