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Default="0009605C" w:rsidP="0009605C">
      <w:pPr>
        <w:pStyle w:val="Title"/>
        <w:jc w:val="center"/>
      </w:pPr>
      <w:r>
        <w:t>Ways of Perceiving</w:t>
      </w:r>
    </w:p>
    <w:p w:rsidR="0009605C" w:rsidRDefault="0009605C" w:rsidP="0009605C">
      <w:pPr>
        <w:pStyle w:val="Heading5"/>
        <w:jc w:val="center"/>
      </w:pPr>
      <w:r>
        <w:t>ADAD4010</w:t>
      </w:r>
    </w:p>
    <w:p w:rsidR="0009605C" w:rsidRDefault="0009605C" w:rsidP="0009605C">
      <w:pPr>
        <w:pStyle w:val="ContactInfo"/>
      </w:pPr>
    </w:p>
    <w:p w:rsidR="0009605C" w:rsidRPr="00AE0A5E" w:rsidRDefault="0009605C" w:rsidP="00AE0A5E">
      <w:pPr>
        <w:pStyle w:val="Subtitle"/>
        <w:jc w:val="center"/>
      </w:pPr>
      <w:r>
        <w:t>Natalie Mason</w:t>
      </w:r>
      <w:r w:rsidR="00C6554A">
        <w:t xml:space="preserve"> | </w:t>
      </w:r>
      <w:r>
        <w:t>1702929</w:t>
      </w:r>
      <w:r w:rsidR="00C6554A">
        <w:t xml:space="preserve"> |</w:t>
      </w:r>
      <w:r w:rsidR="00C6554A" w:rsidRPr="00D5413C">
        <w:t xml:space="preserve"> </w:t>
      </w:r>
      <w:r>
        <w:t>BA Film and Television</w:t>
      </w:r>
      <w:r w:rsidR="00AE0A5E">
        <w:br/>
      </w:r>
      <w:r>
        <w:t>Lectures: Ryan Moule &amp; Rob Jones | Word Count:</w:t>
      </w:r>
      <w:r w:rsidR="007F1EFD">
        <w:t xml:space="preserve"> 1390</w:t>
      </w:r>
    </w:p>
    <w:p w:rsidR="0009605C" w:rsidRDefault="0009605C" w:rsidP="00C6554A">
      <w:pPr>
        <w:pStyle w:val="ContactInfo"/>
      </w:pPr>
    </w:p>
    <w:p w:rsidR="00C6554A" w:rsidRPr="0009605C" w:rsidRDefault="0009605C" w:rsidP="0009605C">
      <w:pPr>
        <w:rPr>
          <w:rStyle w:val="SubtleEmphasis"/>
        </w:rPr>
      </w:pPr>
      <w:r w:rsidRPr="0009605C">
        <w:rPr>
          <w:rStyle w:val="SubtleEmphasis"/>
          <w:b/>
        </w:rPr>
        <w:t>Task:</w:t>
      </w:r>
      <w:r w:rsidRPr="0009605C">
        <w:rPr>
          <w:rStyle w:val="SubtleEmphasis"/>
        </w:rPr>
        <w:t xml:space="preserve"> You will work individually to curate an imagined space and place for an exhibition, music concert, by designing an interior or fashion show, or a film festival, etc. It is up to you to choose a space/place appropriate to your discipline, and to </w:t>
      </w:r>
      <w:proofErr w:type="spellStart"/>
      <w:r w:rsidRPr="0009605C">
        <w:rPr>
          <w:rStyle w:val="SubtleEmphasis"/>
        </w:rPr>
        <w:t>conceptualise</w:t>
      </w:r>
      <w:proofErr w:type="spellEnd"/>
      <w:r w:rsidRPr="0009605C">
        <w:rPr>
          <w:rStyle w:val="SubtleEmphasis"/>
        </w:rPr>
        <w:t xml:space="preserve"> within it a rationale for what you want to curate. Your assessed outcome will be to write a text, composition, catalogue or commentary of 1500 words. This will involve research practices and approaches applied to art, design and sound theories and approaches to spatial practices and places. Before handing this in, you will be given the chance to explore your ideas in a 'Collaborative presentation’ which will consist of, for example 2, slides per person in a group presentation of up to 5 team members. You will receive formative feedback which you can use to develop your ideas before your final hand in.</w:t>
      </w:r>
      <w:r w:rsidR="00C6554A" w:rsidRPr="0009605C">
        <w:rPr>
          <w:rStyle w:val="SubtleEmphasis"/>
        </w:rPr>
        <w:br w:type="page"/>
      </w:r>
    </w:p>
    <w:p w:rsidR="0009605C" w:rsidRDefault="0009605C" w:rsidP="00AE0A5E">
      <w:pPr>
        <w:pStyle w:val="Heading2"/>
      </w:pPr>
    </w:p>
    <w:p w:rsidR="0009605C" w:rsidRPr="00B17172" w:rsidRDefault="0009605C" w:rsidP="00AE0A5E">
      <w:pPr>
        <w:rPr>
          <w:rFonts w:ascii="Arial" w:hAnsi="Arial" w:cs="Arial"/>
          <w:sz w:val="22"/>
        </w:rPr>
      </w:pPr>
      <w:r w:rsidRPr="00B17172">
        <w:rPr>
          <w:rFonts w:ascii="Arial" w:hAnsi="Arial" w:cs="Arial"/>
          <w:sz w:val="22"/>
        </w:rPr>
        <w:t xml:space="preserve">In this essay I will be curating an idea of the exhibition I have named: </w:t>
      </w:r>
      <w:r w:rsidRPr="00B17172">
        <w:rPr>
          <w:rFonts w:ascii="Arial" w:hAnsi="Arial" w:cs="Arial"/>
          <w:i/>
          <w:sz w:val="22"/>
        </w:rPr>
        <w:t>The Design of Horror</w:t>
      </w:r>
      <w:r w:rsidRPr="00B17172">
        <w:rPr>
          <w:rFonts w:ascii="Arial" w:hAnsi="Arial" w:cs="Arial"/>
          <w:sz w:val="22"/>
        </w:rPr>
        <w:t xml:space="preserve"> I will be exploring horror film memorabilia and how they can have a lasting impact on the public consciousness. For as long as they have been active in the public consciousness, horror films have had iconic and eye-catching designs for their most significant characters, usually the villain or monster. In many cases the costume designs of these characters carry deep reflections of the society that originally birthed them, ranging from commentary on the political climate of the time to just taking aesthetic influences to further flesh out a character’s backstory. My exhibition aims to showcase some of these examples of designs and the messages and influences behind them, so the general public has an easier time reading into the subtext of stories and why certain design choices were made.</w:t>
      </w:r>
    </w:p>
    <w:p w:rsidR="0009605C" w:rsidRPr="00B17172" w:rsidRDefault="0009605C" w:rsidP="00AE0A5E">
      <w:pPr>
        <w:rPr>
          <w:rFonts w:ascii="Arial" w:hAnsi="Arial" w:cs="Arial"/>
          <w:sz w:val="22"/>
        </w:rPr>
      </w:pPr>
      <w:r w:rsidRPr="00B17172">
        <w:rPr>
          <w:rFonts w:ascii="Arial" w:hAnsi="Arial" w:cs="Arial"/>
          <w:sz w:val="22"/>
        </w:rPr>
        <w:t xml:space="preserve">I have decided to use the Mission Gallery in Swansea for the exhibition as it is an accessible space with plenty of room, floor and wall space respectably; to include relevant thought-provoking pieces. </w:t>
      </w:r>
    </w:p>
    <w:p w:rsidR="00AE0A5E" w:rsidRPr="00857DDE" w:rsidRDefault="00AE0A5E" w:rsidP="00AE0A5E">
      <w:pPr>
        <w:pStyle w:val="Heading2"/>
      </w:pPr>
    </w:p>
    <w:p w:rsidR="0009605C" w:rsidRPr="00B17172" w:rsidRDefault="0009605C" w:rsidP="00AE0A5E">
      <w:pPr>
        <w:rPr>
          <w:rFonts w:ascii="Arial" w:hAnsi="Arial" w:cs="Arial"/>
          <w:sz w:val="22"/>
        </w:rPr>
      </w:pPr>
      <w:r w:rsidRPr="00B17172">
        <w:rPr>
          <w:rFonts w:ascii="Arial" w:hAnsi="Arial" w:cs="Arial"/>
          <w:sz w:val="22"/>
        </w:rPr>
        <w:t xml:space="preserve">As stated </w:t>
      </w:r>
      <w:r w:rsidR="00AE0A5E" w:rsidRPr="00B17172">
        <w:rPr>
          <w:rFonts w:ascii="Arial" w:hAnsi="Arial" w:cs="Arial"/>
          <w:sz w:val="22"/>
        </w:rPr>
        <w:t>previously</w:t>
      </w:r>
      <w:r w:rsidRPr="00B17172">
        <w:rPr>
          <w:rFonts w:ascii="Arial" w:hAnsi="Arial" w:cs="Arial"/>
          <w:sz w:val="22"/>
        </w:rPr>
        <w:t xml:space="preserve">, I will be using the Mission Gallery for my exhibition: </w:t>
      </w:r>
      <w:r w:rsidRPr="00B17172">
        <w:rPr>
          <w:rFonts w:ascii="Arial" w:hAnsi="Arial" w:cs="Arial"/>
          <w:i/>
          <w:sz w:val="22"/>
        </w:rPr>
        <w:t>The Design of Horror</w:t>
      </w:r>
      <w:r w:rsidRPr="00B17172">
        <w:rPr>
          <w:rFonts w:ascii="Arial" w:hAnsi="Arial" w:cs="Arial"/>
          <w:sz w:val="22"/>
        </w:rPr>
        <w:t xml:space="preserve">. The Mission Gallery is located on Gloucester place Swansea, not far from the town </w:t>
      </w:r>
      <w:r w:rsidR="00AB0369" w:rsidRPr="00B17172">
        <w:rPr>
          <w:rFonts w:ascii="Arial" w:hAnsi="Arial" w:cs="Arial"/>
          <w:sz w:val="22"/>
        </w:rPr>
        <w:t>center</w:t>
      </w:r>
      <w:r w:rsidRPr="00B17172">
        <w:rPr>
          <w:rFonts w:ascii="Arial" w:hAnsi="Arial" w:cs="Arial"/>
          <w:sz w:val="22"/>
        </w:rPr>
        <w:t xml:space="preserve"> making it easily accessible for anyone interested; especially those based in Swansea. </w:t>
      </w:r>
    </w:p>
    <w:p w:rsidR="0009605C" w:rsidRPr="00B17172" w:rsidRDefault="0009605C" w:rsidP="00AE0A5E">
      <w:pPr>
        <w:rPr>
          <w:rFonts w:ascii="Arial" w:hAnsi="Arial" w:cs="Arial"/>
          <w:sz w:val="22"/>
        </w:rPr>
      </w:pPr>
      <w:r w:rsidRPr="00B17172">
        <w:rPr>
          <w:rFonts w:ascii="Arial" w:hAnsi="Arial" w:cs="Arial"/>
          <w:sz w:val="22"/>
        </w:rPr>
        <w:t xml:space="preserve">The interior itself has a rather high ceiling, long walls and plenty of open floor space to host </w:t>
      </w:r>
      <w:proofErr w:type="gramStart"/>
      <w:r w:rsidRPr="00B17172">
        <w:rPr>
          <w:rFonts w:ascii="Arial" w:hAnsi="Arial" w:cs="Arial"/>
          <w:sz w:val="22"/>
        </w:rPr>
        <w:t>a number of</w:t>
      </w:r>
      <w:proofErr w:type="gramEnd"/>
      <w:r w:rsidRPr="00B17172">
        <w:rPr>
          <w:rFonts w:ascii="Arial" w:hAnsi="Arial" w:cs="Arial"/>
          <w:sz w:val="22"/>
        </w:rPr>
        <w:t xml:space="preserve"> display cases of varying sizes. At the far end of the exhibit hall, an alcove which I have decided not to use sits; I will be using the curtain provided to cover this space. </w:t>
      </w:r>
      <w:r w:rsidR="00AB0369">
        <w:rPr>
          <w:rFonts w:ascii="Arial" w:hAnsi="Arial" w:cs="Arial"/>
          <w:sz w:val="22"/>
        </w:rPr>
        <w:t xml:space="preserve"> (See figure 1 for reference)</w:t>
      </w:r>
    </w:p>
    <w:p w:rsidR="00AB0369" w:rsidRDefault="0009605C" w:rsidP="00AE0A5E">
      <w:pPr>
        <w:rPr>
          <w:rFonts w:ascii="Arial" w:hAnsi="Arial" w:cs="Arial"/>
          <w:sz w:val="22"/>
        </w:rPr>
      </w:pPr>
      <w:r w:rsidRPr="00B17172">
        <w:rPr>
          <w:rFonts w:ascii="Arial" w:hAnsi="Arial" w:cs="Arial"/>
          <w:sz w:val="22"/>
        </w:rPr>
        <w:t xml:space="preserve">This type of space is ideal for any exhibition as it is so malleable, while also being easily accessible to the general public; as so this space is ideal for my exhibit </w:t>
      </w:r>
      <w:r w:rsidRPr="00B17172">
        <w:rPr>
          <w:rFonts w:ascii="Arial" w:hAnsi="Arial" w:cs="Arial"/>
          <w:i/>
          <w:sz w:val="22"/>
        </w:rPr>
        <w:t>The Design of Horror</w:t>
      </w:r>
      <w:r w:rsidRPr="00B17172">
        <w:rPr>
          <w:rFonts w:ascii="Arial" w:hAnsi="Arial" w:cs="Arial"/>
          <w:sz w:val="22"/>
        </w:rPr>
        <w:t xml:space="preserve">.  </w:t>
      </w:r>
    </w:p>
    <w:p w:rsidR="00AB0369" w:rsidRDefault="00AB0369" w:rsidP="00AB0369">
      <w:r>
        <w:br w:type="page"/>
      </w:r>
    </w:p>
    <w:p w:rsidR="00B17172" w:rsidRPr="00B17172" w:rsidRDefault="00B17172" w:rsidP="00B17172">
      <w:pPr>
        <w:pStyle w:val="Heading2"/>
      </w:pPr>
    </w:p>
    <w:p w:rsidR="00AE0A5E" w:rsidRPr="00B17172" w:rsidRDefault="0009605C">
      <w:pPr>
        <w:rPr>
          <w:rFonts w:ascii="Arial" w:hAnsi="Arial" w:cs="Arial"/>
          <w:sz w:val="22"/>
        </w:rPr>
      </w:pPr>
      <w:r w:rsidRPr="00B17172">
        <w:rPr>
          <w:rFonts w:ascii="Arial" w:hAnsi="Arial" w:cs="Arial"/>
          <w:sz w:val="22"/>
        </w:rPr>
        <w:t>At the heart of the space will be a podium, three mannequins will sit wearing the iconic costumes of the three most famous horror icons; Freddy Krueger, Jason Voorhees and Michal Myers. These three icons have been chosen specifically as they each can be identified be a wider audience than just horror fans. Another reason for their inclusion would be their identification as classic slasher icons, due to both the stories they inhabit, their specific personalities portrayed and the roles they fill in those stories.</w:t>
      </w:r>
    </w:p>
    <w:p w:rsidR="0009605C" w:rsidRPr="00B17172" w:rsidRDefault="0009605C" w:rsidP="00AE0A5E">
      <w:pPr>
        <w:rPr>
          <w:rFonts w:ascii="Arial" w:hAnsi="Arial" w:cs="Arial"/>
          <w:sz w:val="22"/>
        </w:rPr>
      </w:pPr>
      <w:r w:rsidRPr="00B17172">
        <w:rPr>
          <w:rFonts w:ascii="Arial" w:hAnsi="Arial" w:cs="Arial"/>
          <w:sz w:val="22"/>
        </w:rPr>
        <w:t>The mannequins on display will face in separate directions</w:t>
      </w:r>
      <w:r w:rsidR="00AB0369">
        <w:rPr>
          <w:rFonts w:ascii="Arial" w:hAnsi="Arial" w:cs="Arial"/>
          <w:sz w:val="22"/>
        </w:rPr>
        <w:t xml:space="preserve"> (See figure 1).</w:t>
      </w:r>
      <w:r w:rsidRPr="00B17172">
        <w:rPr>
          <w:rFonts w:ascii="Arial" w:hAnsi="Arial" w:cs="Arial"/>
          <w:sz w:val="22"/>
        </w:rPr>
        <w:t xml:space="preserve"> Mannequin </w:t>
      </w:r>
      <w:r w:rsidR="00AB0369">
        <w:rPr>
          <w:rFonts w:ascii="Arial" w:hAnsi="Arial" w:cs="Arial"/>
          <w:sz w:val="22"/>
        </w:rPr>
        <w:t>#1</w:t>
      </w:r>
      <w:r w:rsidRPr="00B17172">
        <w:rPr>
          <w:rFonts w:ascii="Arial" w:hAnsi="Arial" w:cs="Arial"/>
          <w:sz w:val="22"/>
        </w:rPr>
        <w:t xml:space="preserve"> will be designated Freddy Krueger, the mannequin will be wearing the iconic Red and Green sweatshirt, the black fedora and black trousers worn by </w:t>
      </w:r>
      <w:r w:rsidRPr="00AB0369">
        <w:rPr>
          <w:rFonts w:ascii="Arial" w:hAnsi="Arial" w:cs="Arial"/>
          <w:sz w:val="22"/>
        </w:rPr>
        <w:t xml:space="preserve">Robert Englund in </w:t>
      </w:r>
      <w:r w:rsidRPr="00AB0369">
        <w:rPr>
          <w:rFonts w:ascii="Arial" w:hAnsi="Arial" w:cs="Arial"/>
          <w:i/>
          <w:sz w:val="22"/>
        </w:rPr>
        <w:t>A Nightmare on Elm Street</w:t>
      </w:r>
      <w:r w:rsidR="007F1EFD">
        <w:rPr>
          <w:rFonts w:ascii="Arial" w:hAnsi="Arial" w:cs="Arial"/>
          <w:i/>
          <w:sz w:val="22"/>
        </w:rPr>
        <w:t xml:space="preserve"> </w:t>
      </w:r>
      <w:r w:rsidR="007F1EFD">
        <w:rPr>
          <w:rFonts w:ascii="Arial" w:hAnsi="Arial" w:cs="Arial"/>
          <w:sz w:val="22"/>
        </w:rPr>
        <w:t>(Figure 2)</w:t>
      </w:r>
      <w:r w:rsidRPr="00B17172">
        <w:rPr>
          <w:rFonts w:ascii="Arial" w:hAnsi="Arial" w:cs="Arial"/>
          <w:sz w:val="22"/>
        </w:rPr>
        <w:t xml:space="preserve">. In the display case, the most recognisable item from the character: the glove </w:t>
      </w:r>
      <w:r w:rsidR="007F1EFD">
        <w:rPr>
          <w:rFonts w:ascii="Arial" w:hAnsi="Arial" w:cs="Arial"/>
          <w:sz w:val="22"/>
        </w:rPr>
        <w:t>(Figure 3)</w:t>
      </w:r>
      <w:r w:rsidRPr="00B17172">
        <w:rPr>
          <w:rFonts w:ascii="Arial" w:hAnsi="Arial" w:cs="Arial"/>
          <w:sz w:val="22"/>
        </w:rPr>
        <w:t xml:space="preserve">. Mannequin </w:t>
      </w:r>
      <w:r w:rsidR="007F1EFD">
        <w:rPr>
          <w:rFonts w:ascii="Arial" w:hAnsi="Arial" w:cs="Arial"/>
          <w:sz w:val="22"/>
        </w:rPr>
        <w:t xml:space="preserve">#2 </w:t>
      </w:r>
      <w:r w:rsidRPr="00B17172">
        <w:rPr>
          <w:rFonts w:ascii="Arial" w:hAnsi="Arial" w:cs="Arial"/>
          <w:sz w:val="22"/>
        </w:rPr>
        <w:t xml:space="preserve">will be for Jason </w:t>
      </w:r>
      <w:proofErr w:type="gramStart"/>
      <w:r w:rsidRPr="00B17172">
        <w:rPr>
          <w:rFonts w:ascii="Arial" w:hAnsi="Arial" w:cs="Arial"/>
          <w:sz w:val="22"/>
        </w:rPr>
        <w:t>Voorhees,</w:t>
      </w:r>
      <w:proofErr w:type="gramEnd"/>
      <w:r w:rsidRPr="00B17172">
        <w:rPr>
          <w:rFonts w:ascii="Arial" w:hAnsi="Arial" w:cs="Arial"/>
          <w:sz w:val="22"/>
        </w:rPr>
        <w:t xml:space="preserve"> the costume will consist of the Classic Hockey Mask with a dark green work shirt and dirty beige trousers</w:t>
      </w:r>
      <w:r w:rsidR="007F1EFD">
        <w:rPr>
          <w:rFonts w:ascii="Arial" w:hAnsi="Arial" w:cs="Arial"/>
          <w:sz w:val="22"/>
        </w:rPr>
        <w:t xml:space="preserve"> (Figure 4)</w:t>
      </w:r>
      <w:r w:rsidRPr="00B17172">
        <w:rPr>
          <w:rFonts w:ascii="Arial" w:hAnsi="Arial" w:cs="Arial"/>
          <w:sz w:val="22"/>
        </w:rPr>
        <w:t xml:space="preserve">. In the display case will </w:t>
      </w:r>
      <w:r w:rsidR="007F1EFD">
        <w:rPr>
          <w:rFonts w:ascii="Arial" w:hAnsi="Arial" w:cs="Arial"/>
          <w:sz w:val="22"/>
        </w:rPr>
        <w:t xml:space="preserve">a replica mask </w:t>
      </w:r>
      <w:r w:rsidRPr="00B17172">
        <w:rPr>
          <w:rFonts w:ascii="Arial" w:hAnsi="Arial" w:cs="Arial"/>
          <w:sz w:val="22"/>
        </w:rPr>
        <w:t xml:space="preserve">alongside </w:t>
      </w:r>
      <w:r w:rsidR="007F1EFD" w:rsidRPr="00B17172">
        <w:rPr>
          <w:rFonts w:ascii="Arial" w:hAnsi="Arial" w:cs="Arial"/>
          <w:sz w:val="22"/>
        </w:rPr>
        <w:t>be the iconic machete</w:t>
      </w:r>
      <w:r w:rsidR="007F1EFD">
        <w:rPr>
          <w:rFonts w:ascii="Arial" w:hAnsi="Arial" w:cs="Arial"/>
          <w:sz w:val="22"/>
        </w:rPr>
        <w:t xml:space="preserve"> (Figure 5)</w:t>
      </w:r>
      <w:r w:rsidRPr="00B17172">
        <w:rPr>
          <w:rFonts w:ascii="Arial" w:hAnsi="Arial" w:cs="Arial"/>
          <w:sz w:val="22"/>
        </w:rPr>
        <w:t xml:space="preserve">. Finally, Mannequin </w:t>
      </w:r>
      <w:r w:rsidR="007F1EFD">
        <w:rPr>
          <w:rFonts w:ascii="Arial" w:hAnsi="Arial" w:cs="Arial"/>
          <w:sz w:val="22"/>
        </w:rPr>
        <w:t>#3</w:t>
      </w:r>
      <w:r w:rsidRPr="00B17172">
        <w:rPr>
          <w:rFonts w:ascii="Arial" w:hAnsi="Arial" w:cs="Arial"/>
          <w:sz w:val="22"/>
        </w:rPr>
        <w:t xml:space="preserve"> will be for Michael Myers, the costume consisting of dark blue overalls and the classic white unnerving mask</w:t>
      </w:r>
      <w:r w:rsidR="007F1EFD">
        <w:rPr>
          <w:rFonts w:ascii="Arial" w:hAnsi="Arial" w:cs="Arial"/>
          <w:sz w:val="22"/>
        </w:rPr>
        <w:t xml:space="preserve"> (Figure 6)</w:t>
      </w:r>
      <w:r w:rsidRPr="00B17172">
        <w:rPr>
          <w:rFonts w:ascii="Arial" w:hAnsi="Arial" w:cs="Arial"/>
          <w:sz w:val="22"/>
        </w:rPr>
        <w:t>. In the display case for Michael Myers, the kitchen knife will be on show</w:t>
      </w:r>
      <w:r w:rsidR="007F1EFD">
        <w:rPr>
          <w:rFonts w:ascii="Arial" w:hAnsi="Arial" w:cs="Arial"/>
          <w:sz w:val="22"/>
        </w:rPr>
        <w:t xml:space="preserve"> (Figure 7)</w:t>
      </w:r>
      <w:r w:rsidRPr="00B17172">
        <w:rPr>
          <w:rFonts w:ascii="Arial" w:hAnsi="Arial" w:cs="Arial"/>
          <w:sz w:val="22"/>
        </w:rPr>
        <w:t xml:space="preserve">. Within each display case for the mannequins there will be an information card explaining: </w:t>
      </w:r>
    </w:p>
    <w:p w:rsidR="0009605C" w:rsidRPr="00B17172" w:rsidRDefault="0009605C" w:rsidP="00AE0A5E">
      <w:pPr>
        <w:pStyle w:val="ListParagraph"/>
        <w:numPr>
          <w:ilvl w:val="0"/>
          <w:numId w:val="17"/>
        </w:numPr>
        <w:rPr>
          <w:rFonts w:ascii="Arial" w:hAnsi="Arial" w:cs="Arial"/>
          <w:sz w:val="22"/>
        </w:rPr>
      </w:pPr>
      <w:r w:rsidRPr="00B17172">
        <w:rPr>
          <w:rFonts w:ascii="Arial" w:hAnsi="Arial" w:cs="Arial"/>
          <w:sz w:val="22"/>
        </w:rPr>
        <w:t>The Character</w:t>
      </w:r>
    </w:p>
    <w:p w:rsidR="0009605C" w:rsidRPr="00B17172" w:rsidRDefault="0009605C" w:rsidP="00AE0A5E">
      <w:pPr>
        <w:pStyle w:val="ListParagraph"/>
        <w:numPr>
          <w:ilvl w:val="0"/>
          <w:numId w:val="17"/>
        </w:numPr>
        <w:rPr>
          <w:rFonts w:ascii="Arial" w:hAnsi="Arial" w:cs="Arial"/>
          <w:sz w:val="22"/>
        </w:rPr>
      </w:pPr>
      <w:r w:rsidRPr="00B17172">
        <w:rPr>
          <w:rFonts w:ascii="Arial" w:hAnsi="Arial" w:cs="Arial"/>
          <w:sz w:val="22"/>
        </w:rPr>
        <w:t>The film it was used in</w:t>
      </w:r>
    </w:p>
    <w:p w:rsidR="0009605C" w:rsidRPr="00B17172" w:rsidRDefault="0009605C" w:rsidP="00AE0A5E">
      <w:pPr>
        <w:pStyle w:val="ListParagraph"/>
        <w:numPr>
          <w:ilvl w:val="0"/>
          <w:numId w:val="17"/>
        </w:numPr>
        <w:rPr>
          <w:rFonts w:ascii="Arial" w:hAnsi="Arial" w:cs="Arial"/>
          <w:sz w:val="22"/>
        </w:rPr>
      </w:pPr>
      <w:r w:rsidRPr="00B17172">
        <w:rPr>
          <w:rFonts w:ascii="Arial" w:hAnsi="Arial" w:cs="Arial"/>
          <w:sz w:val="22"/>
        </w:rPr>
        <w:t>The personality of the Character</w:t>
      </w:r>
    </w:p>
    <w:p w:rsidR="0009605C" w:rsidRPr="00B17172" w:rsidRDefault="0009605C" w:rsidP="00AE0A5E">
      <w:pPr>
        <w:pStyle w:val="ListParagraph"/>
        <w:numPr>
          <w:ilvl w:val="0"/>
          <w:numId w:val="17"/>
        </w:numPr>
        <w:rPr>
          <w:rFonts w:ascii="Arial" w:hAnsi="Arial" w:cs="Arial"/>
          <w:sz w:val="22"/>
        </w:rPr>
      </w:pPr>
      <w:r w:rsidRPr="00B17172">
        <w:rPr>
          <w:rFonts w:ascii="Arial" w:hAnsi="Arial" w:cs="Arial"/>
          <w:sz w:val="22"/>
        </w:rPr>
        <w:t>Some notable highlights of the Props on Display</w:t>
      </w:r>
    </w:p>
    <w:p w:rsidR="0009605C" w:rsidRPr="00B17172" w:rsidRDefault="0009605C" w:rsidP="00AE0A5E">
      <w:pPr>
        <w:pStyle w:val="ListParagraph"/>
        <w:numPr>
          <w:ilvl w:val="0"/>
          <w:numId w:val="17"/>
        </w:numPr>
        <w:rPr>
          <w:rFonts w:ascii="Arial" w:hAnsi="Arial" w:cs="Arial"/>
          <w:sz w:val="22"/>
        </w:rPr>
      </w:pPr>
      <w:r w:rsidRPr="00B17172">
        <w:rPr>
          <w:rFonts w:ascii="Arial" w:hAnsi="Arial" w:cs="Arial"/>
          <w:sz w:val="22"/>
        </w:rPr>
        <w:t>The inferred subtext of the design choices</w:t>
      </w:r>
    </w:p>
    <w:p w:rsidR="0009605C" w:rsidRDefault="0009605C" w:rsidP="00AE0A5E">
      <w:pPr>
        <w:rPr>
          <w:rFonts w:ascii="Arial" w:hAnsi="Arial" w:cs="Arial"/>
          <w:sz w:val="22"/>
        </w:rPr>
      </w:pPr>
      <w:r w:rsidRPr="00B17172">
        <w:rPr>
          <w:rFonts w:ascii="Arial" w:hAnsi="Arial" w:cs="Arial"/>
          <w:sz w:val="22"/>
        </w:rPr>
        <w:t xml:space="preserve">Within the display cases near the back wall will exhibit various memorabilia from many different films within the horror genre, they will be grouped by a common theme whether it be director or symbolism within the story. Most notably, a replica from the series </w:t>
      </w:r>
      <w:r w:rsidRPr="007F1EFD">
        <w:rPr>
          <w:rFonts w:ascii="Arial" w:hAnsi="Arial" w:cs="Arial"/>
          <w:i/>
          <w:sz w:val="22"/>
        </w:rPr>
        <w:t>Hellraiser</w:t>
      </w:r>
      <w:r w:rsidRPr="00B17172">
        <w:rPr>
          <w:rFonts w:ascii="Arial" w:hAnsi="Arial" w:cs="Arial"/>
          <w:sz w:val="22"/>
        </w:rPr>
        <w:t>; a puzzle box used by a character to open a portal between our dimension and another</w:t>
      </w:r>
      <w:r w:rsidR="007F1EFD">
        <w:rPr>
          <w:rFonts w:ascii="Arial" w:hAnsi="Arial" w:cs="Arial"/>
          <w:sz w:val="22"/>
        </w:rPr>
        <w:t xml:space="preserve"> (Figure 8)</w:t>
      </w:r>
      <w:r w:rsidRPr="00B17172">
        <w:rPr>
          <w:rFonts w:ascii="Arial" w:hAnsi="Arial" w:cs="Arial"/>
          <w:sz w:val="22"/>
        </w:rPr>
        <w:t xml:space="preserve">. </w:t>
      </w:r>
    </w:p>
    <w:p w:rsidR="00B17172" w:rsidRPr="00B17172" w:rsidRDefault="00B17172" w:rsidP="00B17172">
      <w:pPr>
        <w:pStyle w:val="Heading2"/>
      </w:pPr>
    </w:p>
    <w:p w:rsidR="0009605C" w:rsidRPr="00B17172" w:rsidRDefault="0009605C" w:rsidP="00AE0A5E">
      <w:pPr>
        <w:rPr>
          <w:rFonts w:ascii="Arial" w:hAnsi="Arial" w:cs="Arial"/>
          <w:sz w:val="22"/>
        </w:rPr>
      </w:pPr>
      <w:r w:rsidRPr="00B17172">
        <w:rPr>
          <w:rFonts w:ascii="Arial" w:hAnsi="Arial" w:cs="Arial"/>
          <w:sz w:val="22"/>
        </w:rPr>
        <w:t xml:space="preserve">A timeline of significant developments within the horror genre will be placed by the entrance and exit to the exhibition; this is so the items seen throughout the exhibition have context to the timeframe and society they were created in. </w:t>
      </w:r>
    </w:p>
    <w:p w:rsidR="0009605C" w:rsidRPr="00B17172" w:rsidRDefault="0009605C" w:rsidP="00AE0A5E">
      <w:pPr>
        <w:rPr>
          <w:rFonts w:ascii="Arial" w:hAnsi="Arial" w:cs="Arial"/>
          <w:sz w:val="22"/>
        </w:rPr>
      </w:pPr>
      <w:r w:rsidRPr="00B17172">
        <w:rPr>
          <w:rFonts w:ascii="Arial" w:hAnsi="Arial" w:cs="Arial"/>
          <w:sz w:val="22"/>
        </w:rPr>
        <w:t xml:space="preserve">To understand the type of timeline that would be in the exhibit, here are some examples of events that would be included: La </w:t>
      </w:r>
      <w:proofErr w:type="spellStart"/>
      <w:r w:rsidRPr="00B17172">
        <w:rPr>
          <w:rFonts w:ascii="Arial" w:hAnsi="Arial" w:cs="Arial"/>
          <w:sz w:val="22"/>
        </w:rPr>
        <w:t>Manoir</w:t>
      </w:r>
      <w:proofErr w:type="spellEnd"/>
      <w:r w:rsidRPr="00B17172">
        <w:rPr>
          <w:rFonts w:ascii="Arial" w:hAnsi="Arial" w:cs="Arial"/>
          <w:sz w:val="22"/>
        </w:rPr>
        <w:t xml:space="preserve"> du </w:t>
      </w:r>
      <w:proofErr w:type="spellStart"/>
      <w:r w:rsidRPr="00B17172">
        <w:rPr>
          <w:rFonts w:ascii="Arial" w:hAnsi="Arial" w:cs="Arial"/>
          <w:sz w:val="22"/>
        </w:rPr>
        <w:t>Diable</w:t>
      </w:r>
      <w:proofErr w:type="spellEnd"/>
      <w:r w:rsidRPr="00B17172">
        <w:rPr>
          <w:rFonts w:ascii="Arial" w:hAnsi="Arial" w:cs="Arial"/>
          <w:sz w:val="22"/>
        </w:rPr>
        <w:t xml:space="preserve"> an 1896 film widely considered the first horror film, Hays Code an industry standard rule set made by the government in 1930, Freaks a studio film in 1932 that was banned in many cinemas, Cat People a film from 1942 that used parts of the Hays Code and subverted it’s meaning to use as a plot device, Psycho a film made in 1960 that arguably started the slasher sub-genre. </w:t>
      </w:r>
    </w:p>
    <w:p w:rsidR="0009605C" w:rsidRPr="00B17172" w:rsidRDefault="0009605C" w:rsidP="00AE0A5E">
      <w:pPr>
        <w:rPr>
          <w:rFonts w:ascii="Arial" w:hAnsi="Arial" w:cs="Arial"/>
          <w:sz w:val="22"/>
        </w:rPr>
      </w:pPr>
      <w:r w:rsidRPr="00B17172">
        <w:rPr>
          <w:rFonts w:ascii="Arial" w:hAnsi="Arial" w:cs="Arial"/>
          <w:sz w:val="22"/>
        </w:rPr>
        <w:lastRenderedPageBreak/>
        <w:t xml:space="preserve">The timeline itself would be a mixed media styled board, including screens to show clips of the films featured alongside their explanation, excerpts such as the Hays Code itself or commentary from directors, stills of significant moments from the films and photographs of relevant memorabilia that left its mark on the horror genre. </w:t>
      </w:r>
    </w:p>
    <w:p w:rsidR="00B17172" w:rsidRDefault="00B17172" w:rsidP="00B17172">
      <w:pPr>
        <w:pStyle w:val="Heading2"/>
      </w:pPr>
    </w:p>
    <w:p w:rsidR="0009605C" w:rsidRPr="00B17172" w:rsidRDefault="0009605C" w:rsidP="00AE0A5E">
      <w:pPr>
        <w:rPr>
          <w:rFonts w:ascii="Arial" w:hAnsi="Arial" w:cs="Arial"/>
          <w:sz w:val="22"/>
        </w:rPr>
      </w:pPr>
      <w:r w:rsidRPr="00B17172">
        <w:rPr>
          <w:rFonts w:ascii="Arial" w:hAnsi="Arial" w:cs="Arial"/>
          <w:sz w:val="22"/>
        </w:rPr>
        <w:t xml:space="preserve">For the two remaining walls of the exhibition, there will be a collection of different works from the horror genre, such as: stills from the films, screens to show clips, excerpts of commentary from the director or relevant newspaper clippings. All these items will be analysed and critiqued in an information card next to the piece of work the commentary is about; these analysations and critiques will be sourced from academic writings. To be able to display these writings I would need to required copy right </w:t>
      </w:r>
      <w:r w:rsidR="007F1EFD" w:rsidRPr="00B17172">
        <w:rPr>
          <w:rFonts w:ascii="Arial" w:hAnsi="Arial" w:cs="Arial"/>
          <w:sz w:val="22"/>
        </w:rPr>
        <w:t>licenses</w:t>
      </w:r>
      <w:r w:rsidRPr="00B17172">
        <w:rPr>
          <w:rFonts w:ascii="Arial" w:hAnsi="Arial" w:cs="Arial"/>
          <w:sz w:val="22"/>
        </w:rPr>
        <w:t xml:space="preserve"> and permissions from the writers. The inclusions of the academic writings would give the viewer more understanding of the creative process and the interpretations of the films, excerpts and stills on display. </w:t>
      </w:r>
    </w:p>
    <w:p w:rsidR="0009605C" w:rsidRPr="00B17172" w:rsidRDefault="0009605C" w:rsidP="00AE0A5E">
      <w:pPr>
        <w:rPr>
          <w:rFonts w:ascii="Arial" w:hAnsi="Arial" w:cs="Arial"/>
          <w:sz w:val="22"/>
        </w:rPr>
      </w:pPr>
      <w:r w:rsidRPr="00B17172">
        <w:rPr>
          <w:rFonts w:ascii="Arial" w:hAnsi="Arial" w:cs="Arial"/>
          <w:sz w:val="22"/>
        </w:rPr>
        <w:t xml:space="preserve">One example of the creative process being explored, challenged and understood would be excerpts from behind the scenes of the films </w:t>
      </w:r>
      <w:r w:rsidRPr="00B17172">
        <w:rPr>
          <w:rFonts w:ascii="Arial" w:hAnsi="Arial" w:cs="Arial"/>
          <w:i/>
          <w:sz w:val="22"/>
        </w:rPr>
        <w:t xml:space="preserve">The Thing </w:t>
      </w:r>
      <w:r w:rsidRPr="00B17172">
        <w:rPr>
          <w:rFonts w:ascii="Arial" w:hAnsi="Arial" w:cs="Arial"/>
          <w:sz w:val="22"/>
        </w:rPr>
        <w:t xml:space="preserve">(1982) and </w:t>
      </w:r>
      <w:r w:rsidRPr="00B17172">
        <w:rPr>
          <w:rFonts w:ascii="Arial" w:hAnsi="Arial" w:cs="Arial"/>
          <w:i/>
          <w:sz w:val="22"/>
        </w:rPr>
        <w:t xml:space="preserve">The Thing </w:t>
      </w:r>
      <w:r w:rsidRPr="00B17172">
        <w:rPr>
          <w:rFonts w:ascii="Arial" w:hAnsi="Arial" w:cs="Arial"/>
          <w:sz w:val="22"/>
        </w:rPr>
        <w:t>(2011). Alongside the excerpts, concept sketches, first versions of the film before effects and post processed clips of the films will be shown. Each of these will be analysed and compared to one another to see the differences in the creative process of each film when coming from the same concept.</w:t>
      </w:r>
    </w:p>
    <w:p w:rsidR="0009605C" w:rsidRPr="00B17172" w:rsidRDefault="0009605C" w:rsidP="00AE0A5E">
      <w:pPr>
        <w:rPr>
          <w:rFonts w:ascii="Arial" w:hAnsi="Arial" w:cs="Arial"/>
          <w:sz w:val="22"/>
        </w:rPr>
      </w:pPr>
      <w:r w:rsidRPr="00B17172">
        <w:rPr>
          <w:rFonts w:ascii="Arial" w:hAnsi="Arial" w:cs="Arial"/>
          <w:sz w:val="22"/>
        </w:rPr>
        <w:t xml:space="preserve">Another example being included in this section of the exhibit, would be excerpts, clips and stills from the film franchise </w:t>
      </w:r>
      <w:r w:rsidRPr="00B17172">
        <w:rPr>
          <w:rFonts w:ascii="Arial" w:hAnsi="Arial" w:cs="Arial"/>
          <w:i/>
          <w:sz w:val="22"/>
        </w:rPr>
        <w:t>Texas Chainsaw Massacre</w:t>
      </w:r>
      <w:r w:rsidRPr="00B17172">
        <w:rPr>
          <w:rFonts w:ascii="Arial" w:hAnsi="Arial" w:cs="Arial"/>
          <w:sz w:val="22"/>
        </w:rPr>
        <w:t xml:space="preserve">. A good commentary for this franchise comes from Carol Clover’s </w:t>
      </w:r>
      <w:r w:rsidRPr="00B17172">
        <w:rPr>
          <w:rFonts w:ascii="Arial" w:hAnsi="Arial" w:cs="Arial"/>
          <w:i/>
          <w:sz w:val="22"/>
        </w:rPr>
        <w:t>Men, Women and Chainsaws</w:t>
      </w:r>
      <w:r w:rsidRPr="00B17172">
        <w:rPr>
          <w:rFonts w:ascii="Arial" w:hAnsi="Arial" w:cs="Arial"/>
          <w:sz w:val="22"/>
        </w:rPr>
        <w:t xml:space="preserve"> (1992) where it examines the role of the final girl and how the many systems of a horror film facilitates this as well as how the audience reacts to the developments on screen. Cover’s book has found its home in the way my exhibition displays the information alongside the intended media it analyses and critiques, giving it a greater context. While not only is it displayed in a way that lets the viewer take away meaning, it’s displayed alongside likeminded pieces that covers the role and symbolism of costumes, props and design choices shown within the exhibition.</w:t>
      </w:r>
    </w:p>
    <w:p w:rsidR="0009605C" w:rsidRPr="00B17172" w:rsidRDefault="0009605C" w:rsidP="00AE0A5E">
      <w:pPr>
        <w:rPr>
          <w:rFonts w:ascii="Arial" w:hAnsi="Arial" w:cs="Arial"/>
          <w:sz w:val="22"/>
        </w:rPr>
      </w:pPr>
      <w:r w:rsidRPr="00B17172">
        <w:rPr>
          <w:rFonts w:ascii="Arial" w:hAnsi="Arial" w:cs="Arial"/>
          <w:sz w:val="22"/>
        </w:rPr>
        <w:t xml:space="preserve">While Clover’s book lends itself well to the Texas chainsaw massacre franchise, it covers wider themes seen throughout the horror film genre. One such theme covered is the way she uses sexualised language when talking about specific scenes within horror movies, such as “penetration scene” in relation to the final girl using the killer’s own weapon against them. This example could easily be placed within the information card for Jason Voorhees’ as the potential victim uses Jason’s own machete against him; while this at first glance may not seem sexualised in the common terms, Clover’s analogy would say that it gives his machete a phallic symbology in the way that it gives him power over his victims along with the balance of power changing when the machete is used against him. </w:t>
      </w:r>
    </w:p>
    <w:p w:rsidR="00AE0A5E" w:rsidRPr="00857DDE" w:rsidRDefault="00AE0A5E" w:rsidP="00AE0A5E">
      <w:pPr>
        <w:pStyle w:val="Heading2"/>
      </w:pPr>
    </w:p>
    <w:p w:rsidR="0009605C" w:rsidRPr="00B17172" w:rsidRDefault="0009605C" w:rsidP="00AE0A5E">
      <w:pPr>
        <w:rPr>
          <w:rFonts w:ascii="Arial" w:hAnsi="Arial" w:cs="Arial"/>
          <w:sz w:val="22"/>
        </w:rPr>
      </w:pPr>
      <w:r w:rsidRPr="00B17172">
        <w:rPr>
          <w:rFonts w:ascii="Arial" w:hAnsi="Arial" w:cs="Arial"/>
          <w:sz w:val="22"/>
        </w:rPr>
        <w:t xml:space="preserve">In conclusion, my exhibition will be showing the significance of design, explaining the context of the design process and reading between the lines to find an understanding of the symbolism used within the horror film genre. There will be original costumes, props and media displayed, alongside replicas and commentaries both academic and literary works on the exhibition pieces. Each have a higher purpose to give the viewer an enlightened understanding of the design process, time frame and inspiration of </w:t>
      </w:r>
      <w:proofErr w:type="gramStart"/>
      <w:r w:rsidRPr="00B17172">
        <w:rPr>
          <w:rFonts w:ascii="Arial" w:hAnsi="Arial" w:cs="Arial"/>
          <w:sz w:val="22"/>
        </w:rPr>
        <w:t>each and every</w:t>
      </w:r>
      <w:proofErr w:type="gramEnd"/>
      <w:r w:rsidRPr="00B17172">
        <w:rPr>
          <w:rFonts w:ascii="Arial" w:hAnsi="Arial" w:cs="Arial"/>
          <w:sz w:val="22"/>
        </w:rPr>
        <w:t xml:space="preserve"> display piece. </w:t>
      </w:r>
    </w:p>
    <w:p w:rsidR="0009605C" w:rsidRPr="00857DDE" w:rsidRDefault="0009605C" w:rsidP="00AE0A5E">
      <w:r w:rsidRPr="00857DDE">
        <w:br w:type="page"/>
      </w:r>
    </w:p>
    <w:p w:rsidR="0009605C" w:rsidRDefault="0009605C" w:rsidP="00AE0A5E">
      <w:pPr>
        <w:pStyle w:val="Heading2"/>
      </w:pPr>
    </w:p>
    <w:p w:rsidR="0009605C" w:rsidRDefault="0009605C" w:rsidP="00AE0A5E">
      <w:pPr>
        <w:rPr>
          <w:b/>
          <w:u w:val="single"/>
        </w:rPr>
      </w:pPr>
      <w:r>
        <w:rPr>
          <w:b/>
          <w:u w:val="single"/>
        </w:rPr>
        <w:t>Picture list</w:t>
      </w:r>
    </w:p>
    <w:p w:rsidR="0009605C" w:rsidRDefault="0009605C" w:rsidP="00AE0A5E">
      <w:pPr>
        <w:rPr>
          <w:noProof/>
        </w:rPr>
      </w:pPr>
    </w:p>
    <w:p w:rsidR="0009605C" w:rsidRPr="00AB0369" w:rsidRDefault="0009605C" w:rsidP="00AE0A5E">
      <w:pPr>
        <w:rPr>
          <w:i/>
        </w:rPr>
      </w:pPr>
      <w:bookmarkStart w:id="0" w:name="_GoBack"/>
      <w:bookmarkEnd w:id="0"/>
      <w:r>
        <w:rPr>
          <w:noProof/>
        </w:rPr>
        <w:drawing>
          <wp:inline distT="0" distB="0" distL="0" distR="0" wp14:anchorId="134708C9" wp14:editId="2728B76D">
            <wp:extent cx="3166533" cy="4712625"/>
            <wp:effectExtent l="0" t="0" r="0" b="0"/>
            <wp:docPr id="2" name="Picture 2" descr="https://scontent-lht6-1.xx.fbcdn.net/v/t1.15752-9/59422671_1070397866482621_1565696320205750272_n.png?_nc_cat=101&amp;_nc_ht=scontent-lht6-1.xx&amp;oh=2e6fae086cfa4c755dce5a99366b6675&amp;oe=5D6A5F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59422671_1070397866482621_1565696320205750272_n.png?_nc_cat=101&amp;_nc_ht=scontent-lht6-1.xx&amp;oh=2e6fae086cfa4c755dce5a99366b6675&amp;oe=5D6A5F27"/>
                    <pic:cNvPicPr>
                      <a:picLocks noChangeAspect="1" noChangeArrowheads="1"/>
                    </pic:cNvPicPr>
                  </pic:nvPicPr>
                  <pic:blipFill rotWithShape="1">
                    <a:blip r:embed="rId8">
                      <a:extLst>
                        <a:ext uri="{28A0092B-C50C-407E-A947-70E740481C1C}">
                          <a14:useLocalDpi xmlns:a14="http://schemas.microsoft.com/office/drawing/2010/main" val="0"/>
                        </a:ext>
                      </a:extLst>
                    </a:blip>
                    <a:srcRect l="181" t="10507" r="-181" b="11081"/>
                    <a:stretch/>
                  </pic:blipFill>
                  <pic:spPr bwMode="auto">
                    <a:xfrm>
                      <a:off x="0" y="0"/>
                      <a:ext cx="3190047" cy="4747620"/>
                    </a:xfrm>
                    <a:prstGeom prst="rect">
                      <a:avLst/>
                    </a:prstGeom>
                    <a:noFill/>
                    <a:ln>
                      <a:noFill/>
                    </a:ln>
                    <a:extLst>
                      <a:ext uri="{53640926-AAD7-44D8-BBD7-CCE9431645EC}">
                        <a14:shadowObscured xmlns:a14="http://schemas.microsoft.com/office/drawing/2010/main"/>
                      </a:ext>
                    </a:extLst>
                  </pic:spPr>
                </pic:pic>
              </a:graphicData>
            </a:graphic>
          </wp:inline>
        </w:drawing>
      </w:r>
      <w:r w:rsidR="00AB0369">
        <w:rPr>
          <w:b/>
          <w:u w:val="single"/>
        </w:rPr>
        <w:t xml:space="preserve">  </w:t>
      </w:r>
      <w:r w:rsidR="00AB0369">
        <w:rPr>
          <w:i/>
        </w:rPr>
        <w:t>Figure 1</w:t>
      </w:r>
    </w:p>
    <w:p w:rsidR="0009605C" w:rsidRPr="00AB0369" w:rsidRDefault="0009605C" w:rsidP="00AE0A5E">
      <w:pPr>
        <w:rPr>
          <w:i/>
        </w:rPr>
      </w:pPr>
      <w:r>
        <w:rPr>
          <w:noProof/>
        </w:rPr>
        <w:lastRenderedPageBreak/>
        <w:drawing>
          <wp:inline distT="0" distB="0" distL="0" distR="0" wp14:anchorId="6011911C" wp14:editId="1CF8C813">
            <wp:extent cx="829585" cy="2340000"/>
            <wp:effectExtent l="0" t="0" r="8890" b="3175"/>
            <wp:docPr id="11" name="Picture 11" descr="https://vignette.wikia.nocookie.net/nightmareonelmstreet/images/2/20/Freddy_Krueger.png/revision/latest?cb=201510290610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vignette.wikia.nocookie.net/nightmareonelmstreet/images/2/20/Freddy_Krueger.png/revision/latest?cb=201510290610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29585" cy="2340000"/>
                    </a:xfrm>
                    <a:prstGeom prst="rect">
                      <a:avLst/>
                    </a:prstGeom>
                    <a:noFill/>
                    <a:ln>
                      <a:noFill/>
                    </a:ln>
                  </pic:spPr>
                </pic:pic>
              </a:graphicData>
            </a:graphic>
          </wp:inline>
        </w:drawing>
      </w:r>
      <w:r w:rsidR="00AB0369">
        <w:rPr>
          <w:b/>
          <w:u w:val="single"/>
        </w:rPr>
        <w:t xml:space="preserve"> </w:t>
      </w:r>
      <w:r w:rsidR="00AB0369">
        <w:rPr>
          <w:i/>
        </w:rPr>
        <w:t>Figure 2</w:t>
      </w:r>
    </w:p>
    <w:p w:rsidR="0009605C" w:rsidRPr="00AB0369" w:rsidRDefault="0009605C" w:rsidP="00AE0A5E">
      <w:r>
        <w:rPr>
          <w:noProof/>
        </w:rPr>
        <w:drawing>
          <wp:inline distT="0" distB="0" distL="0" distR="0" wp14:anchorId="0F203FC5" wp14:editId="633B2B40">
            <wp:extent cx="2185773" cy="2340000"/>
            <wp:effectExtent l="0" t="0" r="5080" b="3175"/>
            <wp:docPr id="4" name="Picture 4" descr="Image result for freddy krueger gl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reddy krueger glov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85773" cy="2340000"/>
                    </a:xfrm>
                    <a:prstGeom prst="rect">
                      <a:avLst/>
                    </a:prstGeom>
                    <a:noFill/>
                    <a:ln>
                      <a:noFill/>
                    </a:ln>
                  </pic:spPr>
                </pic:pic>
              </a:graphicData>
            </a:graphic>
          </wp:inline>
        </w:drawing>
      </w:r>
      <w:r w:rsidR="00AB0369">
        <w:t xml:space="preserve"> Figure 3</w:t>
      </w:r>
    </w:p>
    <w:p w:rsidR="0009605C" w:rsidRPr="00AB0369" w:rsidRDefault="0009605C" w:rsidP="00AE0A5E">
      <w:pPr>
        <w:rPr>
          <w:i/>
        </w:rPr>
      </w:pPr>
      <w:r>
        <w:rPr>
          <w:noProof/>
        </w:rPr>
        <w:drawing>
          <wp:inline distT="0" distB="0" distL="0" distR="0" wp14:anchorId="6FF7296A" wp14:editId="77FCA850">
            <wp:extent cx="1673066" cy="2340000"/>
            <wp:effectExtent l="0" t="0" r="3810" b="3175"/>
            <wp:docPr id="12" name="Picture 12" descr="Part I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rt II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73066" cy="2340000"/>
                    </a:xfrm>
                    <a:prstGeom prst="rect">
                      <a:avLst/>
                    </a:prstGeom>
                    <a:noFill/>
                    <a:ln>
                      <a:noFill/>
                    </a:ln>
                  </pic:spPr>
                </pic:pic>
              </a:graphicData>
            </a:graphic>
          </wp:inline>
        </w:drawing>
      </w:r>
      <w:r w:rsidR="00AB0369">
        <w:rPr>
          <w:b/>
          <w:u w:val="single"/>
        </w:rPr>
        <w:t xml:space="preserve"> </w:t>
      </w:r>
      <w:r w:rsidR="00AB0369">
        <w:rPr>
          <w:i/>
        </w:rPr>
        <w:t>Figure 4</w:t>
      </w:r>
    </w:p>
    <w:p w:rsidR="0009605C" w:rsidRDefault="0009605C" w:rsidP="00AE0A5E">
      <w:pPr>
        <w:rPr>
          <w:b/>
          <w:u w:val="single"/>
        </w:rPr>
      </w:pPr>
    </w:p>
    <w:p w:rsidR="0009605C" w:rsidRPr="00AB0369" w:rsidRDefault="0009605C" w:rsidP="00AE0A5E">
      <w:pPr>
        <w:rPr>
          <w:i/>
        </w:rPr>
      </w:pPr>
      <w:r>
        <w:rPr>
          <w:noProof/>
        </w:rPr>
        <w:lastRenderedPageBreak/>
        <w:drawing>
          <wp:inline distT="0" distB="0" distL="0" distR="0" wp14:anchorId="32D1F8FA" wp14:editId="3C4968A9">
            <wp:extent cx="1132258" cy="2340000"/>
            <wp:effectExtent l="0" t="0" r="0" b="3175"/>
            <wp:docPr id="13" name="Picture 13" descr="Friday13machet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riday13machet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32258" cy="2340000"/>
                    </a:xfrm>
                    <a:prstGeom prst="rect">
                      <a:avLst/>
                    </a:prstGeom>
                    <a:noFill/>
                    <a:ln>
                      <a:noFill/>
                    </a:ln>
                  </pic:spPr>
                </pic:pic>
              </a:graphicData>
            </a:graphic>
          </wp:inline>
        </w:drawing>
      </w:r>
      <w:r w:rsidR="00AB0369">
        <w:rPr>
          <w:b/>
          <w:u w:val="single"/>
        </w:rPr>
        <w:t xml:space="preserve"> </w:t>
      </w:r>
      <w:r w:rsidR="00AB0369">
        <w:rPr>
          <w:i/>
        </w:rPr>
        <w:t>Figure 5</w:t>
      </w:r>
    </w:p>
    <w:p w:rsidR="0009605C" w:rsidRDefault="0009605C" w:rsidP="00AE0A5E">
      <w:pPr>
        <w:rPr>
          <w:noProof/>
        </w:rPr>
      </w:pPr>
    </w:p>
    <w:p w:rsidR="0009605C" w:rsidRPr="00AB0369" w:rsidRDefault="0009605C" w:rsidP="00AE0A5E">
      <w:pPr>
        <w:rPr>
          <w:i/>
        </w:rPr>
      </w:pPr>
      <w:r>
        <w:rPr>
          <w:noProof/>
        </w:rPr>
        <w:drawing>
          <wp:inline distT="0" distB="0" distL="0" distR="0" wp14:anchorId="6740ED10" wp14:editId="40D37E91">
            <wp:extent cx="1526087" cy="2340000"/>
            <wp:effectExtent l="0" t="0" r="0" b="3175"/>
            <wp:docPr id="14" name="Picture 14" descr="A4029100-F453-4BBE-B6CF-DFAB69497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4029100-F453-4BBE-B6CF-DFAB694978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26087" cy="2340000"/>
                    </a:xfrm>
                    <a:prstGeom prst="rect">
                      <a:avLst/>
                    </a:prstGeom>
                    <a:noFill/>
                    <a:ln>
                      <a:noFill/>
                    </a:ln>
                  </pic:spPr>
                </pic:pic>
              </a:graphicData>
            </a:graphic>
          </wp:inline>
        </w:drawing>
      </w:r>
      <w:r w:rsidR="00AB0369">
        <w:rPr>
          <w:b/>
          <w:u w:val="single"/>
        </w:rPr>
        <w:t xml:space="preserve"> </w:t>
      </w:r>
      <w:r w:rsidR="00AB0369">
        <w:rPr>
          <w:i/>
        </w:rPr>
        <w:t>Figure 6</w:t>
      </w:r>
    </w:p>
    <w:p w:rsidR="0009605C" w:rsidRPr="00AB0369" w:rsidRDefault="0009605C" w:rsidP="00AE0A5E">
      <w:pPr>
        <w:rPr>
          <w:i/>
        </w:rPr>
      </w:pPr>
      <w:r>
        <w:rPr>
          <w:noProof/>
        </w:rPr>
        <w:drawing>
          <wp:inline distT="0" distB="0" distL="0" distR="0" wp14:anchorId="0CAB4EE8" wp14:editId="22FEBFAC">
            <wp:extent cx="2340000" cy="2340000"/>
            <wp:effectExtent l="0" t="0" r="3175" b="3175"/>
            <wp:docPr id="9" name="Picture 9" descr="Image result for michael myers kn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ichael myers knif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40000" cy="2340000"/>
                    </a:xfrm>
                    <a:prstGeom prst="rect">
                      <a:avLst/>
                    </a:prstGeom>
                    <a:noFill/>
                    <a:ln>
                      <a:noFill/>
                    </a:ln>
                  </pic:spPr>
                </pic:pic>
              </a:graphicData>
            </a:graphic>
          </wp:inline>
        </w:drawing>
      </w:r>
      <w:r w:rsidR="00AB0369">
        <w:rPr>
          <w:b/>
          <w:u w:val="single"/>
        </w:rPr>
        <w:t xml:space="preserve"> </w:t>
      </w:r>
      <w:r w:rsidR="00AB0369">
        <w:rPr>
          <w:i/>
        </w:rPr>
        <w:t>Figure 7</w:t>
      </w:r>
    </w:p>
    <w:p w:rsidR="0009605C" w:rsidRPr="00AB0369" w:rsidRDefault="0009605C" w:rsidP="00AE0A5E">
      <w:pPr>
        <w:rPr>
          <w:i/>
        </w:rPr>
      </w:pPr>
      <w:r>
        <w:rPr>
          <w:noProof/>
        </w:rPr>
        <w:lastRenderedPageBreak/>
        <w:drawing>
          <wp:inline distT="0" distB="0" distL="0" distR="0" wp14:anchorId="220BF577" wp14:editId="3FD490C0">
            <wp:extent cx="2248093" cy="2340000"/>
            <wp:effectExtent l="0" t="0" r="0" b="3175"/>
            <wp:docPr id="10" name="Picture 10" descr="Image result for hellraiser puzzle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hellraiser puzzle box"/>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48093" cy="2340000"/>
                    </a:xfrm>
                    <a:prstGeom prst="rect">
                      <a:avLst/>
                    </a:prstGeom>
                    <a:noFill/>
                    <a:ln>
                      <a:noFill/>
                    </a:ln>
                  </pic:spPr>
                </pic:pic>
              </a:graphicData>
            </a:graphic>
          </wp:inline>
        </w:drawing>
      </w:r>
      <w:r w:rsidR="00AB0369">
        <w:rPr>
          <w:b/>
          <w:u w:val="single"/>
        </w:rPr>
        <w:t xml:space="preserve"> </w:t>
      </w:r>
      <w:r w:rsidR="00AB0369">
        <w:rPr>
          <w:i/>
        </w:rPr>
        <w:t>Figure 8</w:t>
      </w:r>
    </w:p>
    <w:p w:rsidR="0009605C" w:rsidRDefault="0009605C" w:rsidP="00AE0A5E">
      <w:pPr>
        <w:rPr>
          <w:b/>
          <w:u w:val="single"/>
        </w:rPr>
      </w:pPr>
    </w:p>
    <w:p w:rsidR="00762049" w:rsidRDefault="0009605C" w:rsidP="00AE0A5E">
      <w:pPr>
        <w:rPr>
          <w:i/>
        </w:rPr>
      </w:pPr>
      <w:r>
        <w:rPr>
          <w:noProof/>
        </w:rPr>
        <w:drawing>
          <wp:inline distT="0" distB="0" distL="0" distR="0" wp14:anchorId="58C1EA45" wp14:editId="22452EB6">
            <wp:extent cx="4628718" cy="2340000"/>
            <wp:effectExtent l="0" t="0" r="635" b="3175"/>
            <wp:docPr id="1" name="Picture 1" descr="https://scontent-lht6-1.xx.fbcdn.net/v/t1.15752-9/59629507_399330664249918_4774546402288074752_n.png?_nc_cat=110&amp;_nc_ht=scontent-lht6-1.xx&amp;oh=d8f70819757c7a819aeb3b545ff2b24e&amp;oe=5D775D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59629507_399330664249918_4774546402288074752_n.png?_nc_cat=110&amp;_nc_ht=scontent-lht6-1.xx&amp;oh=d8f70819757c7a819aeb3b545ff2b24e&amp;oe=5D775D3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28718" cy="2340000"/>
                    </a:xfrm>
                    <a:prstGeom prst="rect">
                      <a:avLst/>
                    </a:prstGeom>
                    <a:noFill/>
                    <a:ln>
                      <a:noFill/>
                    </a:ln>
                  </pic:spPr>
                </pic:pic>
              </a:graphicData>
            </a:graphic>
          </wp:inline>
        </w:drawing>
      </w:r>
      <w:r w:rsidR="00AB0369">
        <w:t xml:space="preserve"> </w:t>
      </w:r>
      <w:r w:rsidR="00AB0369">
        <w:rPr>
          <w:i/>
        </w:rPr>
        <w:t>Figure 9</w:t>
      </w:r>
    </w:p>
    <w:p w:rsidR="00762049" w:rsidRDefault="00762049" w:rsidP="00762049">
      <w:r>
        <w:br w:type="page"/>
      </w:r>
    </w:p>
    <w:p w:rsidR="002C74C0" w:rsidRDefault="00762049" w:rsidP="00AE0A5E">
      <w:pPr>
        <w:rPr>
          <w:b/>
          <w:u w:val="single"/>
        </w:rPr>
      </w:pPr>
      <w:r>
        <w:rPr>
          <w:b/>
          <w:u w:val="single"/>
        </w:rPr>
        <w:lastRenderedPageBreak/>
        <w:t>Bibliography</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Brooke, M. (2014). </w:t>
      </w:r>
      <w:r>
        <w:rPr>
          <w:i/>
          <w:iCs/>
          <w:color w:val="000000"/>
          <w:sz w:val="27"/>
          <w:szCs w:val="27"/>
        </w:rPr>
        <w:t xml:space="preserve">BFI </w:t>
      </w:r>
      <w:proofErr w:type="spellStart"/>
      <w:r>
        <w:rPr>
          <w:i/>
          <w:iCs/>
          <w:color w:val="000000"/>
          <w:sz w:val="27"/>
          <w:szCs w:val="27"/>
        </w:rPr>
        <w:t>Screenonline</w:t>
      </w:r>
      <w:proofErr w:type="spellEnd"/>
      <w:r>
        <w:rPr>
          <w:i/>
          <w:iCs/>
          <w:color w:val="000000"/>
          <w:sz w:val="27"/>
          <w:szCs w:val="27"/>
        </w:rPr>
        <w:t>: The Hays Code</w:t>
      </w:r>
      <w:r>
        <w:rPr>
          <w:color w:val="000000"/>
          <w:sz w:val="27"/>
          <w:szCs w:val="27"/>
        </w:rPr>
        <w:t>. [online] Screenonline.org.uk. Available at: http://www.screenonline.org.uk/film/id/592022/ [Accessed 10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Clover, C. (2015). </w:t>
      </w:r>
      <w:r>
        <w:rPr>
          <w:i/>
          <w:iCs/>
          <w:color w:val="000000"/>
          <w:sz w:val="27"/>
          <w:szCs w:val="27"/>
        </w:rPr>
        <w:t>Men, women and chain saws</w:t>
      </w:r>
      <w:r>
        <w:rPr>
          <w:color w:val="000000"/>
          <w:sz w:val="27"/>
          <w:szCs w:val="27"/>
        </w:rPr>
        <w:t>. Princeton (N.J.): Princeton University Press.</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Duffy, C. (2018). </w:t>
      </w:r>
      <w:r>
        <w:rPr>
          <w:i/>
          <w:iCs/>
          <w:color w:val="000000"/>
          <w:sz w:val="27"/>
          <w:szCs w:val="27"/>
        </w:rPr>
        <w:t>Men, Women, and Chainsaws: Gender in the Modern Horror Film (1992) – Caitlin Duffy</w:t>
      </w:r>
      <w:r>
        <w:rPr>
          <w:color w:val="000000"/>
          <w:sz w:val="27"/>
          <w:szCs w:val="27"/>
        </w:rPr>
        <w:t>. [online] Caitlinduffy.hcommons.org. Available at: https://caitlinduffy.hcommons.org/2018/07/12/men-women-and-chainsaws-gender-in-the-modern-horror-film-1992 [Accessed 6 May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Ferro, S. (2016). </w:t>
      </w:r>
      <w:r>
        <w:rPr>
          <w:i/>
          <w:iCs/>
          <w:color w:val="000000"/>
          <w:sz w:val="27"/>
          <w:szCs w:val="27"/>
        </w:rPr>
        <w:t>Watch the World’s First Horror Movie From 1896</w:t>
      </w:r>
      <w:r>
        <w:rPr>
          <w:color w:val="000000"/>
          <w:sz w:val="27"/>
          <w:szCs w:val="27"/>
        </w:rPr>
        <w:t>. [online] Mentalfloss.com. Available at: http://mentalfloss.com/article/70525/watch-worlds-first-horror-movie-1896 [Accessed 10 Apr. 2019].</w:t>
      </w:r>
    </w:p>
    <w:p w:rsidR="00762049" w:rsidRDefault="00762049" w:rsidP="00762049">
      <w:pPr>
        <w:pStyle w:val="NormalWeb"/>
        <w:spacing w:before="0" w:beforeAutospacing="0" w:after="180" w:afterAutospacing="0"/>
        <w:ind w:left="450" w:hanging="450"/>
        <w:rPr>
          <w:color w:val="000000"/>
          <w:sz w:val="27"/>
          <w:szCs w:val="27"/>
        </w:rPr>
      </w:pPr>
      <w:r>
        <w:rPr>
          <w:i/>
          <w:iCs/>
          <w:color w:val="000000"/>
          <w:sz w:val="27"/>
          <w:szCs w:val="27"/>
        </w:rPr>
        <w:t xml:space="preserve">Going </w:t>
      </w:r>
      <w:proofErr w:type="gramStart"/>
      <w:r>
        <w:rPr>
          <w:i/>
          <w:iCs/>
          <w:color w:val="000000"/>
          <w:sz w:val="27"/>
          <w:szCs w:val="27"/>
        </w:rPr>
        <w:t>To</w:t>
      </w:r>
      <w:proofErr w:type="gramEnd"/>
      <w:r>
        <w:rPr>
          <w:i/>
          <w:iCs/>
          <w:color w:val="000000"/>
          <w:sz w:val="27"/>
          <w:szCs w:val="27"/>
        </w:rPr>
        <w:t xml:space="preserve"> Pieces: The Rise and Fall of The Slasher Film</w:t>
      </w:r>
      <w:r>
        <w:rPr>
          <w:color w:val="000000"/>
          <w:sz w:val="27"/>
          <w:szCs w:val="27"/>
        </w:rPr>
        <w:t xml:space="preserve">. (2006). [film] Directed by J. McQueen. Meridian, Colorado: </w:t>
      </w:r>
      <w:proofErr w:type="spellStart"/>
      <w:r>
        <w:rPr>
          <w:color w:val="000000"/>
          <w:sz w:val="27"/>
          <w:szCs w:val="27"/>
        </w:rPr>
        <w:t>Starz</w:t>
      </w:r>
      <w:proofErr w:type="spellEnd"/>
      <w:r>
        <w:rPr>
          <w:color w:val="000000"/>
          <w:sz w:val="27"/>
          <w:szCs w:val="27"/>
        </w:rPr>
        <w:t>.</w:t>
      </w:r>
    </w:p>
    <w:p w:rsidR="00762049" w:rsidRDefault="00762049" w:rsidP="00762049">
      <w:pPr>
        <w:pStyle w:val="NormalWeb"/>
        <w:spacing w:before="0" w:beforeAutospacing="0" w:after="180" w:afterAutospacing="0"/>
        <w:ind w:left="450" w:hanging="450"/>
        <w:rPr>
          <w:color w:val="000000"/>
          <w:sz w:val="27"/>
          <w:szCs w:val="27"/>
        </w:rPr>
      </w:pPr>
      <w:r>
        <w:rPr>
          <w:i/>
          <w:iCs/>
          <w:color w:val="000000"/>
          <w:sz w:val="27"/>
          <w:szCs w:val="27"/>
        </w:rPr>
        <w:t xml:space="preserve">Le </w:t>
      </w:r>
      <w:proofErr w:type="spellStart"/>
      <w:r>
        <w:rPr>
          <w:i/>
          <w:iCs/>
          <w:color w:val="000000"/>
          <w:sz w:val="27"/>
          <w:szCs w:val="27"/>
        </w:rPr>
        <w:t>Manoir</w:t>
      </w:r>
      <w:proofErr w:type="spellEnd"/>
      <w:r>
        <w:rPr>
          <w:i/>
          <w:iCs/>
          <w:color w:val="000000"/>
          <w:sz w:val="27"/>
          <w:szCs w:val="27"/>
        </w:rPr>
        <w:t xml:space="preserve"> du </w:t>
      </w:r>
      <w:proofErr w:type="spellStart"/>
      <w:r>
        <w:rPr>
          <w:i/>
          <w:iCs/>
          <w:color w:val="000000"/>
          <w:sz w:val="27"/>
          <w:szCs w:val="27"/>
        </w:rPr>
        <w:t>Diable</w:t>
      </w:r>
      <w:proofErr w:type="spellEnd"/>
      <w:r>
        <w:rPr>
          <w:color w:val="000000"/>
          <w:sz w:val="27"/>
          <w:szCs w:val="27"/>
        </w:rPr>
        <w:t xml:space="preserve">. (1896). [film] Directed by G. </w:t>
      </w:r>
      <w:proofErr w:type="spellStart"/>
      <w:r>
        <w:rPr>
          <w:color w:val="000000"/>
          <w:sz w:val="27"/>
          <w:szCs w:val="27"/>
        </w:rPr>
        <w:t>Méliès</w:t>
      </w:r>
      <w:proofErr w:type="spellEnd"/>
      <w:r>
        <w:rPr>
          <w:color w:val="000000"/>
          <w:sz w:val="27"/>
          <w:szCs w:val="27"/>
        </w:rPr>
        <w:t>. Montreuil, Seine-Saint-Denis: Star Entertainment Company.</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Tragic Mountain (2019). </w:t>
      </w:r>
      <w:r>
        <w:rPr>
          <w:i/>
          <w:iCs/>
          <w:color w:val="000000"/>
          <w:sz w:val="27"/>
          <w:szCs w:val="27"/>
        </w:rPr>
        <w:t>Michael Myers Kitchen Knife Costume Prop</w:t>
      </w:r>
      <w:r>
        <w:rPr>
          <w:color w:val="000000"/>
          <w:sz w:val="27"/>
          <w:szCs w:val="27"/>
        </w:rPr>
        <w:t>. [image] Available at: https://vignette.wikia.nocookie.net/halloweenmovie/images/e/ec/A4029100-F453-4BBE-B6CF-DFAB69497822.jpeg/revision/latest/scale-to-width-down/120?cb=20180609040427 [Accessed 25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t>Wikia</w:t>
      </w:r>
      <w:proofErr w:type="spellEnd"/>
      <w:r>
        <w:rPr>
          <w:color w:val="000000"/>
          <w:sz w:val="27"/>
          <w:szCs w:val="27"/>
        </w:rPr>
        <w:t xml:space="preserve"> (2010). </w:t>
      </w:r>
      <w:r>
        <w:rPr>
          <w:i/>
          <w:iCs/>
          <w:color w:val="000000"/>
          <w:sz w:val="27"/>
          <w:szCs w:val="27"/>
        </w:rPr>
        <w:t>553s.jpg</w:t>
      </w:r>
      <w:r>
        <w:rPr>
          <w:color w:val="000000"/>
          <w:sz w:val="27"/>
          <w:szCs w:val="27"/>
        </w:rPr>
        <w:t>. [image] Available at: https://nightmareonelmstreet.fandom.com/wiki/File:553s.jpg [Accessed 23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t>Wikia</w:t>
      </w:r>
      <w:proofErr w:type="spellEnd"/>
      <w:r>
        <w:rPr>
          <w:color w:val="000000"/>
          <w:sz w:val="27"/>
          <w:szCs w:val="27"/>
        </w:rPr>
        <w:t xml:space="preserve"> (2012). </w:t>
      </w:r>
      <w:r>
        <w:rPr>
          <w:i/>
          <w:iCs/>
          <w:color w:val="000000"/>
          <w:sz w:val="27"/>
          <w:szCs w:val="27"/>
        </w:rPr>
        <w:t>Friday13machete 2.jpg</w:t>
      </w:r>
      <w:r>
        <w:rPr>
          <w:color w:val="000000"/>
          <w:sz w:val="27"/>
          <w:szCs w:val="27"/>
        </w:rPr>
        <w:t>. [image] Available at: https://fridaythe13th.fandom.com/wiki/File:Friday13machete_2.jpg [Accessed 25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West, A. (2015). </w:t>
      </w:r>
      <w:r>
        <w:rPr>
          <w:i/>
          <w:iCs/>
          <w:color w:val="000000"/>
          <w:sz w:val="27"/>
          <w:szCs w:val="27"/>
        </w:rPr>
        <w:t>Think of the Children! Examining 'Pre-Code' Horror and its Influence on Cinema - ComingSoon.net</w:t>
      </w:r>
      <w:r>
        <w:rPr>
          <w:color w:val="000000"/>
          <w:sz w:val="27"/>
          <w:szCs w:val="27"/>
        </w:rPr>
        <w:t>. [online] ComingSoon.net. Available at: https://www.comingsoon.net/horror/news/747804-think-children-examining-pre-code-horror-influence-cinema [Accessed 6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lastRenderedPageBreak/>
        <w:t>Wikia</w:t>
      </w:r>
      <w:proofErr w:type="spellEnd"/>
      <w:r>
        <w:rPr>
          <w:color w:val="000000"/>
          <w:sz w:val="27"/>
          <w:szCs w:val="27"/>
        </w:rPr>
        <w:t xml:space="preserve"> (2015). </w:t>
      </w:r>
      <w:r>
        <w:rPr>
          <w:i/>
          <w:iCs/>
          <w:color w:val="000000"/>
          <w:sz w:val="27"/>
          <w:szCs w:val="27"/>
        </w:rPr>
        <w:t>Freddy Kruger.png</w:t>
      </w:r>
      <w:r>
        <w:rPr>
          <w:color w:val="000000"/>
          <w:sz w:val="27"/>
          <w:szCs w:val="27"/>
        </w:rPr>
        <w:t>. [image] Available at: https://nightmareonelmstreet.fandom.com/wiki/Freddy_Krueger_(Original_Film_Series_Timeline) [Accessed 19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t>Wikia</w:t>
      </w:r>
      <w:proofErr w:type="spellEnd"/>
      <w:r>
        <w:rPr>
          <w:color w:val="000000"/>
          <w:sz w:val="27"/>
          <w:szCs w:val="27"/>
        </w:rPr>
        <w:t xml:space="preserve"> (2016). </w:t>
      </w:r>
      <w:r>
        <w:rPr>
          <w:i/>
          <w:iCs/>
          <w:color w:val="000000"/>
          <w:sz w:val="27"/>
          <w:szCs w:val="27"/>
        </w:rPr>
        <w:t>Box.png</w:t>
      </w:r>
      <w:r>
        <w:rPr>
          <w:color w:val="000000"/>
          <w:sz w:val="27"/>
          <w:szCs w:val="27"/>
        </w:rPr>
        <w:t>. [image] Available at: https://hellraiser.fandom.com/wiki/Lament_Configuration [Accessed 18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t>Wikia</w:t>
      </w:r>
      <w:proofErr w:type="spellEnd"/>
      <w:r>
        <w:rPr>
          <w:color w:val="000000"/>
          <w:sz w:val="27"/>
          <w:szCs w:val="27"/>
        </w:rPr>
        <w:t xml:space="preserve"> (2018). </w:t>
      </w:r>
      <w:r>
        <w:rPr>
          <w:i/>
          <w:iCs/>
          <w:color w:val="000000"/>
          <w:sz w:val="27"/>
          <w:szCs w:val="27"/>
        </w:rPr>
        <w:t>A4029100-F453-4BBE-B6CF-DFAB69497822.jpeg</w:t>
      </w:r>
      <w:r>
        <w:rPr>
          <w:color w:val="000000"/>
          <w:sz w:val="27"/>
          <w:szCs w:val="27"/>
        </w:rPr>
        <w:t>. [image] Available at: https://halloweenmovie.fandom.com/wiki/Michael_Myers/Gallery [Accessed 24 Apr. 2019].</w:t>
      </w:r>
    </w:p>
    <w:p w:rsidR="00762049" w:rsidRDefault="00762049" w:rsidP="00762049">
      <w:pPr>
        <w:pStyle w:val="NormalWeb"/>
        <w:spacing w:before="0" w:beforeAutospacing="0" w:after="180" w:afterAutospacing="0"/>
        <w:ind w:left="450" w:hanging="450"/>
        <w:rPr>
          <w:color w:val="000000"/>
          <w:sz w:val="27"/>
          <w:szCs w:val="27"/>
        </w:rPr>
      </w:pPr>
      <w:proofErr w:type="spellStart"/>
      <w:r>
        <w:rPr>
          <w:color w:val="000000"/>
          <w:sz w:val="27"/>
          <w:szCs w:val="27"/>
        </w:rPr>
        <w:t>Wikia</w:t>
      </w:r>
      <w:proofErr w:type="spellEnd"/>
      <w:r>
        <w:rPr>
          <w:color w:val="000000"/>
          <w:sz w:val="27"/>
          <w:szCs w:val="27"/>
        </w:rPr>
        <w:t xml:space="preserve"> (2019). </w:t>
      </w:r>
      <w:r>
        <w:rPr>
          <w:i/>
          <w:iCs/>
          <w:color w:val="000000"/>
          <w:sz w:val="27"/>
          <w:szCs w:val="27"/>
        </w:rPr>
        <w:t>JBOX3.png</w:t>
      </w:r>
      <w:r>
        <w:rPr>
          <w:color w:val="000000"/>
          <w:sz w:val="27"/>
          <w:szCs w:val="27"/>
        </w:rPr>
        <w:t>. [image] Available at: https://fridaythe13th.fandom.com/wiki/File:JBOX3.png [Accessed 23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YouTube. (2008). </w:t>
      </w:r>
      <w:r>
        <w:rPr>
          <w:i/>
          <w:iCs/>
          <w:color w:val="000000"/>
          <w:sz w:val="27"/>
          <w:szCs w:val="27"/>
        </w:rPr>
        <w:t>Cat People (1942) Trailer</w:t>
      </w:r>
      <w:r>
        <w:rPr>
          <w:color w:val="000000"/>
          <w:sz w:val="27"/>
          <w:szCs w:val="27"/>
        </w:rPr>
        <w:t>. [online] Available at: https://www.youtube.com/watch?v=0ADPSaybusM [Accessed 7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YouTube. (2008). </w:t>
      </w:r>
      <w:r>
        <w:rPr>
          <w:i/>
          <w:iCs/>
          <w:color w:val="000000"/>
          <w:sz w:val="27"/>
          <w:szCs w:val="27"/>
        </w:rPr>
        <w:t xml:space="preserve">Wes Craven &amp; Bob Shaye talk origin of Nightmare on Elm </w:t>
      </w:r>
      <w:proofErr w:type="gramStart"/>
      <w:r>
        <w:rPr>
          <w:i/>
          <w:iCs/>
          <w:color w:val="000000"/>
          <w:sz w:val="27"/>
          <w:szCs w:val="27"/>
        </w:rPr>
        <w:t>St.</w:t>
      </w:r>
      <w:r>
        <w:rPr>
          <w:color w:val="000000"/>
          <w:sz w:val="27"/>
          <w:szCs w:val="27"/>
        </w:rPr>
        <w:t>.</w:t>
      </w:r>
      <w:proofErr w:type="gramEnd"/>
      <w:r>
        <w:rPr>
          <w:color w:val="000000"/>
          <w:sz w:val="27"/>
          <w:szCs w:val="27"/>
        </w:rPr>
        <w:t xml:space="preserve"> [online] Available at: https://www.youtube.com/watch?v=2uKjYMgUHIQ [Accessed 3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YouTube. (2010). </w:t>
      </w:r>
      <w:r>
        <w:rPr>
          <w:i/>
          <w:iCs/>
          <w:color w:val="000000"/>
          <w:sz w:val="27"/>
          <w:szCs w:val="27"/>
        </w:rPr>
        <w:t>Psycho Official Trailer 1960 HD</w:t>
      </w:r>
      <w:r>
        <w:rPr>
          <w:color w:val="000000"/>
          <w:sz w:val="27"/>
          <w:szCs w:val="27"/>
        </w:rPr>
        <w:t>. [online] Available at: https://www.youtube.com/watch?v=Wz719b9QUqY [Accessed 6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YouTube. (2012). </w:t>
      </w:r>
      <w:r>
        <w:rPr>
          <w:i/>
          <w:iCs/>
          <w:color w:val="000000"/>
          <w:sz w:val="27"/>
          <w:szCs w:val="27"/>
        </w:rPr>
        <w:t>THING ADI Creature Work Behind-The-Scenes</w:t>
      </w:r>
      <w:r>
        <w:rPr>
          <w:color w:val="000000"/>
          <w:sz w:val="27"/>
          <w:szCs w:val="27"/>
        </w:rPr>
        <w:t>. [online] Available at: https://www.youtube.com/watch?v=fBzpT7VmSaU [Accessed 15 Apr. 2019].</w:t>
      </w:r>
    </w:p>
    <w:p w:rsidR="00762049" w:rsidRDefault="00762049" w:rsidP="00762049">
      <w:pPr>
        <w:pStyle w:val="NormalWeb"/>
        <w:spacing w:before="0" w:beforeAutospacing="0" w:after="180" w:afterAutospacing="0"/>
        <w:ind w:left="450" w:hanging="450"/>
        <w:rPr>
          <w:color w:val="000000"/>
          <w:sz w:val="27"/>
          <w:szCs w:val="27"/>
        </w:rPr>
      </w:pPr>
      <w:r>
        <w:rPr>
          <w:color w:val="000000"/>
          <w:sz w:val="27"/>
          <w:szCs w:val="27"/>
        </w:rPr>
        <w:t>YouTube. (2015). </w:t>
      </w:r>
      <w:r>
        <w:rPr>
          <w:i/>
          <w:iCs/>
          <w:color w:val="000000"/>
          <w:sz w:val="27"/>
          <w:szCs w:val="27"/>
        </w:rPr>
        <w:t xml:space="preserve">The Making </w:t>
      </w:r>
      <w:proofErr w:type="gramStart"/>
      <w:r>
        <w:rPr>
          <w:i/>
          <w:iCs/>
          <w:color w:val="000000"/>
          <w:sz w:val="27"/>
          <w:szCs w:val="27"/>
        </w:rPr>
        <w:t>Of</w:t>
      </w:r>
      <w:proofErr w:type="gramEnd"/>
      <w:r>
        <w:rPr>
          <w:i/>
          <w:iCs/>
          <w:color w:val="000000"/>
          <w:sz w:val="27"/>
          <w:szCs w:val="27"/>
        </w:rPr>
        <w:t xml:space="preserve"> The Thing (1982)</w:t>
      </w:r>
      <w:r>
        <w:rPr>
          <w:color w:val="000000"/>
          <w:sz w:val="27"/>
          <w:szCs w:val="27"/>
        </w:rPr>
        <w:t>. [online] Available at: https://www.youtube.com/watch?v=24SFN5U32ms [Accessed 12 Apr. 2019].</w:t>
      </w:r>
    </w:p>
    <w:p w:rsidR="00762049" w:rsidRPr="00762049" w:rsidRDefault="00762049" w:rsidP="00762049">
      <w:pPr>
        <w:rPr>
          <w:b/>
          <w:u w:val="single"/>
        </w:rPr>
      </w:pPr>
      <w:r>
        <w:rPr>
          <w:color w:val="000000"/>
          <w:sz w:val="27"/>
          <w:szCs w:val="27"/>
        </w:rPr>
        <w:t>YouTube. (2018). </w:t>
      </w:r>
      <w:r>
        <w:rPr>
          <w:i/>
          <w:iCs/>
          <w:color w:val="000000"/>
          <w:sz w:val="27"/>
          <w:szCs w:val="27"/>
        </w:rPr>
        <w:t>Final Girl (Dead Meat Podcast #15)</w:t>
      </w:r>
      <w:r>
        <w:rPr>
          <w:color w:val="000000"/>
          <w:sz w:val="27"/>
          <w:szCs w:val="27"/>
        </w:rPr>
        <w:t>. [online] Available at: https://www.youtube.com/watch?v=6CKTa6Kp9uA&amp;t=564s [Accessed 2 Apr. 2019].</w:t>
      </w:r>
    </w:p>
    <w:sectPr w:rsidR="00762049" w:rsidRPr="00762049">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7155" w:rsidRDefault="00797155" w:rsidP="00C6554A">
      <w:pPr>
        <w:spacing w:before="0" w:after="0" w:line="240" w:lineRule="auto"/>
      </w:pPr>
      <w:r>
        <w:separator/>
      </w:r>
    </w:p>
  </w:endnote>
  <w:endnote w:type="continuationSeparator" w:id="0">
    <w:p w:rsidR="00797155" w:rsidRDefault="0079715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7155" w:rsidRDefault="00797155" w:rsidP="00C6554A">
      <w:pPr>
        <w:spacing w:before="0" w:after="0" w:line="240" w:lineRule="auto"/>
      </w:pPr>
      <w:r>
        <w:separator/>
      </w:r>
    </w:p>
  </w:footnote>
  <w:footnote w:type="continuationSeparator" w:id="0">
    <w:p w:rsidR="00797155" w:rsidRDefault="0079715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F9043BE"/>
    <w:multiLevelType w:val="hybridMultilevel"/>
    <w:tmpl w:val="2E48D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311CC"/>
    <w:multiLevelType w:val="hybridMultilevel"/>
    <w:tmpl w:val="0B9E2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05C"/>
    <w:rsid w:val="0009605C"/>
    <w:rsid w:val="002554CD"/>
    <w:rsid w:val="00293B83"/>
    <w:rsid w:val="002B4294"/>
    <w:rsid w:val="00333D0D"/>
    <w:rsid w:val="00383860"/>
    <w:rsid w:val="00437C0B"/>
    <w:rsid w:val="004C049F"/>
    <w:rsid w:val="005000E2"/>
    <w:rsid w:val="006A3CE7"/>
    <w:rsid w:val="00762049"/>
    <w:rsid w:val="00797155"/>
    <w:rsid w:val="007F1EFD"/>
    <w:rsid w:val="00AB0369"/>
    <w:rsid w:val="00AE0A5E"/>
    <w:rsid w:val="00B17172"/>
    <w:rsid w:val="00C6554A"/>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6843C9"/>
  <w15:chartTrackingRefBased/>
  <w15:docId w15:val="{0454507D-EF77-4995-BA9A-4E86733A1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605C"/>
  </w:style>
  <w:style w:type="paragraph" w:styleId="Heading1">
    <w:name w:val="heading 1"/>
    <w:basedOn w:val="Normal"/>
    <w:next w:val="Normal"/>
    <w:link w:val="Heading1Char"/>
    <w:uiPriority w:val="9"/>
    <w:qFormat/>
    <w:rsid w:val="0009605C"/>
    <w:pPr>
      <w:pBdr>
        <w:top w:val="single" w:sz="24" w:space="0" w:color="00A0B8" w:themeColor="accent1"/>
        <w:left w:val="single" w:sz="24" w:space="0" w:color="00A0B8" w:themeColor="accent1"/>
        <w:bottom w:val="single" w:sz="24" w:space="0" w:color="00A0B8" w:themeColor="accent1"/>
        <w:right w:val="single" w:sz="24" w:space="0" w:color="00A0B8" w:themeColor="accent1"/>
      </w:pBdr>
      <w:shd w:val="clear" w:color="auto" w:fill="00A0B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9605C"/>
    <w:pPr>
      <w:pBdr>
        <w:top w:val="single" w:sz="24" w:space="0" w:color="BDF6FF" w:themeColor="accent1" w:themeTint="33"/>
        <w:left w:val="single" w:sz="24" w:space="0" w:color="BDF6FF" w:themeColor="accent1" w:themeTint="33"/>
        <w:bottom w:val="single" w:sz="24" w:space="0" w:color="BDF6FF" w:themeColor="accent1" w:themeTint="33"/>
        <w:right w:val="single" w:sz="24" w:space="0" w:color="BDF6FF" w:themeColor="accent1" w:themeTint="33"/>
      </w:pBdr>
      <w:shd w:val="clear" w:color="auto" w:fill="BDF6FF"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9605C"/>
    <w:pPr>
      <w:pBdr>
        <w:top w:val="single" w:sz="6" w:space="2" w:color="00A0B8" w:themeColor="accent1"/>
      </w:pBdr>
      <w:spacing w:before="300" w:after="0"/>
      <w:outlineLvl w:val="2"/>
    </w:pPr>
    <w:rPr>
      <w:caps/>
      <w:color w:val="004F5B" w:themeColor="accent1" w:themeShade="7F"/>
      <w:spacing w:val="15"/>
    </w:rPr>
  </w:style>
  <w:style w:type="paragraph" w:styleId="Heading4">
    <w:name w:val="heading 4"/>
    <w:basedOn w:val="Normal"/>
    <w:next w:val="Normal"/>
    <w:link w:val="Heading4Char"/>
    <w:uiPriority w:val="9"/>
    <w:unhideWhenUsed/>
    <w:qFormat/>
    <w:rsid w:val="0009605C"/>
    <w:pPr>
      <w:pBdr>
        <w:top w:val="dotted" w:sz="6" w:space="2" w:color="00A0B8" w:themeColor="accent1"/>
      </w:pBdr>
      <w:spacing w:before="200" w:after="0"/>
      <w:outlineLvl w:val="3"/>
    </w:pPr>
    <w:rPr>
      <w:caps/>
      <w:color w:val="007789" w:themeColor="accent1" w:themeShade="BF"/>
      <w:spacing w:val="10"/>
    </w:rPr>
  </w:style>
  <w:style w:type="paragraph" w:styleId="Heading5">
    <w:name w:val="heading 5"/>
    <w:basedOn w:val="Normal"/>
    <w:next w:val="Normal"/>
    <w:link w:val="Heading5Char"/>
    <w:uiPriority w:val="9"/>
    <w:unhideWhenUsed/>
    <w:qFormat/>
    <w:rsid w:val="0009605C"/>
    <w:pPr>
      <w:pBdr>
        <w:bottom w:val="single" w:sz="6" w:space="1" w:color="00A0B8" w:themeColor="accent1"/>
      </w:pBdr>
      <w:spacing w:before="200" w:after="0"/>
      <w:outlineLvl w:val="4"/>
    </w:pPr>
    <w:rPr>
      <w:caps/>
      <w:color w:val="007789" w:themeColor="accent1" w:themeShade="BF"/>
      <w:spacing w:val="10"/>
    </w:rPr>
  </w:style>
  <w:style w:type="paragraph" w:styleId="Heading6">
    <w:name w:val="heading 6"/>
    <w:basedOn w:val="Normal"/>
    <w:next w:val="Normal"/>
    <w:link w:val="Heading6Char"/>
    <w:uiPriority w:val="9"/>
    <w:semiHidden/>
    <w:unhideWhenUsed/>
    <w:qFormat/>
    <w:rsid w:val="0009605C"/>
    <w:pPr>
      <w:pBdr>
        <w:bottom w:val="dotted" w:sz="6" w:space="1" w:color="00A0B8" w:themeColor="accent1"/>
      </w:pBdr>
      <w:spacing w:before="200" w:after="0"/>
      <w:outlineLvl w:val="5"/>
    </w:pPr>
    <w:rPr>
      <w:caps/>
      <w:color w:val="007789" w:themeColor="accent1" w:themeShade="BF"/>
      <w:spacing w:val="10"/>
    </w:rPr>
  </w:style>
  <w:style w:type="paragraph" w:styleId="Heading7">
    <w:name w:val="heading 7"/>
    <w:basedOn w:val="Normal"/>
    <w:next w:val="Normal"/>
    <w:link w:val="Heading7Char"/>
    <w:uiPriority w:val="9"/>
    <w:semiHidden/>
    <w:unhideWhenUsed/>
    <w:qFormat/>
    <w:rsid w:val="0009605C"/>
    <w:pPr>
      <w:spacing w:before="200" w:after="0"/>
      <w:outlineLvl w:val="6"/>
    </w:pPr>
    <w:rPr>
      <w:caps/>
      <w:color w:val="007789" w:themeColor="accent1" w:themeShade="BF"/>
      <w:spacing w:val="10"/>
    </w:rPr>
  </w:style>
  <w:style w:type="paragraph" w:styleId="Heading8">
    <w:name w:val="heading 8"/>
    <w:basedOn w:val="Normal"/>
    <w:next w:val="Normal"/>
    <w:link w:val="Heading8Char"/>
    <w:uiPriority w:val="9"/>
    <w:semiHidden/>
    <w:unhideWhenUsed/>
    <w:qFormat/>
    <w:rsid w:val="0009605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9605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05C"/>
    <w:rPr>
      <w:caps/>
      <w:color w:val="FFFFFF" w:themeColor="background1"/>
      <w:spacing w:val="15"/>
      <w:sz w:val="22"/>
      <w:szCs w:val="22"/>
      <w:shd w:val="clear" w:color="auto" w:fill="00A0B8" w:themeFill="accent1"/>
    </w:rPr>
  </w:style>
  <w:style w:type="character" w:customStyle="1" w:styleId="Heading2Char">
    <w:name w:val="Heading 2 Char"/>
    <w:basedOn w:val="DefaultParagraphFont"/>
    <w:link w:val="Heading2"/>
    <w:uiPriority w:val="9"/>
    <w:rsid w:val="0009605C"/>
    <w:rPr>
      <w:caps/>
      <w:spacing w:val="15"/>
      <w:shd w:val="clear" w:color="auto" w:fill="BDF6FF" w:themeFill="accent1" w:themeFillTint="33"/>
    </w:rPr>
  </w:style>
  <w:style w:type="paragraph" w:customStyle="1" w:styleId="ContactInfo">
    <w:name w:val="Contact Info"/>
    <w:basedOn w:val="Normal"/>
    <w:uiPriority w:val="4"/>
    <w:rsid w:val="00C6554A"/>
    <w:pPr>
      <w:spacing w:before="0"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09605C"/>
    <w:pPr>
      <w:spacing w:before="0" w:after="0"/>
    </w:pPr>
    <w:rPr>
      <w:rFonts w:asciiTheme="majorHAnsi" w:eastAsiaTheme="majorEastAsia" w:hAnsiTheme="majorHAnsi" w:cstheme="majorBidi"/>
      <w:caps/>
      <w:color w:val="00A0B8" w:themeColor="accent1"/>
      <w:spacing w:val="10"/>
      <w:sz w:val="52"/>
      <w:szCs w:val="52"/>
    </w:rPr>
  </w:style>
  <w:style w:type="character" w:customStyle="1" w:styleId="TitleChar">
    <w:name w:val="Title Char"/>
    <w:basedOn w:val="DefaultParagraphFont"/>
    <w:link w:val="Title"/>
    <w:uiPriority w:val="10"/>
    <w:rsid w:val="0009605C"/>
    <w:rPr>
      <w:rFonts w:asciiTheme="majorHAnsi" w:eastAsiaTheme="majorEastAsia" w:hAnsiTheme="majorHAnsi" w:cstheme="majorBidi"/>
      <w:caps/>
      <w:color w:val="00A0B8" w:themeColor="accent1"/>
      <w:spacing w:val="10"/>
      <w:sz w:val="52"/>
      <w:szCs w:val="52"/>
    </w:rPr>
  </w:style>
  <w:style w:type="paragraph" w:styleId="Subtitle">
    <w:name w:val="Subtitle"/>
    <w:basedOn w:val="Normal"/>
    <w:next w:val="Normal"/>
    <w:link w:val="SubtitleChar"/>
    <w:uiPriority w:val="11"/>
    <w:qFormat/>
    <w:rsid w:val="0009605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9605C"/>
    <w:rPr>
      <w:caps/>
      <w:color w:val="595959" w:themeColor="text1" w:themeTint="A6"/>
      <w:spacing w:val="10"/>
      <w:sz w:val="21"/>
      <w:szCs w:val="21"/>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09605C"/>
    <w:rPr>
      <w:caps/>
      <w:color w:val="004F5B" w:themeColor="accent1" w:themeShade="7F"/>
      <w:spacing w:val="15"/>
    </w:rPr>
  </w:style>
  <w:style w:type="character" w:customStyle="1" w:styleId="Heading8Char">
    <w:name w:val="Heading 8 Char"/>
    <w:basedOn w:val="DefaultParagraphFont"/>
    <w:link w:val="Heading8"/>
    <w:uiPriority w:val="9"/>
    <w:semiHidden/>
    <w:rsid w:val="0009605C"/>
    <w:rPr>
      <w:caps/>
      <w:spacing w:val="10"/>
      <w:sz w:val="18"/>
      <w:szCs w:val="18"/>
    </w:rPr>
  </w:style>
  <w:style w:type="character" w:customStyle="1" w:styleId="Heading9Char">
    <w:name w:val="Heading 9 Char"/>
    <w:basedOn w:val="DefaultParagraphFont"/>
    <w:link w:val="Heading9"/>
    <w:uiPriority w:val="9"/>
    <w:semiHidden/>
    <w:rsid w:val="0009605C"/>
    <w:rPr>
      <w:i/>
      <w:iCs/>
      <w:caps/>
      <w:spacing w:val="10"/>
      <w:sz w:val="18"/>
      <w:szCs w:val="18"/>
    </w:rPr>
  </w:style>
  <w:style w:type="character" w:styleId="IntenseEmphasis">
    <w:name w:val="Intense Emphasis"/>
    <w:uiPriority w:val="21"/>
    <w:qFormat/>
    <w:rsid w:val="0009605C"/>
    <w:rPr>
      <w:b/>
      <w:bCs/>
      <w:caps/>
      <w:color w:val="004F5B" w:themeColor="accent1" w:themeShade="7F"/>
      <w:spacing w:val="10"/>
    </w:rPr>
  </w:style>
  <w:style w:type="paragraph" w:styleId="IntenseQuote">
    <w:name w:val="Intense Quote"/>
    <w:basedOn w:val="Normal"/>
    <w:next w:val="Normal"/>
    <w:link w:val="IntenseQuoteChar"/>
    <w:uiPriority w:val="30"/>
    <w:qFormat/>
    <w:rsid w:val="0009605C"/>
    <w:pPr>
      <w:spacing w:before="240" w:after="240" w:line="240" w:lineRule="auto"/>
      <w:ind w:left="1080" w:right="1080"/>
      <w:jc w:val="center"/>
    </w:pPr>
    <w:rPr>
      <w:color w:val="00A0B8" w:themeColor="accent1"/>
      <w:sz w:val="24"/>
      <w:szCs w:val="24"/>
    </w:rPr>
  </w:style>
  <w:style w:type="character" w:customStyle="1" w:styleId="IntenseQuoteChar">
    <w:name w:val="Intense Quote Char"/>
    <w:basedOn w:val="DefaultParagraphFont"/>
    <w:link w:val="IntenseQuote"/>
    <w:uiPriority w:val="30"/>
    <w:rsid w:val="0009605C"/>
    <w:rPr>
      <w:color w:val="00A0B8" w:themeColor="accent1"/>
      <w:sz w:val="24"/>
      <w:szCs w:val="24"/>
    </w:rPr>
  </w:style>
  <w:style w:type="character" w:styleId="IntenseReference">
    <w:name w:val="Intense Reference"/>
    <w:uiPriority w:val="32"/>
    <w:qFormat/>
    <w:rsid w:val="0009605C"/>
    <w:rPr>
      <w:b/>
      <w:bCs/>
      <w:i/>
      <w:iCs/>
      <w:caps/>
      <w:color w:val="00A0B8" w:themeColor="accent1"/>
    </w:rPr>
  </w:style>
  <w:style w:type="paragraph" w:styleId="Caption">
    <w:name w:val="caption"/>
    <w:basedOn w:val="Normal"/>
    <w:next w:val="Normal"/>
    <w:uiPriority w:val="35"/>
    <w:semiHidden/>
    <w:unhideWhenUsed/>
    <w:qFormat/>
    <w:rsid w:val="0009605C"/>
    <w:rPr>
      <w:b/>
      <w:bCs/>
      <w:color w:val="007789" w:themeColor="accent1" w:themeShade="BF"/>
      <w:sz w:val="16"/>
      <w:szCs w:val="16"/>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09605C"/>
    <w:rPr>
      <w:caps/>
      <w:color w:val="007789" w:themeColor="accent1" w:themeShade="BF"/>
      <w:spacing w:val="10"/>
    </w:rPr>
  </w:style>
  <w:style w:type="character" w:customStyle="1" w:styleId="Heading6Char">
    <w:name w:val="Heading 6 Char"/>
    <w:basedOn w:val="DefaultParagraphFont"/>
    <w:link w:val="Heading6"/>
    <w:uiPriority w:val="9"/>
    <w:semiHidden/>
    <w:rsid w:val="0009605C"/>
    <w:rPr>
      <w:caps/>
      <w:color w:val="007789" w:themeColor="accent1" w:themeShade="BF"/>
      <w:spacing w:val="10"/>
    </w:rPr>
  </w:style>
  <w:style w:type="paragraph" w:styleId="ListParagraph">
    <w:name w:val="List Paragraph"/>
    <w:basedOn w:val="Normal"/>
    <w:uiPriority w:val="34"/>
    <w:qFormat/>
    <w:rsid w:val="0009605C"/>
    <w:pPr>
      <w:ind w:left="720"/>
      <w:contextualSpacing/>
    </w:pPr>
  </w:style>
  <w:style w:type="character" w:customStyle="1" w:styleId="Heading4Char">
    <w:name w:val="Heading 4 Char"/>
    <w:basedOn w:val="DefaultParagraphFont"/>
    <w:link w:val="Heading4"/>
    <w:uiPriority w:val="9"/>
    <w:rsid w:val="0009605C"/>
    <w:rPr>
      <w:caps/>
      <w:color w:val="007789" w:themeColor="accent1" w:themeShade="BF"/>
      <w:spacing w:val="10"/>
    </w:rPr>
  </w:style>
  <w:style w:type="character" w:customStyle="1" w:styleId="Heading5Char">
    <w:name w:val="Heading 5 Char"/>
    <w:basedOn w:val="DefaultParagraphFont"/>
    <w:link w:val="Heading5"/>
    <w:uiPriority w:val="9"/>
    <w:rsid w:val="0009605C"/>
    <w:rPr>
      <w:caps/>
      <w:color w:val="007789" w:themeColor="accent1" w:themeShade="BF"/>
      <w:spacing w:val="10"/>
    </w:rPr>
  </w:style>
  <w:style w:type="character" w:styleId="Strong">
    <w:name w:val="Strong"/>
    <w:uiPriority w:val="22"/>
    <w:qFormat/>
    <w:rsid w:val="0009605C"/>
    <w:rPr>
      <w:b/>
      <w:bCs/>
    </w:rPr>
  </w:style>
  <w:style w:type="character" w:styleId="Emphasis">
    <w:name w:val="Emphasis"/>
    <w:uiPriority w:val="20"/>
    <w:qFormat/>
    <w:rsid w:val="0009605C"/>
    <w:rPr>
      <w:caps/>
      <w:color w:val="004F5B" w:themeColor="accent1" w:themeShade="7F"/>
      <w:spacing w:val="5"/>
    </w:rPr>
  </w:style>
  <w:style w:type="paragraph" w:styleId="NoSpacing">
    <w:name w:val="No Spacing"/>
    <w:uiPriority w:val="1"/>
    <w:qFormat/>
    <w:rsid w:val="0009605C"/>
    <w:pPr>
      <w:spacing w:after="0" w:line="240" w:lineRule="auto"/>
    </w:pPr>
  </w:style>
  <w:style w:type="paragraph" w:styleId="Quote">
    <w:name w:val="Quote"/>
    <w:basedOn w:val="Normal"/>
    <w:next w:val="Normal"/>
    <w:link w:val="QuoteChar"/>
    <w:uiPriority w:val="29"/>
    <w:qFormat/>
    <w:rsid w:val="0009605C"/>
    <w:rPr>
      <w:i/>
      <w:iCs/>
      <w:sz w:val="24"/>
      <w:szCs w:val="24"/>
    </w:rPr>
  </w:style>
  <w:style w:type="character" w:customStyle="1" w:styleId="QuoteChar">
    <w:name w:val="Quote Char"/>
    <w:basedOn w:val="DefaultParagraphFont"/>
    <w:link w:val="Quote"/>
    <w:uiPriority w:val="29"/>
    <w:rsid w:val="0009605C"/>
    <w:rPr>
      <w:i/>
      <w:iCs/>
      <w:sz w:val="24"/>
      <w:szCs w:val="24"/>
    </w:rPr>
  </w:style>
  <w:style w:type="character" w:styleId="SubtleEmphasis">
    <w:name w:val="Subtle Emphasis"/>
    <w:uiPriority w:val="19"/>
    <w:qFormat/>
    <w:rsid w:val="0009605C"/>
    <w:rPr>
      <w:i/>
      <w:iCs/>
      <w:color w:val="004F5B" w:themeColor="accent1" w:themeShade="7F"/>
    </w:rPr>
  </w:style>
  <w:style w:type="character" w:styleId="SubtleReference">
    <w:name w:val="Subtle Reference"/>
    <w:uiPriority w:val="31"/>
    <w:qFormat/>
    <w:rsid w:val="0009605C"/>
    <w:rPr>
      <w:b/>
      <w:bCs/>
      <w:color w:val="00A0B8" w:themeColor="accent1"/>
    </w:rPr>
  </w:style>
  <w:style w:type="character" w:styleId="BookTitle">
    <w:name w:val="Book Title"/>
    <w:uiPriority w:val="33"/>
    <w:qFormat/>
    <w:rsid w:val="0009605C"/>
    <w:rPr>
      <w:b/>
      <w:bCs/>
      <w:i/>
      <w:iCs/>
      <w:spacing w:val="0"/>
    </w:rPr>
  </w:style>
  <w:style w:type="paragraph" w:styleId="TOCHeading">
    <w:name w:val="TOC Heading"/>
    <w:basedOn w:val="Heading1"/>
    <w:next w:val="Normal"/>
    <w:uiPriority w:val="39"/>
    <w:semiHidden/>
    <w:unhideWhenUsed/>
    <w:qFormat/>
    <w:rsid w:val="0009605C"/>
    <w:pPr>
      <w:outlineLvl w:val="9"/>
    </w:pPr>
  </w:style>
  <w:style w:type="paragraph" w:styleId="NormalWeb">
    <w:name w:val="Normal (Web)"/>
    <w:basedOn w:val="Normal"/>
    <w:uiPriority w:val="99"/>
    <w:semiHidden/>
    <w:unhideWhenUsed/>
    <w:rsid w:val="00762049"/>
    <w:pPr>
      <w:spacing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so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04A388-F319-4863-A91C-0B601B840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31</TotalTime>
  <Pages>11</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Mason</dc:creator>
  <cp:keywords/>
  <dc:description/>
  <cp:lastModifiedBy>Natalie Mason</cp:lastModifiedBy>
  <cp:revision>6</cp:revision>
  <dcterms:created xsi:type="dcterms:W3CDTF">2019-05-06T18:33:00Z</dcterms:created>
  <dcterms:modified xsi:type="dcterms:W3CDTF">2019-05-06T21:21:00Z</dcterms:modified>
</cp:coreProperties>
</file>