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54AAEF" w14:textId="77777777" w:rsidR="003568C0" w:rsidRDefault="003568C0">
      <w:pPr>
        <w:spacing w:line="480" w:lineRule="auto"/>
        <w:jc w:val="center"/>
        <w:rPr>
          <w:rFonts w:ascii="Times New Roman" w:eastAsia="Times New Roman" w:hAnsi="Times New Roman" w:cs="Times New Roman"/>
        </w:rPr>
      </w:pPr>
    </w:p>
    <w:p w14:paraId="172E6134" w14:textId="77777777" w:rsidR="003568C0" w:rsidRDefault="00EB653D">
      <w:pPr>
        <w:spacing w:line="480" w:lineRule="auto"/>
        <w:jc w:val="center"/>
        <w:rPr>
          <w:rFonts w:ascii="Times New Roman" w:eastAsia="Times New Roman" w:hAnsi="Times New Roman" w:cs="Times New Roman"/>
        </w:rPr>
      </w:pPr>
      <w:r>
        <w:rPr>
          <w:rFonts w:ascii="Times New Roman" w:eastAsia="Times New Roman" w:hAnsi="Times New Roman" w:cs="Times New Roman"/>
        </w:rPr>
        <w:t>Programme: Dip Nursing Studies and Health</w:t>
      </w:r>
    </w:p>
    <w:p w14:paraId="6953BB37" w14:textId="77777777" w:rsidR="003568C0" w:rsidRDefault="003568C0">
      <w:pPr>
        <w:spacing w:line="480" w:lineRule="auto"/>
        <w:jc w:val="center"/>
        <w:rPr>
          <w:rFonts w:ascii="Times New Roman" w:eastAsia="Times New Roman" w:hAnsi="Times New Roman" w:cs="Times New Roman"/>
        </w:rPr>
      </w:pPr>
    </w:p>
    <w:p w14:paraId="4C421714" w14:textId="77777777" w:rsidR="003568C0" w:rsidRDefault="00EB653D">
      <w:pPr>
        <w:spacing w:line="480" w:lineRule="auto"/>
        <w:jc w:val="center"/>
        <w:rPr>
          <w:rFonts w:ascii="Times New Roman" w:eastAsia="Times New Roman" w:hAnsi="Times New Roman" w:cs="Times New Roman"/>
        </w:rPr>
      </w:pPr>
      <w:r>
        <w:rPr>
          <w:rFonts w:ascii="Times New Roman" w:eastAsia="Times New Roman" w:hAnsi="Times New Roman" w:cs="Times New Roman"/>
        </w:rPr>
        <w:t>Module: Living Well: The Older Person in Context</w:t>
      </w:r>
    </w:p>
    <w:p w14:paraId="1E7C3BE6" w14:textId="77777777" w:rsidR="003568C0" w:rsidRDefault="003568C0">
      <w:pPr>
        <w:spacing w:line="480" w:lineRule="auto"/>
        <w:jc w:val="center"/>
        <w:rPr>
          <w:rFonts w:ascii="Times New Roman" w:eastAsia="Times New Roman" w:hAnsi="Times New Roman" w:cs="Times New Roman"/>
        </w:rPr>
      </w:pPr>
    </w:p>
    <w:p w14:paraId="1F12B408" w14:textId="77777777" w:rsidR="003568C0" w:rsidRDefault="00EB653D">
      <w:pPr>
        <w:spacing w:line="480" w:lineRule="auto"/>
        <w:jc w:val="center"/>
        <w:rPr>
          <w:rFonts w:ascii="Times New Roman" w:eastAsia="Times New Roman" w:hAnsi="Times New Roman" w:cs="Times New Roman"/>
        </w:rPr>
      </w:pPr>
      <w:r>
        <w:rPr>
          <w:rFonts w:ascii="Times New Roman" w:eastAsia="Times New Roman" w:hAnsi="Times New Roman" w:cs="Times New Roman"/>
        </w:rPr>
        <w:t>Module code: BMNS5003</w:t>
      </w:r>
    </w:p>
    <w:p w14:paraId="2B9169B4" w14:textId="77777777" w:rsidR="003568C0" w:rsidRDefault="003568C0">
      <w:pPr>
        <w:spacing w:line="480" w:lineRule="auto"/>
        <w:jc w:val="center"/>
        <w:rPr>
          <w:rFonts w:ascii="Times New Roman" w:eastAsia="Times New Roman" w:hAnsi="Times New Roman" w:cs="Times New Roman"/>
        </w:rPr>
      </w:pPr>
    </w:p>
    <w:p w14:paraId="0490ED38" w14:textId="77777777" w:rsidR="003568C0" w:rsidRDefault="003568C0">
      <w:pPr>
        <w:spacing w:line="480" w:lineRule="auto"/>
        <w:jc w:val="center"/>
        <w:rPr>
          <w:rFonts w:ascii="Times New Roman" w:eastAsia="Times New Roman" w:hAnsi="Times New Roman" w:cs="Times New Roman"/>
        </w:rPr>
      </w:pPr>
    </w:p>
    <w:p w14:paraId="46E9341E" w14:textId="77777777" w:rsidR="003568C0" w:rsidRDefault="003568C0">
      <w:pPr>
        <w:spacing w:line="480" w:lineRule="auto"/>
        <w:jc w:val="center"/>
        <w:rPr>
          <w:rFonts w:ascii="Times New Roman" w:eastAsia="Times New Roman" w:hAnsi="Times New Roman" w:cs="Times New Roman"/>
        </w:rPr>
      </w:pPr>
    </w:p>
    <w:p w14:paraId="553283DD" w14:textId="77777777" w:rsidR="00EB653D" w:rsidRDefault="00EB653D">
      <w:pPr>
        <w:spacing w:line="480" w:lineRule="auto"/>
        <w:jc w:val="center"/>
        <w:rPr>
          <w:rFonts w:ascii="Times New Roman" w:eastAsia="Times New Roman" w:hAnsi="Times New Roman" w:cs="Times New Roman"/>
        </w:rPr>
      </w:pPr>
      <w:r>
        <w:rPr>
          <w:rFonts w:ascii="Times New Roman" w:eastAsia="Times New Roman" w:hAnsi="Times New Roman" w:cs="Times New Roman"/>
        </w:rPr>
        <w:t>Promoting Health and Wellbeing Among Older Adults: Challenges, Interventions, and Recommendations</w:t>
      </w:r>
    </w:p>
    <w:p w14:paraId="3E38DF27" w14:textId="77777777" w:rsidR="00EB653D" w:rsidRDefault="00EB653D">
      <w:pPr>
        <w:spacing w:line="480" w:lineRule="auto"/>
        <w:jc w:val="center"/>
        <w:rPr>
          <w:rFonts w:ascii="Times New Roman" w:eastAsia="Times New Roman" w:hAnsi="Times New Roman" w:cs="Times New Roman"/>
        </w:rPr>
      </w:pPr>
    </w:p>
    <w:p w14:paraId="70851446" w14:textId="77777777" w:rsidR="00EB653D" w:rsidRDefault="00EB653D">
      <w:pPr>
        <w:spacing w:line="480" w:lineRule="auto"/>
        <w:jc w:val="center"/>
        <w:rPr>
          <w:rFonts w:ascii="Times New Roman" w:eastAsia="Times New Roman" w:hAnsi="Times New Roman" w:cs="Times New Roman"/>
        </w:rPr>
      </w:pPr>
    </w:p>
    <w:p w14:paraId="6F78D6C6" w14:textId="77777777" w:rsidR="00EB653D" w:rsidRDefault="00EB653D">
      <w:pPr>
        <w:spacing w:line="480" w:lineRule="auto"/>
        <w:jc w:val="center"/>
        <w:rPr>
          <w:rFonts w:ascii="Times New Roman" w:eastAsia="Times New Roman" w:hAnsi="Times New Roman" w:cs="Times New Roman"/>
        </w:rPr>
      </w:pPr>
      <w:r>
        <w:rPr>
          <w:rFonts w:ascii="Times New Roman" w:eastAsia="Times New Roman" w:hAnsi="Times New Roman" w:cs="Times New Roman"/>
        </w:rPr>
        <w:t xml:space="preserve">Student Name: Cristiana Roman </w:t>
      </w:r>
    </w:p>
    <w:p w14:paraId="7B813444" w14:textId="3CC22348" w:rsidR="003568C0" w:rsidRDefault="00EB653D">
      <w:pPr>
        <w:spacing w:line="480" w:lineRule="auto"/>
        <w:jc w:val="center"/>
        <w:rPr>
          <w:rFonts w:ascii="Times New Roman" w:eastAsia="Times New Roman" w:hAnsi="Times New Roman" w:cs="Times New Roman"/>
        </w:rPr>
      </w:pPr>
      <w:r>
        <w:rPr>
          <w:rFonts w:ascii="Times New Roman" w:eastAsia="Times New Roman" w:hAnsi="Times New Roman" w:cs="Times New Roman"/>
        </w:rPr>
        <w:t>Student Id: 1920096</w:t>
      </w:r>
      <w:r>
        <w:rPr>
          <w:rFonts w:ascii="Times New Roman" w:eastAsia="Times New Roman" w:hAnsi="Times New Roman" w:cs="Times New Roman"/>
        </w:rPr>
        <w:br w:type="page"/>
      </w:r>
    </w:p>
    <w:p w14:paraId="26BF1EF3" w14:textId="77777777" w:rsidR="003568C0" w:rsidRDefault="00EB653D">
      <w:pPr>
        <w:pStyle w:val="Titlu1"/>
        <w:rPr>
          <w:rFonts w:eastAsia="Times New Roman"/>
        </w:rPr>
      </w:pPr>
      <w:bookmarkStart w:id="0" w:name="_Toc162266250"/>
      <w:r>
        <w:rPr>
          <w:rFonts w:eastAsia="Times New Roman"/>
        </w:rPr>
        <w:lastRenderedPageBreak/>
        <w:t>Approaches and Interventions for Promoting Health and Wellbeing</w:t>
      </w:r>
      <w:bookmarkEnd w:id="0"/>
    </w:p>
    <w:p w14:paraId="0D1308B4" w14:textId="77777777" w:rsidR="003568C0" w:rsidRDefault="00EB653D">
      <w:pPr>
        <w:spacing w:line="480" w:lineRule="auto"/>
        <w:ind w:firstLine="720"/>
        <w:rPr>
          <w:rFonts w:ascii="Times New Roman" w:eastAsia="Times New Roman" w:hAnsi="Times New Roman" w:cs="Times New Roman"/>
        </w:rPr>
      </w:pPr>
      <w:r>
        <w:rPr>
          <w:rFonts w:ascii="Times New Roman" w:eastAsia="Times New Roman" w:hAnsi="Times New Roman" w:cs="Times New Roman"/>
        </w:rPr>
        <w:t>Achieving health and happiness among older people requires a broad strategy that is aimed at satisfying different requirements. This section delves into various strategies employed in this endeavor. Each given program is critically assessed in terms of how it helps improve the overall livelihood of elderly people by considering aspects that include deliverability, affordability, and sustainability among others (Wenger, 2021). The healthcare and social care workers would, therefore, play a significant role in this by providing individuals with an array of alternative interventions geared towards addressing their needs in the final stages of their lives.</w:t>
      </w:r>
    </w:p>
    <w:p w14:paraId="2E418C40" w14:textId="77777777" w:rsidR="003568C0" w:rsidRDefault="00EB653D">
      <w:pPr>
        <w:pStyle w:val="Titlu1"/>
        <w:rPr>
          <w:rFonts w:eastAsia="Times New Roman"/>
        </w:rPr>
      </w:pPr>
      <w:bookmarkStart w:id="1" w:name="_Toc162266251"/>
      <w:r>
        <w:rPr>
          <w:rFonts w:eastAsia="Times New Roman"/>
        </w:rPr>
        <w:t>Physical Activity Programs</w:t>
      </w:r>
      <w:bookmarkEnd w:id="1"/>
    </w:p>
    <w:p w14:paraId="23AE4932" w14:textId="77777777" w:rsidR="003568C0" w:rsidRDefault="00EB653D">
      <w:pPr>
        <w:spacing w:line="480" w:lineRule="auto"/>
        <w:ind w:firstLine="720"/>
        <w:rPr>
          <w:rFonts w:ascii="Times New Roman" w:eastAsia="Times New Roman" w:hAnsi="Times New Roman" w:cs="Times New Roman"/>
        </w:rPr>
      </w:pPr>
      <w:r>
        <w:rPr>
          <w:rFonts w:ascii="Times New Roman" w:eastAsia="Times New Roman" w:hAnsi="Times New Roman" w:cs="Times New Roman"/>
        </w:rPr>
        <w:t>Individualized exercise programs are targeted towards improving seniors' strength, increasing range of motion, and enhancing overall physical ability. Such programs are based on the combination of activities which contain aerobic exercises, strength training and balance exercises for older people starting from zero and tailored to the abilities and preferences of these people (Son et al., 2021). As a result, routine physical exercise not only keeps physical states healthy but also enhances mental health and social connections.</w:t>
      </w:r>
    </w:p>
    <w:p w14:paraId="703AC3C0" w14:textId="77777777" w:rsidR="003568C0" w:rsidRDefault="00EB653D">
      <w:pPr>
        <w:pStyle w:val="Titlu1"/>
        <w:rPr>
          <w:rFonts w:eastAsia="Times New Roman"/>
        </w:rPr>
      </w:pPr>
      <w:bookmarkStart w:id="2" w:name="_Toc162266252"/>
      <w:r>
        <w:rPr>
          <w:rFonts w:eastAsia="Times New Roman"/>
        </w:rPr>
        <w:t>Social Engagement Initiatives</w:t>
      </w:r>
      <w:bookmarkEnd w:id="2"/>
    </w:p>
    <w:p w14:paraId="19748C9F" w14:textId="77777777" w:rsidR="003568C0" w:rsidRDefault="00EB653D">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The community-based programs, network, and recreational activities play a critical function to the development of social setup and in the reduction of isolation amongst older individuals. These programs could be specially designed for the elderly, including: the senior centers, the social clubs, volunteer opportunities and the inter-generational activities that foster connections among the elderly (Luo et al., 2020). Through these activities, there is social </w:t>
      </w:r>
      <w:r>
        <w:rPr>
          <w:rFonts w:ascii="Times New Roman" w:eastAsia="Times New Roman" w:hAnsi="Times New Roman" w:cs="Times New Roman"/>
        </w:rPr>
        <w:lastRenderedPageBreak/>
        <w:t>interaction felt with like-mindedness and this, in turn, contributes to an improved mental health and psychological wellbeing.</w:t>
      </w:r>
    </w:p>
    <w:p w14:paraId="27436A95" w14:textId="77777777" w:rsidR="003568C0" w:rsidRDefault="00EB653D">
      <w:pPr>
        <w:pStyle w:val="Titlu1"/>
        <w:rPr>
          <w:rFonts w:eastAsia="Times New Roman"/>
        </w:rPr>
      </w:pPr>
      <w:bookmarkStart w:id="3" w:name="_Toc162266253"/>
      <w:r>
        <w:rPr>
          <w:rFonts w:eastAsia="Times New Roman"/>
        </w:rPr>
        <w:t>Mental Health Support Services</w:t>
      </w:r>
      <w:bookmarkEnd w:id="3"/>
    </w:p>
    <w:p w14:paraId="605CA028" w14:textId="3AB18F40" w:rsidR="003568C0" w:rsidRDefault="00EB653D">
      <w:pPr>
        <w:spacing w:line="480" w:lineRule="auto"/>
        <w:ind w:firstLine="720"/>
        <w:rPr>
          <w:rFonts w:ascii="Times New Roman" w:eastAsia="Times New Roman" w:hAnsi="Times New Roman" w:cs="Times New Roman"/>
        </w:rPr>
      </w:pPr>
      <w:r>
        <w:rPr>
          <w:rFonts w:ascii="Times New Roman" w:eastAsia="Times New Roman" w:hAnsi="Times New Roman" w:cs="Times New Roman"/>
        </w:rPr>
        <w:t>Elderly people have complicated psychological needs, and it is necessary for them to get accessible consultation, therapy, and support groups to solve those special problems. Dementia, trouble sleeping, and thinning of the brain are the most frequent mental health problems among adults, frequently sparked by factors including being limited by mistakes, having a chronic sickness, or having lost their loved one (Bowie, 2020). A mental health profession focused on seniors gives them the chance to deal constructively with this stress to improve emotional well-being.</w:t>
      </w:r>
    </w:p>
    <w:p w14:paraId="5C790A0D" w14:textId="77777777" w:rsidR="003568C0" w:rsidRDefault="00EB653D">
      <w:pPr>
        <w:pStyle w:val="Titlu1"/>
        <w:rPr>
          <w:rFonts w:eastAsia="Times New Roman"/>
        </w:rPr>
      </w:pPr>
      <w:bookmarkStart w:id="4" w:name="_Toc162266254"/>
      <w:r>
        <w:rPr>
          <w:rFonts w:eastAsia="Times New Roman"/>
        </w:rPr>
        <w:t>Access to Healthcare and Preventive Services</w:t>
      </w:r>
      <w:bookmarkEnd w:id="4"/>
    </w:p>
    <w:p w14:paraId="2A8387AA" w14:textId="34BBE2B7" w:rsidR="003568C0" w:rsidRDefault="00EB653D">
      <w:pPr>
        <w:spacing w:line="480" w:lineRule="auto"/>
        <w:ind w:firstLine="720"/>
        <w:rPr>
          <w:rFonts w:ascii="Times New Roman" w:eastAsia="Times New Roman" w:hAnsi="Times New Roman" w:cs="Times New Roman"/>
        </w:rPr>
      </w:pPr>
      <w:r>
        <w:rPr>
          <w:rFonts w:ascii="Times New Roman" w:eastAsia="Times New Roman" w:hAnsi="Times New Roman" w:cs="Times New Roman"/>
        </w:rPr>
        <w:t>Healthcare access is a necessity for the health and welfare of older adults. Therefore, there is a need for a system that enables them to access these services equitably. Routinely monitoring and avoidable illnesses by screening and immunizations may prevent and control the chronic health problems that occur in the later stages of the life cycle. Additionally, targeted healthcare opportunities for the older individuals which may include home visits, telehealth consultations, and transport to various places aid in removing healthcare issues and encourage initiative-taking preventive health care management.</w:t>
      </w:r>
    </w:p>
    <w:p w14:paraId="12F850AA" w14:textId="77777777" w:rsidR="003568C0" w:rsidRDefault="00EB653D">
      <w:pPr>
        <w:pStyle w:val="Titlu1"/>
        <w:rPr>
          <w:rFonts w:eastAsia="Times New Roman"/>
        </w:rPr>
      </w:pPr>
      <w:bookmarkStart w:id="5" w:name="_Toc162266255"/>
      <w:r>
        <w:rPr>
          <w:rFonts w:eastAsia="Times New Roman"/>
        </w:rPr>
        <w:t>Nutrition and Dietary Interventions</w:t>
      </w:r>
      <w:bookmarkEnd w:id="5"/>
    </w:p>
    <w:p w14:paraId="5B3B3D4F" w14:textId="08A5D261" w:rsidR="003568C0" w:rsidRDefault="00EB653D">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Education programs and counseling on nutrition occupy the main positions in the list of the activities meant for the support and detection of malnutrition or abuse in eating older adults. </w:t>
      </w:r>
      <w:r>
        <w:rPr>
          <w:rFonts w:ascii="Times New Roman" w:eastAsia="Times New Roman" w:hAnsi="Times New Roman" w:cs="Times New Roman"/>
        </w:rPr>
        <w:lastRenderedPageBreak/>
        <w:t>The main factor for good health at an older age is a full-fledged diet - this is what keeps our physical health, cognitive function, and overall wellbeing in later life. Through this initiative, they are aimed at empowering seniors by arming them with facts and tools to make healthy dietary choices, which means they are getting all the needed nutrients for excellent health and energy.</w:t>
      </w:r>
    </w:p>
    <w:p w14:paraId="0AABD858" w14:textId="77777777" w:rsidR="003568C0" w:rsidRDefault="00EB653D">
      <w:pPr>
        <w:pStyle w:val="Titlu1"/>
        <w:rPr>
          <w:rFonts w:eastAsia="Times New Roman"/>
        </w:rPr>
      </w:pPr>
      <w:bookmarkStart w:id="6" w:name="_Toc162266256"/>
      <w:r>
        <w:rPr>
          <w:rFonts w:eastAsia="Times New Roman"/>
        </w:rPr>
        <w:t>Challenges Encountered by Older Persons and Current Responses</w:t>
      </w:r>
      <w:bookmarkEnd w:id="6"/>
    </w:p>
    <w:p w14:paraId="7D9756DF" w14:textId="0317E7AA" w:rsidR="003568C0" w:rsidRDefault="00EB653D">
      <w:pPr>
        <w:spacing w:line="480" w:lineRule="auto"/>
        <w:ind w:firstLine="720"/>
        <w:rPr>
          <w:rFonts w:ascii="Times New Roman" w:eastAsia="Times New Roman" w:hAnsi="Times New Roman" w:cs="Times New Roman"/>
        </w:rPr>
      </w:pPr>
      <w:r>
        <w:rPr>
          <w:rFonts w:ascii="Times New Roman" w:eastAsia="Times New Roman" w:hAnsi="Times New Roman" w:cs="Times New Roman"/>
        </w:rPr>
        <w:t>As elderly people face several challenges, their health and well-being can be influenced by the issues they experience. It is thus critical to explore some of the most prevalent challenges faced by this demographic and examine the current responses aimed at addressing them.</w:t>
      </w:r>
    </w:p>
    <w:p w14:paraId="31EC9DFA" w14:textId="77777777" w:rsidR="003568C0" w:rsidRDefault="00EB653D">
      <w:pPr>
        <w:pStyle w:val="Titlu1"/>
        <w:rPr>
          <w:rFonts w:eastAsia="Times New Roman"/>
        </w:rPr>
      </w:pPr>
      <w:bookmarkStart w:id="7" w:name="_Toc162266257"/>
      <w:r>
        <w:rPr>
          <w:rFonts w:eastAsia="Times New Roman"/>
        </w:rPr>
        <w:t>Social Isolation and Loneliness</w:t>
      </w:r>
      <w:bookmarkEnd w:id="7"/>
    </w:p>
    <w:p w14:paraId="5D754820" w14:textId="360E0081" w:rsidR="003568C0" w:rsidRDefault="00EB653D">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 Social isolation and loneliness are common health problems among older people which can be triggered by living alone, a decrease in social interaction, and reduced mobility. The absence of a fruitful social life can wreak havoc on both psychological and physiological health, making individuals more susceptible to depression, anxiety, and dementia. Presently, there are varied approaches to coping with social loneliness – for example, public organizations provide outreach programs, friendly services, the use of technology for video chats, or online social media (Czaja et al., 2021). These programs, which are designed to create opportunities for social relations and to develop a sense of belonging among elderly people, aim at reducing loneliness and as such just improving the whole health’s condition.</w:t>
      </w:r>
    </w:p>
    <w:p w14:paraId="775CD853" w14:textId="77777777" w:rsidR="003568C0" w:rsidRDefault="00EB653D">
      <w:pPr>
        <w:pStyle w:val="Listparagraf"/>
        <w:numPr>
          <w:ilvl w:val="0"/>
          <w:numId w:val="1"/>
        </w:numPr>
        <w:spacing w:line="480" w:lineRule="auto"/>
        <w:rPr>
          <w:rFonts w:ascii="Times New Roman" w:eastAsia="Times New Roman" w:hAnsi="Times New Roman" w:cs="Times New Roman"/>
        </w:rPr>
      </w:pPr>
      <w:r>
        <w:rPr>
          <w:rFonts w:ascii="Times New Roman" w:eastAsia="Times New Roman" w:hAnsi="Times New Roman" w:cs="Times New Roman"/>
        </w:rPr>
        <w:t>Chronic Health Conditions</w:t>
      </w:r>
    </w:p>
    <w:p w14:paraId="3FE3ED27" w14:textId="00DE5C94" w:rsidR="003568C0" w:rsidRDefault="00EB653D">
      <w:pPr>
        <w:spacing w:line="48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Adults over the age of sixty-five are more likely to develop several chronic diseases such as diabetes, hypertension, and arthritis that could affect their quality of life (Bellary et al., 2021). Keeping these illnesses in check typically involves long-term medical treatment, staying committed to new forms of lifestyle, and social services (Oliveros et al., 2020). These strategies encompass prevention and treatment programs such as disease management, multidisciplinary care groups and self-management education geared towards empowering the aged to better meet their health needs. Through implementation of campaigns, there is emphasis primarily on prevention, early detection, and initiative-taking management of chronic illnesses, hence, success in improving health outcomes and expanding wellbeing.</w:t>
      </w:r>
    </w:p>
    <w:p w14:paraId="260DB488" w14:textId="77777777" w:rsidR="003568C0" w:rsidRDefault="00EB653D">
      <w:pPr>
        <w:pStyle w:val="Titlu1"/>
        <w:rPr>
          <w:rFonts w:eastAsia="Times New Roman"/>
        </w:rPr>
      </w:pPr>
      <w:bookmarkStart w:id="8" w:name="_Toc162266258"/>
      <w:r>
        <w:rPr>
          <w:rFonts w:eastAsia="Times New Roman"/>
        </w:rPr>
        <w:t>Financial Insecurity</w:t>
      </w:r>
      <w:bookmarkEnd w:id="8"/>
    </w:p>
    <w:p w14:paraId="76D38431" w14:textId="55842EC5" w:rsidR="003568C0" w:rsidRDefault="00EB653D">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 Many older people are facing financial insecurity in the UK and the ones most affected are the ones living on fixed incomes with truly little retirement savings. Financial problems often bring stress, anxiousness, and hinder the most vulnerable sector of our society from obtaining necessities (John et al., 2020). At present, the measures relate to providing pension schemes, welfare benefits and financial counsellors’ services that aim at relieving the stress state of older adults and promoting financial independence among them (Reitz et al., 2020). On the other hand, the advocacy group resolves the issues resulting into a shortsightedness of financial problems like secondary savings and pension imbalances.</w:t>
      </w:r>
    </w:p>
    <w:p w14:paraId="2B83543F" w14:textId="77777777" w:rsidR="003568C0" w:rsidRDefault="00EB653D">
      <w:pPr>
        <w:pStyle w:val="Titlu1"/>
        <w:rPr>
          <w:rFonts w:eastAsia="Times New Roman"/>
        </w:rPr>
      </w:pPr>
      <w:bookmarkStart w:id="9" w:name="_Toc162266259"/>
      <w:r>
        <w:rPr>
          <w:rFonts w:eastAsia="Times New Roman"/>
        </w:rPr>
        <w:t>Ageism and Discrimination</w:t>
      </w:r>
      <w:bookmarkEnd w:id="9"/>
    </w:p>
    <w:p w14:paraId="6843C5E2" w14:textId="5DC1DBA6" w:rsidR="003568C0" w:rsidRDefault="00EB653D">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Older people often are the target of age-related discrimination on a familial, social, and professional level. These instances may occur in employment, health care and in society in general. The consequences of ageism on mental health, evaluating yourself, and on providing </w:t>
      </w:r>
      <w:r>
        <w:rPr>
          <w:rFonts w:ascii="Times New Roman" w:eastAsia="Times New Roman" w:hAnsi="Times New Roman" w:cs="Times New Roman"/>
        </w:rPr>
        <w:lastRenderedPageBreak/>
        <w:t>you with job opportunities can be profound (Enssle and Kabisch, 2020). Present responses to aging involve campaigns, education to create tolerance knowledge, and legislation aimed at eradicating ageism and giving older people better environments. Initiatives such as workplace age-friendliness, age-differentiated healthcare provisions, and intergenerational projects aim to shift the stereotypes to the more diverse and inclusive ones.</w:t>
      </w:r>
    </w:p>
    <w:p w14:paraId="0B0B5682" w14:textId="77777777" w:rsidR="003568C0" w:rsidRDefault="00EB653D">
      <w:pPr>
        <w:pStyle w:val="Titlu1"/>
        <w:rPr>
          <w:rFonts w:eastAsia="Times New Roman"/>
        </w:rPr>
      </w:pPr>
      <w:bookmarkStart w:id="10" w:name="_Toc162266260"/>
      <w:r>
        <w:rPr>
          <w:rFonts w:eastAsia="Times New Roman"/>
        </w:rPr>
        <w:t>Recommendations</w:t>
      </w:r>
      <w:bookmarkEnd w:id="10"/>
    </w:p>
    <w:p w14:paraId="4D025FD0" w14:textId="4273AC86" w:rsidR="003568C0" w:rsidRDefault="00EB653D">
      <w:pPr>
        <w:pStyle w:val="Listparagraf"/>
        <w:numPr>
          <w:ilvl w:val="0"/>
          <w:numId w:val="2"/>
        </w:numPr>
        <w:spacing w:line="480" w:lineRule="auto"/>
        <w:rPr>
          <w:rFonts w:ascii="Times New Roman" w:eastAsia="Times New Roman" w:hAnsi="Times New Roman" w:cs="Times New Roman"/>
        </w:rPr>
      </w:pPr>
      <w:r>
        <w:rPr>
          <w:rFonts w:ascii="Times New Roman" w:eastAsia="Times New Roman" w:hAnsi="Times New Roman" w:cs="Times New Roman"/>
        </w:rPr>
        <w:t>Integrated Service Delivery: Develop better partnership and cooperation between health care, social care, and surrounding community services institutions to offer wide-ranged care and support for the elderly. Integrators of services make it easy to eventually get care, streamline the communication among providers, and afford everything that is needed by older people to be investigated.</w:t>
      </w:r>
    </w:p>
    <w:p w14:paraId="6F229D4E" w14:textId="77777777" w:rsidR="003568C0" w:rsidRDefault="00EB653D">
      <w:pPr>
        <w:pStyle w:val="Listparagraf"/>
        <w:numPr>
          <w:ilvl w:val="0"/>
          <w:numId w:val="2"/>
        </w:numPr>
        <w:spacing w:line="480" w:lineRule="auto"/>
        <w:rPr>
          <w:rFonts w:ascii="Times New Roman" w:eastAsia="Times New Roman" w:hAnsi="Times New Roman" w:cs="Times New Roman"/>
        </w:rPr>
      </w:pPr>
      <w:r>
        <w:rPr>
          <w:rFonts w:ascii="Times New Roman" w:eastAsia="Times New Roman" w:hAnsi="Times New Roman" w:cs="Times New Roman"/>
        </w:rPr>
        <w:t>Early Intervention Strategies: Implement preventive measures to, early on, identify older individuals use and amend their issues while they are still manageable (Murphy et al., 2021). Programs of screening, home visits, as well as community organization are helpful in identifying risk factors and additional actions can be taken as a preventive measure. This includes preventing the emergence of adverse health and social outcomes.</w:t>
      </w:r>
    </w:p>
    <w:p w14:paraId="1DF9A503" w14:textId="77777777" w:rsidR="003568C0" w:rsidRDefault="00EB653D">
      <w:pPr>
        <w:pStyle w:val="Listparagraf"/>
        <w:numPr>
          <w:ilvl w:val="0"/>
          <w:numId w:val="2"/>
        </w:numPr>
        <w:spacing w:line="480" w:lineRule="auto"/>
        <w:rPr>
          <w:rFonts w:ascii="Times New Roman" w:eastAsia="Times New Roman" w:hAnsi="Times New Roman" w:cs="Times New Roman"/>
        </w:rPr>
      </w:pPr>
      <w:r>
        <w:rPr>
          <w:rFonts w:ascii="Times New Roman" w:eastAsia="Times New Roman" w:hAnsi="Times New Roman" w:cs="Times New Roman"/>
        </w:rPr>
        <w:t>Age-Friendly Environments: Build age-friendly homes that would be accepting, welcoming and thorough facilities provide room for elderly citizens (Johnson et al., 2020). This will entail creating accessible infrastructures, transportation alternatives, and neighborhood gathering spots and organizing community engagement and intergenerational activities among citizens and elders.</w:t>
      </w:r>
    </w:p>
    <w:p w14:paraId="0D3C1851" w14:textId="77777777" w:rsidR="003568C0" w:rsidRDefault="00EB653D">
      <w:pPr>
        <w:pStyle w:val="Listparagraf"/>
        <w:numPr>
          <w:ilvl w:val="0"/>
          <w:numId w:val="2"/>
        </w:numPr>
        <w:spacing w:line="480" w:lineRule="auto"/>
        <w:rPr>
          <w:rFonts w:ascii="Times New Roman" w:eastAsia="Times New Roman" w:hAnsi="Times New Roman" w:cs="Times New Roman"/>
        </w:rPr>
      </w:pPr>
      <w:r>
        <w:rPr>
          <w:rFonts w:ascii="Times New Roman" w:eastAsia="Times New Roman" w:hAnsi="Times New Roman" w:cs="Times New Roman"/>
        </w:rPr>
        <w:t xml:space="preserve">Technology Integration: Support telehealth, remote monitoring, and digital health tools for care connectivity and home care initiatives to enhance services delivery to seniors </w:t>
      </w:r>
      <w:r>
        <w:rPr>
          <w:rFonts w:ascii="Times New Roman" w:eastAsia="Times New Roman" w:hAnsi="Times New Roman" w:cs="Times New Roman"/>
        </w:rPr>
        <w:lastRenderedPageBreak/>
        <w:t xml:space="preserve">(gao et al., 2020). Technology can serve to overcome geographical obstacles, connect to healthcare systems remotely and help individuals to take charge of their health and well-being from the home. </w:t>
      </w:r>
    </w:p>
    <w:p w14:paraId="557DA60E" w14:textId="77777777" w:rsidR="003568C0" w:rsidRDefault="00EB653D">
      <w:pPr>
        <w:pStyle w:val="Listparagraf"/>
        <w:numPr>
          <w:ilvl w:val="0"/>
          <w:numId w:val="2"/>
        </w:numPr>
        <w:spacing w:line="480" w:lineRule="auto"/>
        <w:rPr>
          <w:rFonts w:ascii="Times New Roman" w:eastAsia="Times New Roman" w:hAnsi="Times New Roman" w:cs="Times New Roman"/>
        </w:rPr>
      </w:pPr>
      <w:r>
        <w:rPr>
          <w:rFonts w:ascii="Times New Roman" w:eastAsia="Times New Roman" w:hAnsi="Times New Roman" w:cs="Times New Roman"/>
        </w:rPr>
        <w:t>Education and Training: Build up a system of life-long learning processes and training for healthcare and social care professionals to be able to provide the best help for the elderly (Flett and Heisel, 2021). Such implies training the providers on geriatric care principles, age-friendly communication, cultural sensitivity, among others to make sure that services are individualized to meet the personal needs and wishes of older adults.</w:t>
      </w:r>
    </w:p>
    <w:p w14:paraId="50583DA1" w14:textId="77777777" w:rsidR="003568C0" w:rsidRDefault="00EB653D">
      <w:pPr>
        <w:spacing w:line="480" w:lineRule="auto"/>
        <w:ind w:firstLine="720"/>
        <w:rPr>
          <w:rFonts w:ascii="Times New Roman" w:eastAsia="Times New Roman" w:hAnsi="Times New Roman" w:cs="Times New Roman"/>
        </w:rPr>
      </w:pPr>
      <w:r>
        <w:rPr>
          <w:rFonts w:ascii="Times New Roman" w:eastAsia="Times New Roman" w:hAnsi="Times New Roman" w:cs="Times New Roman"/>
        </w:rPr>
        <w:t>Adhering to these recommendations will allow policymakers, public health authorities, and community stakeholders to collaborate and put in place supportive environments that address the unique needs of ageing adults and ensure that they function in good health, high quality of life, and have a well-deserved respect during the later stages of their life.</w:t>
      </w:r>
    </w:p>
    <w:p w14:paraId="64411B75" w14:textId="77777777" w:rsidR="003568C0" w:rsidRDefault="00EB653D">
      <w:pPr>
        <w:pStyle w:val="Titlu1"/>
        <w:rPr>
          <w:rFonts w:eastAsia="Times New Roman"/>
        </w:rPr>
      </w:pPr>
      <w:bookmarkStart w:id="11" w:name="_Toc162266261"/>
      <w:r>
        <w:rPr>
          <w:rFonts w:eastAsia="Times New Roman"/>
        </w:rPr>
        <w:t>Conclusion</w:t>
      </w:r>
      <w:bookmarkEnd w:id="11"/>
      <w:r>
        <w:rPr>
          <w:rFonts w:eastAsia="Times New Roman"/>
        </w:rPr>
        <w:t xml:space="preserve"> </w:t>
      </w:r>
    </w:p>
    <w:p w14:paraId="30C74CC5" w14:textId="77777777" w:rsidR="003568C0" w:rsidRDefault="00EB653D">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Therefore, a holistic approach inclusive of policymakers, healthcare experts and community leaders are critical in solving the multifaceted problems faced by the elderly population. This report, based on evaluating different measures and interventions, at the same time, recognizing the frequently occurring challenges and suggesting the recommendations for betterment, demonstrates that the health and well-being among elderly should be the priority. Integrating services, putting in motion early intervention strategies, developing age-friendly environment, using appropriate technology, and constantly educating and training older adults will produce the most supportive systems that will enable them to live a satisfying and independent lives. Using these principles, we can build a relationship in the community that </w:t>
      </w:r>
      <w:r>
        <w:rPr>
          <w:rFonts w:ascii="Times New Roman" w:eastAsia="Times New Roman" w:hAnsi="Times New Roman" w:cs="Times New Roman"/>
        </w:rPr>
        <w:lastRenderedPageBreak/>
        <w:t>respects and values any older adult`s dignity, autonomy, and well-being and provides the respect and assistance that they deserve as they get into their later years.</w:t>
      </w:r>
    </w:p>
    <w:p w14:paraId="68D8DF4E" w14:textId="77777777" w:rsidR="003568C0" w:rsidRDefault="00EB653D">
      <w:pPr>
        <w:rPr>
          <w:rFonts w:ascii="Times New Roman" w:eastAsia="Times New Roman" w:hAnsi="Times New Roman" w:cs="Times New Roman"/>
        </w:rPr>
      </w:pPr>
      <w:r>
        <w:rPr>
          <w:rFonts w:ascii="Times New Roman" w:eastAsia="Times New Roman" w:hAnsi="Times New Roman" w:cs="Times New Roman"/>
        </w:rPr>
        <w:br w:type="page"/>
      </w:r>
    </w:p>
    <w:p w14:paraId="62FBA6F3" w14:textId="77777777" w:rsidR="003568C0" w:rsidRDefault="00EB653D">
      <w:pPr>
        <w:pStyle w:val="Titlu1"/>
        <w:rPr>
          <w:rFonts w:eastAsia="Times New Roman"/>
        </w:rPr>
      </w:pPr>
      <w:bookmarkStart w:id="12" w:name="_Toc162266262"/>
      <w:r>
        <w:rPr>
          <w:rFonts w:eastAsia="Times New Roman"/>
        </w:rPr>
        <w:lastRenderedPageBreak/>
        <w:t>Appendices</w:t>
      </w:r>
      <w:bookmarkEnd w:id="12"/>
    </w:p>
    <w:p w14:paraId="6B409C87" w14:textId="77777777" w:rsidR="003568C0" w:rsidRDefault="00EB653D">
      <w:pPr>
        <w:spacing w:line="480" w:lineRule="auto"/>
        <w:rPr>
          <w:rFonts w:ascii="Times New Roman" w:eastAsia="Times New Roman" w:hAnsi="Times New Roman" w:cs="Times New Roman"/>
          <w:b/>
          <w:bCs/>
        </w:rPr>
      </w:pPr>
      <w:r>
        <w:rPr>
          <w:rFonts w:ascii="Times New Roman" w:eastAsia="Times New Roman" w:hAnsi="Times New Roman" w:cs="Times New Roman"/>
          <w:b/>
          <w:bCs/>
        </w:rPr>
        <w:t>Population aged 65 years and over living alone, by five-year age groups and sex, 2021, England and Wales</w:t>
      </w:r>
    </w:p>
    <w:p w14:paraId="28C1E899" w14:textId="77777777" w:rsidR="003568C0" w:rsidRDefault="00EB653D">
      <w:pPr>
        <w:rPr>
          <w:rFonts w:ascii="Times New Roman" w:eastAsia="Times New Roman" w:hAnsi="Times New Roman" w:cs="Times New Roman"/>
        </w:rPr>
      </w:pPr>
      <w:r>
        <w:rPr>
          <w:noProof/>
        </w:rPr>
        <w:drawing>
          <wp:inline distT="0" distB="0" distL="0" distR="0" wp14:anchorId="7A507FB2" wp14:editId="7D3FDA0E">
            <wp:extent cx="4572000" cy="2324100"/>
            <wp:effectExtent l="0" t="0" r="0" b="0"/>
            <wp:docPr id="1930137688" name="Picture 1930137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137688" name="Picture 1930137688"/>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4572000" cy="2324100"/>
                    </a:xfrm>
                    <a:prstGeom prst="rect">
                      <a:avLst/>
                    </a:prstGeom>
                  </pic:spPr>
                </pic:pic>
              </a:graphicData>
            </a:graphic>
          </wp:inline>
        </w:drawing>
      </w:r>
    </w:p>
    <w:p w14:paraId="3204EB4F" w14:textId="77777777" w:rsidR="003568C0" w:rsidRDefault="00EB653D">
      <w:pPr>
        <w:spacing w:line="480" w:lineRule="auto"/>
        <w:rPr>
          <w:rFonts w:ascii="Times New Roman" w:eastAsia="Times New Roman" w:hAnsi="Times New Roman" w:cs="Times New Roman"/>
        </w:rPr>
      </w:pPr>
      <w:r>
        <w:rPr>
          <w:rFonts w:ascii="Times New Roman" w:eastAsia="Times New Roman" w:hAnsi="Times New Roman" w:cs="Times New Roman"/>
        </w:rPr>
        <w:t>Source: Census 2021 from the Office for National Statistics</w:t>
      </w:r>
    </w:p>
    <w:p w14:paraId="01C3F23F" w14:textId="77777777" w:rsidR="003568C0" w:rsidRDefault="00EB653D">
      <w:pPr>
        <w:pStyle w:val="Listparagraf"/>
        <w:numPr>
          <w:ilvl w:val="0"/>
          <w:numId w:val="3"/>
        </w:numPr>
        <w:spacing w:line="480" w:lineRule="auto"/>
        <w:rPr>
          <w:rFonts w:ascii="Times New Roman" w:eastAsia="Times New Roman" w:hAnsi="Times New Roman" w:cs="Times New Roman"/>
        </w:rPr>
      </w:pPr>
      <w:r>
        <w:rPr>
          <w:rFonts w:ascii="Times New Roman" w:eastAsia="Times New Roman" w:hAnsi="Times New Roman" w:cs="Times New Roman"/>
        </w:rPr>
        <w:t>Representation of the prevalence of chronic diseases in elderly inpatients along with the PIM rate. *DM = Diabetes mellitus, CVA = Cerebrovascular accident, RD = Respiratory disorder, CKD = Chronic kidney disease, CVD = Cardiovascular disease, CLD = Chronic liver disease, HTN = Hypertension, PIM = Potentially inappropriate medication</w:t>
      </w:r>
    </w:p>
    <w:p w14:paraId="5531055F" w14:textId="77777777" w:rsidR="003568C0" w:rsidRDefault="003568C0">
      <w:pPr>
        <w:rPr>
          <w:rFonts w:ascii="Times New Roman" w:eastAsia="Times New Roman" w:hAnsi="Times New Roman" w:cs="Times New Roman"/>
        </w:rPr>
      </w:pPr>
    </w:p>
    <w:p w14:paraId="54A7E6FA" w14:textId="77777777" w:rsidR="003568C0" w:rsidRDefault="00EB653D">
      <w:pPr>
        <w:rPr>
          <w:rFonts w:ascii="Times New Roman" w:eastAsia="Times New Roman" w:hAnsi="Times New Roman" w:cs="Times New Roman"/>
        </w:rPr>
      </w:pPr>
      <w:r>
        <w:rPr>
          <w:noProof/>
        </w:rPr>
        <w:lastRenderedPageBreak/>
        <w:drawing>
          <wp:inline distT="0" distB="0" distL="0" distR="0" wp14:anchorId="159D37CF" wp14:editId="4B72C941">
            <wp:extent cx="5095875" cy="2343150"/>
            <wp:effectExtent l="0" t="0" r="0" b="0"/>
            <wp:docPr id="2027535670" name="Picture 2027535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535670" name="Picture 2027535670"/>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095876" cy="2343150"/>
                    </a:xfrm>
                    <a:prstGeom prst="rect">
                      <a:avLst/>
                    </a:prstGeom>
                  </pic:spPr>
                </pic:pic>
              </a:graphicData>
            </a:graphic>
          </wp:inline>
        </w:drawing>
      </w:r>
    </w:p>
    <w:p w14:paraId="4854F104" w14:textId="77777777" w:rsidR="003568C0" w:rsidRDefault="00EB653D">
      <w:pPr>
        <w:rPr>
          <w:rFonts w:ascii="Times New Roman" w:eastAsia="Times New Roman" w:hAnsi="Times New Roman" w:cs="Times New Roman"/>
        </w:rPr>
      </w:pPr>
      <w:r>
        <w:rPr>
          <w:rFonts w:ascii="Times New Roman" w:eastAsia="Times New Roman" w:hAnsi="Times New Roman" w:cs="Times New Roman"/>
        </w:rPr>
        <w:t xml:space="preserve">Source: Research Gate </w:t>
      </w:r>
      <w:hyperlink r:id="rId11">
        <w:r>
          <w:rPr>
            <w:rStyle w:val="Hyperlink"/>
            <w:rFonts w:ascii="Times New Roman" w:eastAsia="Times New Roman" w:hAnsi="Times New Roman" w:cs="Times New Roman"/>
          </w:rPr>
          <w:t>https://www.researchgate.net/figure/Representation-of-the-prevalence-of-chronic-diseases-in-elderly-inpatients-along-with-the_fig1_344373860</w:t>
        </w:r>
      </w:hyperlink>
      <w:r>
        <w:rPr>
          <w:rFonts w:ascii="Times New Roman" w:eastAsia="Times New Roman" w:hAnsi="Times New Roman" w:cs="Times New Roman"/>
        </w:rPr>
        <w:t xml:space="preserve"> </w:t>
      </w:r>
    </w:p>
    <w:p w14:paraId="7DAF0B61" w14:textId="77777777" w:rsidR="003568C0" w:rsidRDefault="003568C0">
      <w:pPr>
        <w:pStyle w:val="Listparagraf"/>
        <w:numPr>
          <w:ilvl w:val="0"/>
          <w:numId w:val="4"/>
        </w:numPr>
      </w:pPr>
    </w:p>
    <w:p w14:paraId="3F547BC7" w14:textId="77777777" w:rsidR="003568C0" w:rsidRDefault="003568C0"/>
    <w:p w14:paraId="271D5EBB" w14:textId="77777777" w:rsidR="003568C0" w:rsidRDefault="00EB653D">
      <w:r>
        <w:rPr>
          <w:noProof/>
        </w:rPr>
        <w:drawing>
          <wp:inline distT="0" distB="0" distL="0" distR="0" wp14:anchorId="0D9FA047" wp14:editId="3FD47938">
            <wp:extent cx="4572000" cy="1990725"/>
            <wp:effectExtent l="0" t="0" r="0" b="0"/>
            <wp:docPr id="1696998560" name="Picture 1696998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998560" name="Picture 1696998560"/>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2000" cy="1990725"/>
                    </a:xfrm>
                    <a:prstGeom prst="rect">
                      <a:avLst/>
                    </a:prstGeom>
                  </pic:spPr>
                </pic:pic>
              </a:graphicData>
            </a:graphic>
          </wp:inline>
        </w:drawing>
      </w:r>
    </w:p>
    <w:p w14:paraId="2CC7F2D1" w14:textId="77777777" w:rsidR="003568C0" w:rsidRDefault="00EB653D">
      <w:r>
        <w:br w:type="page"/>
      </w:r>
      <w:r>
        <w:lastRenderedPageBreak/>
        <w:t xml:space="preserve">Source: </w:t>
      </w:r>
      <w:hyperlink r:id="rId13">
        <w:r>
          <w:rPr>
            <w:rStyle w:val="HyperlinkParcurs"/>
          </w:rPr>
          <w:t>https://www.seniorhelpers.com/services/</w:t>
        </w:r>
      </w:hyperlink>
      <w:r>
        <w:t xml:space="preserve"> </w:t>
      </w:r>
    </w:p>
    <w:p w14:paraId="0DBB0F53" w14:textId="77777777" w:rsidR="003568C0" w:rsidRDefault="00EB653D">
      <w:pPr>
        <w:pStyle w:val="Titlu1"/>
        <w:rPr>
          <w:rFonts w:eastAsia="Times New Roman"/>
        </w:rPr>
      </w:pPr>
      <w:bookmarkStart w:id="13" w:name="_Toc162266263"/>
      <w:r>
        <w:rPr>
          <w:rFonts w:eastAsia="Times New Roman"/>
        </w:rPr>
        <w:t>Reference List</w:t>
      </w:r>
      <w:bookmarkEnd w:id="13"/>
    </w:p>
    <w:p w14:paraId="5C479CFF" w14:textId="77777777" w:rsidR="003568C0" w:rsidRDefault="00EB653D">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Bellary, S., Kyrou, I., Brown, J.E. and Bailey, C.J., 2021. Type 2 diabetes mellitus in older adults: clinical considerations and management. Nature Reviews Endocrinology, 17(9), pp.534-548.</w:t>
      </w:r>
    </w:p>
    <w:p w14:paraId="425EC52B" w14:textId="77777777" w:rsidR="003568C0" w:rsidRDefault="00EB653D">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Bowie, F., 2020. Wales from within: Conflicting interpretations of Welsh identity. In Inside European Identities (pp. 167-193). Routledge. </w:t>
      </w:r>
      <w:hyperlink r:id="rId14">
        <w:r>
          <w:rPr>
            <w:rStyle w:val="Hyperlink"/>
            <w:rFonts w:ascii="Times New Roman" w:eastAsia="Times New Roman" w:hAnsi="Times New Roman" w:cs="Times New Roman"/>
          </w:rPr>
          <w:t>https://www.taylorfrancis.com/chapters/edit/10.4324/9781003135050-8/wales-within-conflicting-interpretations-welsh-identity-fiona-bowie</w:t>
        </w:r>
      </w:hyperlink>
      <w:r>
        <w:rPr>
          <w:rFonts w:ascii="Times New Roman" w:eastAsia="Times New Roman" w:hAnsi="Times New Roman" w:cs="Times New Roman"/>
        </w:rPr>
        <w:t xml:space="preserve"> </w:t>
      </w:r>
    </w:p>
    <w:p w14:paraId="48BED6FD" w14:textId="77777777" w:rsidR="003568C0" w:rsidRDefault="00EB653D">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Czaja, S.J., Moxley, J.H. and Rogers, W.A., 2021. Social support, isolation, loneliness, and health among older adults in the PRISM randomized controlled trial. Frontiers in Psychology, 12, p.728658. </w:t>
      </w:r>
      <w:hyperlink r:id="rId15">
        <w:r>
          <w:rPr>
            <w:rStyle w:val="Hyperlink"/>
            <w:rFonts w:ascii="Times New Roman" w:eastAsia="Times New Roman" w:hAnsi="Times New Roman" w:cs="Times New Roman"/>
          </w:rPr>
          <w:t>https://www.frontiersin.org/journals/psychology/articles/10.3389/fpsyg.2021.728658/full</w:t>
        </w:r>
      </w:hyperlink>
    </w:p>
    <w:p w14:paraId="5C4A95FA" w14:textId="77600DA9" w:rsidR="003568C0" w:rsidRDefault="00EB653D">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Enssle, F. and Kabisch, N., 2020. Urban green spaces for the social interaction, health, and well-being of older people—An integrated view of urban ecosystem services and socio-environmental justice. Environmental science &amp; policy, 109, pp.36-44. </w:t>
      </w:r>
      <w:hyperlink r:id="rId16">
        <w:r>
          <w:rPr>
            <w:rStyle w:val="Hyperlink"/>
            <w:rFonts w:ascii="Times New Roman" w:eastAsia="Times New Roman" w:hAnsi="Times New Roman" w:cs="Times New Roman"/>
          </w:rPr>
          <w:t>https://www.sciencedirect.com/science/article/abs/pii/S1462901119310846</w:t>
        </w:r>
      </w:hyperlink>
      <w:r>
        <w:rPr>
          <w:rFonts w:ascii="Times New Roman" w:eastAsia="Times New Roman" w:hAnsi="Times New Roman" w:cs="Times New Roman"/>
        </w:rPr>
        <w:t xml:space="preserve"> </w:t>
      </w:r>
    </w:p>
    <w:p w14:paraId="34689181" w14:textId="77777777" w:rsidR="003568C0" w:rsidRDefault="00EB653D">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Flett, G.L. and Heisel, M.J., 2021. Aging and feeling valued versus expendable during the COVID-19 pandemic and beyond: a review and commentary of why mattering is fundamental to the health and well-being of older adults. International Journal of Mental Health and Addiction, 19(6), pp.2443-2469. </w:t>
      </w:r>
      <w:hyperlink r:id="rId17">
        <w:r>
          <w:rPr>
            <w:rStyle w:val="Hyperlink"/>
            <w:rFonts w:ascii="Times New Roman" w:eastAsia="Times New Roman" w:hAnsi="Times New Roman" w:cs="Times New Roman"/>
          </w:rPr>
          <w:t>https://link.springer.com/article/10.1007/s11469-020-00339-4</w:t>
        </w:r>
      </w:hyperlink>
      <w:r>
        <w:rPr>
          <w:rFonts w:ascii="Times New Roman" w:eastAsia="Times New Roman" w:hAnsi="Times New Roman" w:cs="Times New Roman"/>
        </w:rPr>
        <w:t xml:space="preserve"> </w:t>
      </w:r>
    </w:p>
    <w:p w14:paraId="2AA2DB1B" w14:textId="77777777" w:rsidR="003568C0" w:rsidRDefault="00EB653D">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lastRenderedPageBreak/>
        <w:t xml:space="preserve">Gao, Z., Lee, J.E., McDonough, D.J. and Albers, C., 2020. Virtual reality exercise as a coping strategy for health and wellness promotion in older adults during the COVID-19 pandemic. Journal of clinical medicine, 9(6), p.1986. </w:t>
      </w:r>
      <w:hyperlink r:id="rId18">
        <w:r>
          <w:rPr>
            <w:rStyle w:val="Hyperlink"/>
            <w:rFonts w:ascii="Times New Roman" w:eastAsia="Times New Roman" w:hAnsi="Times New Roman" w:cs="Times New Roman"/>
          </w:rPr>
          <w:t>https://www.mdpi.com/2077-0383/9/6/1986</w:t>
        </w:r>
      </w:hyperlink>
      <w:r>
        <w:rPr>
          <w:rFonts w:ascii="Times New Roman" w:eastAsia="Times New Roman" w:hAnsi="Times New Roman" w:cs="Times New Roman"/>
        </w:rPr>
        <w:t xml:space="preserve"> </w:t>
      </w:r>
    </w:p>
    <w:p w14:paraId="44BC5B19" w14:textId="77777777" w:rsidR="003568C0" w:rsidRDefault="00EB653D">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John, B., Holloway, K., Davies, N., May, T., Buhociu, M., Cousins, A.L., Thomas, S. and Roderique-Davies, G., 2020. Gambling harm as a global public health concern: a mixed method investigation of trends in Wales. Frontiers in Public Health, 8, p.526704. </w:t>
      </w:r>
      <w:hyperlink r:id="rId19">
        <w:r>
          <w:rPr>
            <w:rStyle w:val="Hyperlink"/>
            <w:rFonts w:ascii="Times New Roman" w:eastAsia="Times New Roman" w:hAnsi="Times New Roman" w:cs="Times New Roman"/>
          </w:rPr>
          <w:t>https://www.frontiersin.org/journals/public</w:t>
        </w:r>
      </w:hyperlink>
      <w:r>
        <w:rPr>
          <w:rFonts w:ascii="Times New Roman" w:eastAsia="Times New Roman" w:hAnsi="Times New Roman" w:cs="Times New Roman"/>
        </w:rPr>
        <w:t xml:space="preserve"> </w:t>
      </w:r>
    </w:p>
    <w:p w14:paraId="08FFA215" w14:textId="77777777" w:rsidR="003568C0" w:rsidRDefault="00EB653D">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Johnson, J.K., Stewart, A.L., Acree, M., Nápoles, A.M., Flatt, J.D., Max, W.B. and Gregorich, S.E., 2020. A community choir intervention to promote well-being among diverse older adults: results from the community of voices trial. The Journals of Gerontology: Series B, 75(3), pp.549-559. </w:t>
      </w:r>
      <w:hyperlink r:id="rId20">
        <w:r>
          <w:rPr>
            <w:rStyle w:val="Hyperlink"/>
            <w:rFonts w:ascii="Times New Roman" w:eastAsia="Times New Roman" w:hAnsi="Times New Roman" w:cs="Times New Roman"/>
          </w:rPr>
          <w:t>https://academic.oup.com/psychsocgerontology/article/75/3/549/5165411</w:t>
        </w:r>
      </w:hyperlink>
      <w:r>
        <w:rPr>
          <w:rFonts w:ascii="Times New Roman" w:eastAsia="Times New Roman" w:hAnsi="Times New Roman" w:cs="Times New Roman"/>
        </w:rPr>
        <w:t xml:space="preserve"> </w:t>
      </w:r>
    </w:p>
    <w:p w14:paraId="51F9A47E" w14:textId="77777777" w:rsidR="003568C0" w:rsidRDefault="00EB653D">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Luo, M., Ding, D., Bauman, A., Negin, J. and Phongsavanh, P., 2020. Social engagement pattern, health behaviors and subjective well-being of older adults: an international perspective using WHO-SAGE survey data. BMC Public Health, 20, pp.1-10. </w:t>
      </w:r>
      <w:hyperlink r:id="rId21">
        <w:r>
          <w:rPr>
            <w:rStyle w:val="Hyperlink"/>
            <w:rFonts w:ascii="Times New Roman" w:eastAsia="Times New Roman" w:hAnsi="Times New Roman" w:cs="Times New Roman"/>
          </w:rPr>
          <w:t>https://link.springer.com/article/10.1186/s12889-019-7841-7</w:t>
        </w:r>
      </w:hyperlink>
      <w:r>
        <w:rPr>
          <w:rFonts w:ascii="Times New Roman" w:eastAsia="Times New Roman" w:hAnsi="Times New Roman" w:cs="Times New Roman"/>
        </w:rPr>
        <w:t xml:space="preserve"> </w:t>
      </w:r>
    </w:p>
    <w:p w14:paraId="71285DB2" w14:textId="44D52224" w:rsidR="003568C0" w:rsidRDefault="00EB653D">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Murphy, M., Scott, L.J., Salisbury, C., Turner, A., Scott, A., Denholm, R., Lewis, R., Iyer, G., Macleod, J. and Horwood, J., 2021. Implementation of remote consulting in UK primary care following the COVID-19 pandemic: a mixed-methods longitudinal study. British Journal of General Practice, 71(704), pp. e166-e177. </w:t>
      </w:r>
      <w:hyperlink r:id="rId22">
        <w:r>
          <w:rPr>
            <w:rStyle w:val="Hyperlink"/>
            <w:rFonts w:ascii="Times New Roman" w:eastAsia="Times New Roman" w:hAnsi="Times New Roman" w:cs="Times New Roman"/>
          </w:rPr>
          <w:t>https://bjgp.org/content/71/704/e166.short</w:t>
        </w:r>
      </w:hyperlink>
      <w:r>
        <w:rPr>
          <w:rFonts w:ascii="Times New Roman" w:eastAsia="Times New Roman" w:hAnsi="Times New Roman" w:cs="Times New Roman"/>
        </w:rPr>
        <w:t xml:space="preserve"> </w:t>
      </w:r>
    </w:p>
    <w:p w14:paraId="349F7365" w14:textId="3A05C39D" w:rsidR="003568C0" w:rsidRDefault="00EB653D">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lastRenderedPageBreak/>
        <w:t xml:space="preserve">Oliveros, E., Patel, H., Kyung, S., Fugar, S., Goldberg, A., Madan, N., and Williams, K.A., 2020. Hypertension in older adults: Assessment, management, and challenges. Clinical cardiology, 43(2), pp.99-107. </w:t>
      </w:r>
      <w:hyperlink r:id="rId23">
        <w:r>
          <w:rPr>
            <w:rStyle w:val="Hyperlink"/>
            <w:rFonts w:ascii="Times New Roman" w:eastAsia="Times New Roman" w:hAnsi="Times New Roman" w:cs="Times New Roman"/>
          </w:rPr>
          <w:t>https://onlinelibrary.wiley.com/doi/full/10.1002/clc.23303</w:t>
        </w:r>
      </w:hyperlink>
      <w:r>
        <w:rPr>
          <w:rFonts w:ascii="Times New Roman" w:eastAsia="Times New Roman" w:hAnsi="Times New Roman" w:cs="Times New Roman"/>
        </w:rPr>
        <w:t xml:space="preserve"> </w:t>
      </w:r>
    </w:p>
    <w:p w14:paraId="641ABBBC" w14:textId="77777777" w:rsidR="003568C0" w:rsidRDefault="00EB653D">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Reitz, S.M., Scaffa, M.E. and Dorsey, J., 2020. Occupational Therapy in the Promotion of Health and Well-Being. American Journal of Occupational Therapy, 74(3). </w:t>
      </w:r>
      <w:hyperlink r:id="rId24">
        <w:r>
          <w:rPr>
            <w:rStyle w:val="Hyperlink"/>
            <w:rFonts w:ascii="Times New Roman" w:eastAsia="Times New Roman" w:hAnsi="Times New Roman" w:cs="Times New Roman"/>
          </w:rPr>
          <w:t>https://openurl.ebsco.com/EPDB%3Agcd%3A10%3A18543018/detailv2?sid=ebsco%3Aplink%3Ascholar&amp;id=ebsco%3Agcd%3A143041171&amp;crl=c</w:t>
        </w:r>
      </w:hyperlink>
      <w:r>
        <w:rPr>
          <w:rFonts w:ascii="Times New Roman" w:eastAsia="Times New Roman" w:hAnsi="Times New Roman" w:cs="Times New Roman"/>
        </w:rPr>
        <w:t xml:space="preserve"> </w:t>
      </w:r>
    </w:p>
    <w:p w14:paraId="70A11786" w14:textId="77777777" w:rsidR="003568C0" w:rsidRDefault="00EB653D">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Son, J.S., Nimrod, G., West, S.T., Janke, M.C., Liechty, T. and Naar, J.J., 2021. Promoting older adults’ physical activity and social well-being during COVID-19. Leisure Sciences, 43(1-2), pp.287-294. </w:t>
      </w:r>
      <w:hyperlink r:id="rId25">
        <w:r>
          <w:rPr>
            <w:rStyle w:val="Hyperlink"/>
            <w:rFonts w:ascii="Times New Roman" w:eastAsia="Times New Roman" w:hAnsi="Times New Roman" w:cs="Times New Roman"/>
          </w:rPr>
          <w:t>https://www.tandfonline.com/doi/abs/10.1080/01490400.2020.1774015</w:t>
        </w:r>
      </w:hyperlink>
      <w:r>
        <w:rPr>
          <w:rFonts w:ascii="Times New Roman" w:eastAsia="Times New Roman" w:hAnsi="Times New Roman" w:cs="Times New Roman"/>
        </w:rPr>
        <w:t xml:space="preserve"> </w:t>
      </w:r>
    </w:p>
    <w:p w14:paraId="6F107606" w14:textId="77777777" w:rsidR="003568C0" w:rsidRDefault="00EB653D">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Wenger, G.C., 2021. The supportive network: Coping with old age. Routledge.</w:t>
      </w:r>
    </w:p>
    <w:p w14:paraId="658CB83E" w14:textId="77777777" w:rsidR="003568C0" w:rsidRDefault="003568C0">
      <w:pPr>
        <w:spacing w:line="480" w:lineRule="auto"/>
        <w:ind w:firstLine="720"/>
        <w:rPr>
          <w:rFonts w:ascii="Times New Roman" w:eastAsia="Times New Roman" w:hAnsi="Times New Roman" w:cs="Times New Roman"/>
        </w:rPr>
      </w:pPr>
    </w:p>
    <w:p w14:paraId="62850A4C" w14:textId="77777777" w:rsidR="003568C0" w:rsidRDefault="003568C0">
      <w:pPr>
        <w:spacing w:line="480" w:lineRule="auto"/>
        <w:rPr>
          <w:rFonts w:ascii="Times New Roman" w:eastAsia="Times New Roman" w:hAnsi="Times New Roman" w:cs="Times New Roman"/>
        </w:rPr>
      </w:pPr>
    </w:p>
    <w:p w14:paraId="24E8F568" w14:textId="77777777" w:rsidR="003568C0" w:rsidRDefault="003568C0">
      <w:pPr>
        <w:spacing w:line="480" w:lineRule="auto"/>
        <w:rPr>
          <w:rFonts w:ascii="Times New Roman" w:eastAsia="Times New Roman" w:hAnsi="Times New Roman" w:cs="Times New Roman"/>
        </w:rPr>
      </w:pPr>
    </w:p>
    <w:p w14:paraId="181B4A8F" w14:textId="77777777" w:rsidR="003568C0" w:rsidRDefault="003568C0">
      <w:pPr>
        <w:spacing w:line="480" w:lineRule="auto"/>
        <w:rPr>
          <w:rFonts w:ascii="Times New Roman" w:eastAsia="Times New Roman" w:hAnsi="Times New Roman" w:cs="Times New Roman"/>
        </w:rPr>
      </w:pPr>
    </w:p>
    <w:p w14:paraId="6A081721" w14:textId="77777777" w:rsidR="003568C0" w:rsidRDefault="003568C0">
      <w:pPr>
        <w:spacing w:line="480" w:lineRule="auto"/>
        <w:rPr>
          <w:rFonts w:ascii="Times New Roman" w:eastAsia="Times New Roman" w:hAnsi="Times New Roman" w:cs="Times New Roman"/>
        </w:rPr>
      </w:pPr>
    </w:p>
    <w:p w14:paraId="536C3C42" w14:textId="77777777" w:rsidR="003568C0" w:rsidRDefault="003568C0">
      <w:pPr>
        <w:spacing w:line="480" w:lineRule="auto"/>
        <w:rPr>
          <w:rFonts w:ascii="Times New Roman" w:eastAsia="Times New Roman" w:hAnsi="Times New Roman" w:cs="Times New Roman"/>
        </w:rPr>
      </w:pPr>
    </w:p>
    <w:sectPr w:rsidR="003568C0">
      <w:headerReference w:type="default" r:id="rId26"/>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7221DE" w14:textId="77777777" w:rsidR="003568C0" w:rsidRDefault="00EB653D">
      <w:pPr>
        <w:spacing w:line="240" w:lineRule="auto"/>
      </w:pPr>
      <w:r>
        <w:separator/>
      </w:r>
    </w:p>
  </w:endnote>
  <w:endnote w:type="continuationSeparator" w:id="0">
    <w:p w14:paraId="2604A5D8" w14:textId="77777777" w:rsidR="003568C0" w:rsidRDefault="00EB65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F7562E" w14:textId="77777777" w:rsidR="003568C0" w:rsidRDefault="00EB653D">
    <w:pPr>
      <w:pStyle w:val="Subsol"/>
    </w:pPr>
    <w:r>
      <w:rPr>
        <w:noProof/>
        <w:color w:val="156082" w:themeColor="accent1"/>
        <w:lang w:eastAsia="zh-CN"/>
      </w:rPr>
      <mc:AlternateContent>
        <mc:Choice Requires="wps">
          <w:drawing>
            <wp:anchor distT="0" distB="0" distL="114300" distR="114300" simplePos="0" relativeHeight="251659264" behindDoc="0" locked="0" layoutInCell="1" allowOverlap="1" wp14:anchorId="58DD9942" wp14:editId="484D69E5">
              <wp:simplePos x="0" y="0"/>
              <wp:positionH relativeFrom="page">
                <wp:align>center</wp:align>
              </wp:positionH>
              <wp:positionV relativeFrom="page">
                <wp:align>center</wp:align>
              </wp:positionV>
              <wp:extent cx="7364730" cy="9528810"/>
              <wp:effectExtent l="0" t="0" r="26670" b="26670"/>
              <wp:wrapNone/>
              <wp:docPr id="452" name="Rectangle 3"/>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95000</wp14:pctWidth>
              </wp14:sizeRelH>
              <wp14:sizeRelV relativeFrom="page">
                <wp14:pctHeight>95000</wp14:pctHeight>
              </wp14:sizeRelV>
            </wp:anchor>
          </w:drawing>
        </mc:Choice>
        <mc:Fallback xmlns:wpsCustomData="http://www.wps.cn/officeDocument/2013/wpsCustomData">
          <w:pict>
            <v:rect id="Rectangle 3" o:spid="_x0000_s1026" o:spt="1" style="position:absolute;left:0pt;height:750.3pt;width:579.9pt;mso-position-horizontal:center;mso-position-horizontal-relative:page;mso-position-vertical:center;mso-position-vertical-relative:page;z-index:251659264;v-text-anchor:middle;mso-width-relative:page;mso-height-relative:page;mso-width-percent:950;mso-height-percent:950;" filled="f" stroked="t" coordsize="21600,21600" o:gfxdata="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">
              <v:fill on="f" focussize="0,0"/>
              <v:stroke weight="1.25pt" color="#747474 [1614]" miterlimit="8" joinstyle="miter"/>
              <v:imagedata o:title=""/>
              <o:lock v:ext="edit" aspectratio="f"/>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color w:val="156082" w:themeColor="accent1"/>
        <w:sz w:val="20"/>
        <w:szCs w:val="20"/>
      </w:rPr>
      <w:fldChar w:fldCharType="begin"/>
    </w:r>
    <w:r>
      <w:rPr>
        <w:color w:val="156082" w:themeColor="accent1"/>
        <w:sz w:val="20"/>
        <w:szCs w:val="20"/>
      </w:rPr>
      <w:instrText xml:space="preserve"> PAGE    \* MERGEFORMAT </w:instrText>
    </w:r>
    <w:r>
      <w:rPr>
        <w:color w:val="156082" w:themeColor="accent1"/>
        <w:sz w:val="20"/>
        <w:szCs w:val="20"/>
      </w:rPr>
      <w:fldChar w:fldCharType="separate"/>
    </w:r>
    <w:r>
      <w:rPr>
        <w:rFonts w:asciiTheme="majorHAnsi" w:eastAsiaTheme="majorEastAsia" w:hAnsiTheme="majorHAnsi" w:cstheme="majorBidi"/>
        <w:color w:val="156082" w:themeColor="accent1"/>
        <w:sz w:val="20"/>
        <w:szCs w:val="20"/>
      </w:rPr>
      <w:t>2</w:t>
    </w:r>
    <w:r>
      <w:rPr>
        <w:rFonts w:asciiTheme="majorHAnsi" w:eastAsiaTheme="majorEastAsia" w:hAnsiTheme="majorHAnsi" w:cstheme="majorBidi"/>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55E435" w14:textId="77777777" w:rsidR="003568C0" w:rsidRDefault="00EB653D">
      <w:pPr>
        <w:spacing w:after="0"/>
      </w:pPr>
      <w:r>
        <w:separator/>
      </w:r>
    </w:p>
  </w:footnote>
  <w:footnote w:type="continuationSeparator" w:id="0">
    <w:p w14:paraId="683C509F" w14:textId="77777777" w:rsidR="003568C0" w:rsidRDefault="00EB653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4A0" w:firstRow="1" w:lastRow="0" w:firstColumn="1" w:lastColumn="0" w:noHBand="0" w:noVBand="1"/>
    </w:tblPr>
    <w:tblGrid>
      <w:gridCol w:w="3120"/>
      <w:gridCol w:w="3120"/>
      <w:gridCol w:w="3120"/>
    </w:tblGrid>
    <w:tr w:rsidR="003568C0" w14:paraId="4E07CB3B" w14:textId="77777777">
      <w:trPr>
        <w:trHeight w:val="300"/>
      </w:trPr>
      <w:tc>
        <w:tcPr>
          <w:tcW w:w="3120" w:type="dxa"/>
        </w:tcPr>
        <w:p w14:paraId="0DDA6C19" w14:textId="77777777" w:rsidR="003568C0" w:rsidRDefault="003568C0">
          <w:pPr>
            <w:pStyle w:val="Antet"/>
            <w:ind w:left="-115"/>
          </w:pPr>
        </w:p>
      </w:tc>
      <w:tc>
        <w:tcPr>
          <w:tcW w:w="3120" w:type="dxa"/>
        </w:tcPr>
        <w:p w14:paraId="0F71B1EF" w14:textId="77777777" w:rsidR="003568C0" w:rsidRDefault="003568C0">
          <w:pPr>
            <w:pStyle w:val="Antet"/>
            <w:jc w:val="center"/>
          </w:pPr>
        </w:p>
      </w:tc>
      <w:tc>
        <w:tcPr>
          <w:tcW w:w="3120" w:type="dxa"/>
        </w:tcPr>
        <w:p w14:paraId="17C3CFCE" w14:textId="77777777" w:rsidR="003568C0" w:rsidRDefault="00EB653D">
          <w:pPr>
            <w:pStyle w:val="Antet"/>
            <w:ind w:right="-115"/>
            <w:jc w:val="right"/>
          </w:pPr>
          <w:r>
            <w:fldChar w:fldCharType="begin"/>
          </w:r>
          <w:r>
            <w:instrText>PAGE</w:instrText>
          </w:r>
          <w:r>
            <w:fldChar w:fldCharType="separate"/>
          </w:r>
          <w:r>
            <w:t>1</w:t>
          </w:r>
          <w:r>
            <w:fldChar w:fldCharType="end"/>
          </w:r>
        </w:p>
      </w:tc>
    </w:tr>
  </w:tbl>
  <w:p w14:paraId="1C0C7585" w14:textId="77777777" w:rsidR="003568C0" w:rsidRDefault="003568C0">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3096DB"/>
    <w:multiLevelType w:val="multilevel"/>
    <w:tmpl w:val="383096DB"/>
    <w:lvl w:ilvl="0">
      <w:start w:val="1"/>
      <w:numFmt w:val="upp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BDF0FE5"/>
    <w:multiLevelType w:val="multilevel"/>
    <w:tmpl w:val="3BDF0FE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88C7970"/>
    <w:multiLevelType w:val="multilevel"/>
    <w:tmpl w:val="788C797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7EB0B431"/>
    <w:multiLevelType w:val="multilevel"/>
    <w:tmpl w:val="7EB0B43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1292707881">
    <w:abstractNumId w:val="0"/>
  </w:num>
  <w:num w:numId="2" w16cid:durableId="1446998752">
    <w:abstractNumId w:val="1"/>
  </w:num>
  <w:num w:numId="3" w16cid:durableId="2048678360">
    <w:abstractNumId w:val="3"/>
  </w:num>
  <w:num w:numId="4" w16cid:durableId="383411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B20966"/>
    <w:rsid w:val="00111E1F"/>
    <w:rsid w:val="003568C0"/>
    <w:rsid w:val="008D7668"/>
    <w:rsid w:val="00AE5CF7"/>
    <w:rsid w:val="00C41819"/>
    <w:rsid w:val="00E30119"/>
    <w:rsid w:val="00EB653D"/>
    <w:rsid w:val="0BDE7AF8"/>
    <w:rsid w:val="1BE9D5E6"/>
    <w:rsid w:val="6237B03A"/>
    <w:rsid w:val="6CB209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5464C"/>
  <w15:docId w15:val="{793629C7-5235-4426-A9A0-FBA56DD04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9" w:lineRule="auto"/>
    </w:pPr>
    <w:rPr>
      <w:sz w:val="24"/>
      <w:szCs w:val="24"/>
      <w:lang w:val="en-US" w:eastAsia="ja-JP"/>
    </w:rPr>
  </w:style>
  <w:style w:type="paragraph" w:styleId="Titlu1">
    <w:name w:val="heading 1"/>
    <w:basedOn w:val="Normal"/>
    <w:next w:val="Normal"/>
    <w:link w:val="Titlu1Caracte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unhideWhenUsed/>
    <w:qFormat/>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unhideWhenUsed/>
    <w:qFormat/>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unhideWhenUsed/>
    <w:qFormat/>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unhideWhenUsed/>
    <w:qFormat/>
    <w:pPr>
      <w:keepNext/>
      <w:keepLines/>
      <w:spacing w:after="0"/>
      <w:outlineLvl w:val="7"/>
    </w:pPr>
    <w:rPr>
      <w:rFonts w:eastAsiaTheme="majorEastAsia" w:cstheme="majorBidi"/>
      <w:i/>
      <w:iCs/>
      <w:color w:val="262626" w:themeColor="text1" w:themeTint="D9"/>
    </w:rPr>
  </w:style>
  <w:style w:type="paragraph" w:styleId="Titlu9">
    <w:name w:val="heading 9"/>
    <w:basedOn w:val="Normal"/>
    <w:next w:val="Normal"/>
    <w:link w:val="Titlu9Caracter"/>
    <w:uiPriority w:val="9"/>
    <w:unhideWhenUsed/>
    <w:qFormat/>
    <w:pPr>
      <w:keepNext/>
      <w:keepLines/>
      <w:spacing w:after="0"/>
      <w:outlineLvl w:val="8"/>
    </w:pPr>
    <w:rPr>
      <w:rFonts w:eastAsiaTheme="majorEastAsia" w:cstheme="majorBidi"/>
      <w:color w:val="262626" w:themeColor="text1" w:themeTint="D9"/>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Parcurs">
    <w:name w:val="FollowedHyperlink"/>
    <w:basedOn w:val="Fontdeparagrafimplicit"/>
    <w:uiPriority w:val="99"/>
    <w:semiHidden/>
    <w:unhideWhenUsed/>
    <w:rPr>
      <w:color w:val="800080"/>
      <w:u w:val="single"/>
    </w:rPr>
  </w:style>
  <w:style w:type="paragraph" w:styleId="Subsol">
    <w:name w:val="footer"/>
    <w:basedOn w:val="Normal"/>
    <w:link w:val="SubsolCaracter"/>
    <w:uiPriority w:val="99"/>
    <w:unhideWhenUsed/>
    <w:pPr>
      <w:tabs>
        <w:tab w:val="center" w:pos="4680"/>
        <w:tab w:val="right" w:pos="9360"/>
      </w:tabs>
      <w:spacing w:after="0" w:line="240" w:lineRule="auto"/>
    </w:pPr>
  </w:style>
  <w:style w:type="paragraph" w:styleId="Antet">
    <w:name w:val="header"/>
    <w:basedOn w:val="Normal"/>
    <w:link w:val="AntetCaracter"/>
    <w:uiPriority w:val="99"/>
    <w:unhideWhenUsed/>
    <w:pPr>
      <w:tabs>
        <w:tab w:val="center" w:pos="4680"/>
        <w:tab w:val="right" w:pos="9360"/>
      </w:tabs>
      <w:spacing w:after="0" w:line="240" w:lineRule="auto"/>
    </w:pPr>
  </w:style>
  <w:style w:type="character" w:styleId="Hyperlink">
    <w:name w:val="Hyperlink"/>
    <w:basedOn w:val="Fontdeparagrafimplicit"/>
    <w:uiPriority w:val="99"/>
    <w:unhideWhenUsed/>
    <w:rPr>
      <w:color w:val="467886" w:themeColor="hyperlink"/>
      <w:u w:val="single"/>
    </w:rPr>
  </w:style>
  <w:style w:type="paragraph" w:styleId="Subtitlu">
    <w:name w:val="Subtitle"/>
    <w:basedOn w:val="Normal"/>
    <w:next w:val="Normal"/>
    <w:link w:val="SubtitluCaracter"/>
    <w:uiPriority w:val="11"/>
    <w:qFormat/>
    <w:rPr>
      <w:rFonts w:eastAsiaTheme="majorEastAsia" w:cstheme="majorBidi"/>
      <w:color w:val="595959" w:themeColor="text1" w:themeTint="A6"/>
      <w:spacing w:val="15"/>
      <w:sz w:val="28"/>
      <w:szCs w:val="28"/>
    </w:rPr>
  </w:style>
  <w:style w:type="table" w:styleId="Tabelgril">
    <w:name w:val="Table Grid"/>
    <w:basedOn w:val="TabelNormal"/>
    <w:uiPriority w:val="5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u">
    <w:name w:val="Title"/>
    <w:basedOn w:val="Normal"/>
    <w:next w:val="Normal"/>
    <w:link w:val="TitluCaracte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Cuprins1">
    <w:name w:val="toc 1"/>
    <w:basedOn w:val="Normal"/>
    <w:next w:val="Normal"/>
    <w:autoRedefine/>
    <w:uiPriority w:val="39"/>
    <w:unhideWhenUsed/>
    <w:pPr>
      <w:spacing w:before="360" w:after="360"/>
    </w:pPr>
    <w:rPr>
      <w:b/>
      <w:bCs/>
      <w:caps/>
      <w:sz w:val="22"/>
      <w:szCs w:val="22"/>
      <w:u w:val="single"/>
    </w:rPr>
  </w:style>
  <w:style w:type="paragraph" w:styleId="Cuprins2">
    <w:name w:val="toc 2"/>
    <w:basedOn w:val="Normal"/>
    <w:next w:val="Normal"/>
    <w:autoRedefine/>
    <w:uiPriority w:val="39"/>
    <w:semiHidden/>
    <w:unhideWhenUsed/>
    <w:pPr>
      <w:spacing w:after="0"/>
    </w:pPr>
    <w:rPr>
      <w:b/>
      <w:bCs/>
      <w:smallCaps/>
      <w:sz w:val="22"/>
      <w:szCs w:val="22"/>
    </w:rPr>
  </w:style>
  <w:style w:type="paragraph" w:styleId="Cuprins3">
    <w:name w:val="toc 3"/>
    <w:basedOn w:val="Normal"/>
    <w:next w:val="Normal"/>
    <w:autoRedefine/>
    <w:uiPriority w:val="39"/>
    <w:semiHidden/>
    <w:unhideWhenUsed/>
    <w:pPr>
      <w:spacing w:after="0"/>
    </w:pPr>
    <w:rPr>
      <w:smallCaps/>
      <w:sz w:val="22"/>
      <w:szCs w:val="22"/>
    </w:rPr>
  </w:style>
  <w:style w:type="paragraph" w:styleId="Cuprins4">
    <w:name w:val="toc 4"/>
    <w:basedOn w:val="Normal"/>
    <w:next w:val="Normal"/>
    <w:autoRedefine/>
    <w:uiPriority w:val="39"/>
    <w:semiHidden/>
    <w:unhideWhenUsed/>
    <w:pPr>
      <w:spacing w:after="0"/>
    </w:pPr>
    <w:rPr>
      <w:sz w:val="22"/>
      <w:szCs w:val="22"/>
    </w:rPr>
  </w:style>
  <w:style w:type="paragraph" w:styleId="Cuprins5">
    <w:name w:val="toc 5"/>
    <w:basedOn w:val="Normal"/>
    <w:next w:val="Normal"/>
    <w:autoRedefine/>
    <w:uiPriority w:val="39"/>
    <w:semiHidden/>
    <w:unhideWhenUsed/>
    <w:pPr>
      <w:spacing w:after="0"/>
    </w:pPr>
    <w:rPr>
      <w:sz w:val="22"/>
      <w:szCs w:val="22"/>
    </w:rPr>
  </w:style>
  <w:style w:type="paragraph" w:styleId="Cuprins6">
    <w:name w:val="toc 6"/>
    <w:basedOn w:val="Normal"/>
    <w:next w:val="Normal"/>
    <w:autoRedefine/>
    <w:uiPriority w:val="39"/>
    <w:semiHidden/>
    <w:unhideWhenUsed/>
    <w:pPr>
      <w:spacing w:after="0"/>
    </w:pPr>
    <w:rPr>
      <w:sz w:val="22"/>
      <w:szCs w:val="22"/>
    </w:rPr>
  </w:style>
  <w:style w:type="paragraph" w:styleId="Cuprins7">
    <w:name w:val="toc 7"/>
    <w:basedOn w:val="Normal"/>
    <w:next w:val="Normal"/>
    <w:autoRedefine/>
    <w:uiPriority w:val="39"/>
    <w:semiHidden/>
    <w:unhideWhenUsed/>
    <w:pPr>
      <w:spacing w:after="0"/>
    </w:pPr>
    <w:rPr>
      <w:sz w:val="22"/>
      <w:szCs w:val="22"/>
    </w:rPr>
  </w:style>
  <w:style w:type="paragraph" w:styleId="Cuprins8">
    <w:name w:val="toc 8"/>
    <w:basedOn w:val="Normal"/>
    <w:next w:val="Normal"/>
    <w:autoRedefine/>
    <w:uiPriority w:val="39"/>
    <w:semiHidden/>
    <w:unhideWhenUsed/>
    <w:pPr>
      <w:spacing w:after="0"/>
    </w:pPr>
    <w:rPr>
      <w:sz w:val="22"/>
      <w:szCs w:val="22"/>
    </w:rPr>
  </w:style>
  <w:style w:type="paragraph" w:styleId="Cuprins9">
    <w:name w:val="toc 9"/>
    <w:basedOn w:val="Normal"/>
    <w:next w:val="Normal"/>
    <w:autoRedefine/>
    <w:uiPriority w:val="39"/>
    <w:semiHidden/>
    <w:unhideWhenUsed/>
    <w:pPr>
      <w:spacing w:after="0"/>
    </w:pPr>
    <w:rPr>
      <w:sz w:val="22"/>
      <w:szCs w:val="22"/>
    </w:rPr>
  </w:style>
  <w:style w:type="character" w:customStyle="1" w:styleId="Titlu1Caracter">
    <w:name w:val="Titlu 1 Caracter"/>
    <w:basedOn w:val="Fontdeparagrafimplicit"/>
    <w:link w:val="Titlu1"/>
    <w:uiPriority w:val="9"/>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rPr>
      <w:rFonts w:eastAsiaTheme="majorEastAsia" w:cstheme="majorBidi"/>
      <w:color w:val="595959" w:themeColor="text1" w:themeTint="A6"/>
    </w:rPr>
  </w:style>
  <w:style w:type="character" w:customStyle="1" w:styleId="Titlu8Caracter">
    <w:name w:val="Titlu 8 Caracter"/>
    <w:basedOn w:val="Fontdeparagrafimplicit"/>
    <w:link w:val="Titlu8"/>
    <w:uiPriority w:val="9"/>
    <w:rPr>
      <w:rFonts w:eastAsiaTheme="majorEastAsia" w:cstheme="majorBidi"/>
      <w:i/>
      <w:iCs/>
      <w:color w:val="262626" w:themeColor="text1" w:themeTint="D9"/>
    </w:rPr>
  </w:style>
  <w:style w:type="character" w:customStyle="1" w:styleId="Titlu9Caracter">
    <w:name w:val="Titlu 9 Caracter"/>
    <w:basedOn w:val="Fontdeparagrafimplicit"/>
    <w:link w:val="Titlu9"/>
    <w:uiPriority w:val="9"/>
    <w:rPr>
      <w:rFonts w:eastAsiaTheme="majorEastAsia" w:cstheme="majorBidi"/>
      <w:color w:val="262626" w:themeColor="text1" w:themeTint="D9"/>
    </w:rPr>
  </w:style>
  <w:style w:type="character" w:customStyle="1" w:styleId="TitluCaracter">
    <w:name w:val="Titlu Caracter"/>
    <w:basedOn w:val="Fontdeparagrafimplicit"/>
    <w:link w:val="Titlu"/>
    <w:uiPriority w:val="10"/>
    <w:rPr>
      <w:rFonts w:asciiTheme="majorHAnsi" w:eastAsiaTheme="majorEastAsia" w:hAnsiTheme="majorHAnsi" w:cstheme="majorBidi"/>
      <w:spacing w:val="-10"/>
      <w:kern w:val="28"/>
      <w:sz w:val="56"/>
      <w:szCs w:val="56"/>
    </w:rPr>
  </w:style>
  <w:style w:type="character" w:customStyle="1" w:styleId="SubtitluCaracter">
    <w:name w:val="Subtitlu Caracter"/>
    <w:basedOn w:val="Fontdeparagrafimplicit"/>
    <w:link w:val="Subtitlu"/>
    <w:uiPriority w:val="11"/>
    <w:rPr>
      <w:rFonts w:eastAsiaTheme="majorEastAsia" w:cstheme="majorBidi"/>
      <w:color w:val="595959" w:themeColor="text1" w:themeTint="A6"/>
      <w:spacing w:val="15"/>
      <w:sz w:val="28"/>
      <w:szCs w:val="28"/>
    </w:rPr>
  </w:style>
  <w:style w:type="character" w:customStyle="1" w:styleId="Accentuareintens1">
    <w:name w:val="Accentuare intensă1"/>
    <w:basedOn w:val="Fontdeparagrafimplicit"/>
    <w:uiPriority w:val="21"/>
    <w:qFormat/>
    <w:rPr>
      <w:i/>
      <w:iCs/>
      <w:color w:val="0F4761" w:themeColor="accent1" w:themeShade="BF"/>
    </w:rPr>
  </w:style>
  <w:style w:type="character" w:customStyle="1" w:styleId="CitatCaracter">
    <w:name w:val="Citat Caracter"/>
    <w:basedOn w:val="Fontdeparagrafimplicit"/>
    <w:link w:val="Citat"/>
    <w:uiPriority w:val="29"/>
    <w:rPr>
      <w:i/>
      <w:iCs/>
      <w:color w:val="404040" w:themeColor="text1" w:themeTint="BF"/>
    </w:rPr>
  </w:style>
  <w:style w:type="paragraph" w:styleId="Citat">
    <w:name w:val="Quote"/>
    <w:basedOn w:val="Normal"/>
    <w:next w:val="Normal"/>
    <w:link w:val="CitatCaracter"/>
    <w:uiPriority w:val="29"/>
    <w:qFormat/>
    <w:pPr>
      <w:spacing w:before="160"/>
      <w:jc w:val="center"/>
    </w:pPr>
    <w:rPr>
      <w:i/>
      <w:iCs/>
      <w:color w:val="404040" w:themeColor="text1" w:themeTint="BF"/>
    </w:rPr>
  </w:style>
  <w:style w:type="character" w:customStyle="1" w:styleId="CitatintensCaracter">
    <w:name w:val="Citat intens Caracter"/>
    <w:basedOn w:val="Fontdeparagrafimplicit"/>
    <w:link w:val="Citatintens"/>
    <w:uiPriority w:val="30"/>
    <w:rPr>
      <w:i/>
      <w:iCs/>
      <w:color w:val="0F4761" w:themeColor="accent1" w:themeShade="BF"/>
    </w:rPr>
  </w:style>
  <w:style w:type="paragraph" w:styleId="Citatintens">
    <w:name w:val="Intense Quote"/>
    <w:basedOn w:val="Normal"/>
    <w:next w:val="Normal"/>
    <w:link w:val="CitatintensCaracte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Referireintens1">
    <w:name w:val="Referire intensă1"/>
    <w:basedOn w:val="Fontdeparagrafimplicit"/>
    <w:uiPriority w:val="32"/>
    <w:qFormat/>
    <w:rPr>
      <w:b/>
      <w:bCs/>
      <w:smallCaps/>
      <w:color w:val="0F4761" w:themeColor="accent1" w:themeShade="BF"/>
      <w:spacing w:val="5"/>
    </w:rPr>
  </w:style>
  <w:style w:type="character" w:customStyle="1" w:styleId="AntetCaracter">
    <w:name w:val="Antet Caracter"/>
    <w:basedOn w:val="Fontdeparagrafimplicit"/>
    <w:link w:val="Antet"/>
    <w:uiPriority w:val="99"/>
  </w:style>
  <w:style w:type="character" w:customStyle="1" w:styleId="SubsolCaracter">
    <w:name w:val="Subsol Caracter"/>
    <w:basedOn w:val="Fontdeparagrafimplicit"/>
    <w:link w:val="Subsol"/>
    <w:uiPriority w:val="99"/>
  </w:style>
  <w:style w:type="paragraph" w:styleId="Listparagraf">
    <w:name w:val="List Paragraph"/>
    <w:basedOn w:val="Normal"/>
    <w:uiPriority w:val="34"/>
    <w:qFormat/>
    <w:pPr>
      <w:ind w:left="720"/>
      <w:contextualSpacing/>
    </w:pPr>
  </w:style>
  <w:style w:type="paragraph" w:customStyle="1" w:styleId="Titlucuprins1">
    <w:name w:val="Titlu cuprins1"/>
    <w:basedOn w:val="Titlu1"/>
    <w:next w:val="Normal"/>
    <w:uiPriority w:val="39"/>
    <w:unhideWhenUsed/>
    <w:qFormat/>
    <w:pPr>
      <w:spacing w:before="480" w:after="0" w:line="276" w:lineRule="auto"/>
      <w:outlineLvl w:val="9"/>
    </w:pPr>
    <w:rPr>
      <w:b/>
      <w:b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eniorhelpers.com/services/" TargetMode="External"/><Relationship Id="rId18" Type="http://schemas.openxmlformats.org/officeDocument/2006/relationships/hyperlink" Target="https://www.mdpi.com/2077-0383/9/6/1986"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s://link.springer.com/article/10.1186/s12889-019-7841-7"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link.springer.com/article/10.1007/s11469-020-00339-4" TargetMode="External"/><Relationship Id="rId25" Type="http://schemas.openxmlformats.org/officeDocument/2006/relationships/hyperlink" Target="https://www.tandfonline.com/doi/abs/10.1080/01490400.2020.1774015" TargetMode="External"/><Relationship Id="rId2" Type="http://schemas.openxmlformats.org/officeDocument/2006/relationships/customXml" Target="../customXml/item2.xml"/><Relationship Id="rId16" Type="http://schemas.openxmlformats.org/officeDocument/2006/relationships/hyperlink" Target="https://www.sciencedirect.com/science/article/abs/pii/S1462901119310846" TargetMode="External"/><Relationship Id="rId20" Type="http://schemas.openxmlformats.org/officeDocument/2006/relationships/hyperlink" Target="https://academic.oup.com/psychsocgerontology/article/75/3/549/516541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esearchgate.net/figure/Representation-of-the-prevalence-of-chronic-diseases-in-elderly-inpatients-along-with-the_fig1_344373860" TargetMode="External"/><Relationship Id="rId24" Type="http://schemas.openxmlformats.org/officeDocument/2006/relationships/hyperlink" Target="https://openurl.ebsco.com/EPDB%3Agcd%3A10%3A18543018/detailv2?sid=ebsco%3Aplink%3Ascholar&amp;id=ebsco%3Agcd%3A143041171&amp;crl=c" TargetMode="External"/><Relationship Id="rId5" Type="http://schemas.openxmlformats.org/officeDocument/2006/relationships/settings" Target="settings.xml"/><Relationship Id="rId15" Type="http://schemas.openxmlformats.org/officeDocument/2006/relationships/hyperlink" Target="https://www.frontiersin.org/journals/psychology/articles/10.3389/fpsyg.2021.728658/full" TargetMode="External"/><Relationship Id="rId23" Type="http://schemas.openxmlformats.org/officeDocument/2006/relationships/hyperlink" Target="https://onlinelibrary.wiley.com/doi/full/10.1002/clc.23303"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frontiersin.org/journals/public"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taylorfrancis.com/chapters/edit/10.4324/9781003135050-8/wales-within-conflicting-interpretations-welsh-identity-fiona-bowie" TargetMode="External"/><Relationship Id="rId22" Type="http://schemas.openxmlformats.org/officeDocument/2006/relationships/hyperlink" Target="https://bjgp.org/content/71/704/e166.short"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46ECE69-9FCF-CB49-905A-E9F4CF6E731B}">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2522</Words>
  <Characters>14381</Characters>
  <Application>Microsoft Office Word</Application>
  <DocSecurity>0</DocSecurity>
  <Lines>119</Lines>
  <Paragraphs>33</Paragraphs>
  <ScaleCrop>false</ScaleCrop>
  <Company/>
  <LinksUpToDate>false</LinksUpToDate>
  <CharactersWithSpaces>16870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Ionut</dc:creator>
  <cp:lastModifiedBy>Christine Roman</cp:lastModifiedBy>
  <cp:revision>2</cp:revision>
  <dcterms:created xsi:type="dcterms:W3CDTF">2024-07-19T22:01:00Z</dcterms:created>
  <dcterms:modified xsi:type="dcterms:W3CDTF">2024-07-19T22:01:00Z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2057-12.2.0.17153</vt:lpwstr>
  </property>
  <property fmtid="{D5CDD505-2E9C-101B-9397-08002B2CF9AE}" pid="3" name="ICV">
    <vt:lpwstr>5E42D728EE12409C99CE6029B8D1E1F7_12</vt:lpwstr>
  </property>
</Properties>
</file>