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7A8E0" w14:textId="77777777" w:rsidR="00710979" w:rsidRDefault="0075672F">
      <w:pPr>
        <w:spacing w:after="184" w:line="259" w:lineRule="auto"/>
        <w:ind w:left="0" w:firstLine="0"/>
      </w:pPr>
      <w:r>
        <w:rPr>
          <w:rFonts w:cs="Aptos"/>
        </w:rPr>
        <w:t xml:space="preserve"> </w:t>
      </w:r>
    </w:p>
    <w:p w14:paraId="79167CCD" w14:textId="77777777" w:rsidR="00710979" w:rsidRDefault="0075672F">
      <w:pPr>
        <w:spacing w:after="184" w:line="259" w:lineRule="auto"/>
        <w:ind w:left="0" w:firstLine="0"/>
      </w:pPr>
      <w:r>
        <w:rPr>
          <w:rFonts w:cs="Aptos"/>
        </w:rPr>
        <w:t xml:space="preserve"> </w:t>
      </w:r>
    </w:p>
    <w:p w14:paraId="6EBEC619" w14:textId="77777777" w:rsidR="00710979" w:rsidRDefault="0075672F">
      <w:pPr>
        <w:spacing w:after="184" w:line="259" w:lineRule="auto"/>
        <w:ind w:left="0" w:firstLine="0"/>
      </w:pPr>
      <w:r>
        <w:rPr>
          <w:rFonts w:cs="Aptos"/>
        </w:rPr>
        <w:t xml:space="preserve"> </w:t>
      </w:r>
    </w:p>
    <w:p w14:paraId="27C29010" w14:textId="77777777" w:rsidR="00710979" w:rsidRDefault="0075672F">
      <w:pPr>
        <w:ind w:left="-5"/>
      </w:pPr>
      <w:r>
        <w:t>UNIVERSITY OF WALES</w:t>
      </w:r>
      <w:r>
        <w:rPr>
          <w:rFonts w:cs="Aptos"/>
        </w:rPr>
        <w:t xml:space="preserve"> </w:t>
      </w:r>
    </w:p>
    <w:p w14:paraId="6E1D8DB3" w14:textId="77777777" w:rsidR="00710979" w:rsidRDefault="0075672F">
      <w:pPr>
        <w:spacing w:after="184" w:line="259" w:lineRule="auto"/>
        <w:ind w:left="0" w:firstLine="0"/>
      </w:pPr>
      <w:r>
        <w:rPr>
          <w:rFonts w:cs="Aptos"/>
        </w:rPr>
        <w:t xml:space="preserve"> </w:t>
      </w:r>
    </w:p>
    <w:p w14:paraId="7ED20EB3" w14:textId="77777777" w:rsidR="00710979" w:rsidRDefault="0075672F">
      <w:pPr>
        <w:ind w:left="-5"/>
      </w:pPr>
      <w:r>
        <w:t>Module Title: Introduction to Public Health</w:t>
      </w:r>
      <w:r>
        <w:rPr>
          <w:rFonts w:cs="Aptos"/>
        </w:rPr>
        <w:t xml:space="preserve"> </w:t>
      </w:r>
    </w:p>
    <w:p w14:paraId="5B8AE0D6" w14:textId="214C642F" w:rsidR="00710979" w:rsidRDefault="0075672F">
      <w:pPr>
        <w:spacing w:after="0" w:line="409" w:lineRule="auto"/>
        <w:ind w:left="-5" w:right="4444"/>
      </w:pPr>
      <w:r>
        <w:t>Module Code: LCHS4008_</w:t>
      </w:r>
      <w:r w:rsidR="00DB541E">
        <w:t xml:space="preserve">BIRM </w:t>
      </w:r>
      <w:r w:rsidR="00DB541E">
        <w:rPr>
          <w:rFonts w:cs="Aptos"/>
        </w:rPr>
        <w:t>Assignment</w:t>
      </w:r>
      <w:r>
        <w:t xml:space="preserve"> Title:</w:t>
      </w:r>
      <w:r>
        <w:rPr>
          <w:rFonts w:cs="Aptos"/>
        </w:rPr>
        <w:t xml:space="preserve"> </w:t>
      </w:r>
    </w:p>
    <w:p w14:paraId="79E05CA9" w14:textId="77777777" w:rsidR="00710979" w:rsidRDefault="0075672F">
      <w:pPr>
        <w:ind w:left="-5"/>
      </w:pPr>
      <w:r>
        <w:t>Report on a Health Issue: The Public Health Impact of Dementia</w:t>
      </w:r>
      <w:r>
        <w:rPr>
          <w:rFonts w:cs="Aptos"/>
        </w:rPr>
        <w:t xml:space="preserve"> </w:t>
      </w:r>
    </w:p>
    <w:p w14:paraId="2F4FC751" w14:textId="77777777" w:rsidR="00710979" w:rsidRDefault="0075672F">
      <w:pPr>
        <w:ind w:left="-5"/>
      </w:pPr>
      <w:r>
        <w:t>Student Name: Zahra Shamrez Mahmood</w:t>
      </w:r>
      <w:r>
        <w:rPr>
          <w:rFonts w:cs="Aptos"/>
        </w:rPr>
        <w:t xml:space="preserve"> </w:t>
      </w:r>
    </w:p>
    <w:p w14:paraId="229E34EF" w14:textId="77777777" w:rsidR="00710979" w:rsidRDefault="0075672F">
      <w:pPr>
        <w:ind w:left="-5"/>
      </w:pPr>
      <w:r>
        <w:t>Student ID Number: 250899</w:t>
      </w:r>
      <w:r>
        <w:rPr>
          <w:rFonts w:cs="Aptos"/>
        </w:rPr>
        <w:t xml:space="preserve"> </w:t>
      </w:r>
    </w:p>
    <w:p w14:paraId="2A618BBE" w14:textId="77777777" w:rsidR="00710979" w:rsidRDefault="0075672F">
      <w:pPr>
        <w:ind w:left="-5"/>
      </w:pPr>
      <w:r>
        <w:t>Lecturer: Emmanuel Asante</w:t>
      </w:r>
      <w:r>
        <w:rPr>
          <w:rFonts w:cs="Aptos"/>
        </w:rPr>
        <w:t xml:space="preserve"> </w:t>
      </w:r>
    </w:p>
    <w:p w14:paraId="7B3AC678" w14:textId="77777777" w:rsidR="00710979" w:rsidRDefault="0075672F">
      <w:pPr>
        <w:ind w:left="-5"/>
      </w:pPr>
      <w:r>
        <w:t>Date of Submission: 24th March 2026</w:t>
      </w:r>
      <w:r>
        <w:rPr>
          <w:rFonts w:cs="Aptos"/>
        </w:rPr>
        <w:t xml:space="preserve"> </w:t>
      </w:r>
    </w:p>
    <w:p w14:paraId="18DCF09E" w14:textId="77777777" w:rsidR="00710979" w:rsidRDefault="0075672F">
      <w:pPr>
        <w:spacing w:after="184" w:line="259" w:lineRule="auto"/>
        <w:ind w:left="0" w:firstLine="0"/>
      </w:pPr>
      <w:r>
        <w:rPr>
          <w:rFonts w:cs="Aptos"/>
        </w:rPr>
        <w:t xml:space="preserve"> </w:t>
      </w:r>
    </w:p>
    <w:p w14:paraId="6F079D03" w14:textId="77777777" w:rsidR="00710979" w:rsidRDefault="0075672F">
      <w:pPr>
        <w:spacing w:after="184" w:line="259" w:lineRule="auto"/>
        <w:ind w:left="0" w:firstLine="0"/>
      </w:pPr>
      <w:r>
        <w:rPr>
          <w:rFonts w:cs="Aptos"/>
        </w:rPr>
        <w:t xml:space="preserve"> </w:t>
      </w:r>
    </w:p>
    <w:p w14:paraId="121F5E19" w14:textId="77777777" w:rsidR="00710979" w:rsidRDefault="0075672F">
      <w:pPr>
        <w:spacing w:after="184" w:line="259" w:lineRule="auto"/>
        <w:ind w:left="0" w:firstLine="0"/>
      </w:pPr>
      <w:r>
        <w:rPr>
          <w:rFonts w:cs="Aptos"/>
        </w:rPr>
        <w:t xml:space="preserve"> </w:t>
      </w:r>
    </w:p>
    <w:p w14:paraId="5869AF09" w14:textId="77777777" w:rsidR="00710979" w:rsidRDefault="0075672F">
      <w:pPr>
        <w:spacing w:after="184" w:line="259" w:lineRule="auto"/>
        <w:ind w:left="0" w:firstLine="0"/>
      </w:pPr>
      <w:r>
        <w:rPr>
          <w:rFonts w:cs="Aptos"/>
        </w:rPr>
        <w:t xml:space="preserve"> </w:t>
      </w:r>
    </w:p>
    <w:p w14:paraId="696CD0D2" w14:textId="77777777" w:rsidR="00710979" w:rsidRDefault="0075672F">
      <w:pPr>
        <w:spacing w:after="184" w:line="259" w:lineRule="auto"/>
        <w:ind w:left="0" w:firstLine="0"/>
      </w:pPr>
      <w:r>
        <w:rPr>
          <w:rFonts w:cs="Aptos"/>
        </w:rPr>
        <w:t xml:space="preserve"> </w:t>
      </w:r>
    </w:p>
    <w:p w14:paraId="0E93FF5A" w14:textId="77777777" w:rsidR="00710979" w:rsidRDefault="0075672F">
      <w:pPr>
        <w:spacing w:after="184" w:line="259" w:lineRule="auto"/>
        <w:ind w:left="0" w:firstLine="0"/>
      </w:pPr>
      <w:r>
        <w:rPr>
          <w:rFonts w:cs="Aptos"/>
        </w:rPr>
        <w:t xml:space="preserve"> </w:t>
      </w:r>
    </w:p>
    <w:p w14:paraId="5EB7EB39" w14:textId="77777777" w:rsidR="00710979" w:rsidRDefault="0075672F">
      <w:pPr>
        <w:spacing w:after="179" w:line="259" w:lineRule="auto"/>
        <w:ind w:left="0" w:firstLine="0"/>
      </w:pPr>
      <w:r>
        <w:rPr>
          <w:rFonts w:cs="Aptos"/>
        </w:rPr>
        <w:t xml:space="preserve"> </w:t>
      </w:r>
    </w:p>
    <w:p w14:paraId="50C7C724" w14:textId="77777777" w:rsidR="00710979" w:rsidRDefault="0075672F">
      <w:pPr>
        <w:spacing w:after="184" w:line="259" w:lineRule="auto"/>
        <w:ind w:left="0" w:firstLine="0"/>
      </w:pPr>
      <w:r>
        <w:rPr>
          <w:rFonts w:cs="Aptos"/>
        </w:rPr>
        <w:t xml:space="preserve"> </w:t>
      </w:r>
    </w:p>
    <w:p w14:paraId="1B2F9D53" w14:textId="77777777" w:rsidR="00710979" w:rsidRDefault="0075672F">
      <w:pPr>
        <w:spacing w:after="184" w:line="259" w:lineRule="auto"/>
        <w:ind w:left="0" w:firstLine="0"/>
      </w:pPr>
      <w:r>
        <w:rPr>
          <w:rFonts w:cs="Aptos"/>
        </w:rPr>
        <w:t xml:space="preserve"> </w:t>
      </w:r>
    </w:p>
    <w:p w14:paraId="0CB34C8D" w14:textId="77777777" w:rsidR="00710979" w:rsidRDefault="0075672F">
      <w:pPr>
        <w:spacing w:after="184" w:line="259" w:lineRule="auto"/>
        <w:ind w:left="0" w:firstLine="0"/>
      </w:pPr>
      <w:r>
        <w:rPr>
          <w:rFonts w:cs="Aptos"/>
        </w:rPr>
        <w:t xml:space="preserve"> </w:t>
      </w:r>
    </w:p>
    <w:p w14:paraId="558C7711" w14:textId="77777777" w:rsidR="00710979" w:rsidRDefault="0075672F">
      <w:pPr>
        <w:spacing w:after="184" w:line="259" w:lineRule="auto"/>
        <w:ind w:left="0" w:firstLine="0"/>
        <w:rPr>
          <w:rFonts w:cs="Aptos"/>
        </w:rPr>
      </w:pPr>
      <w:r>
        <w:rPr>
          <w:rFonts w:cs="Aptos"/>
        </w:rPr>
        <w:t xml:space="preserve"> </w:t>
      </w:r>
    </w:p>
    <w:p w14:paraId="56772012" w14:textId="77777777" w:rsidR="00232756" w:rsidRDefault="00232756">
      <w:pPr>
        <w:spacing w:after="184" w:line="259" w:lineRule="auto"/>
        <w:ind w:left="0" w:firstLine="0"/>
        <w:rPr>
          <w:rFonts w:cs="Aptos"/>
        </w:rPr>
      </w:pPr>
    </w:p>
    <w:p w14:paraId="74D99519" w14:textId="77777777" w:rsidR="00232756" w:rsidRDefault="00232756">
      <w:pPr>
        <w:spacing w:after="184" w:line="259" w:lineRule="auto"/>
        <w:ind w:left="0" w:firstLine="0"/>
        <w:rPr>
          <w:rFonts w:cs="Aptos"/>
        </w:rPr>
      </w:pPr>
    </w:p>
    <w:p w14:paraId="76674468" w14:textId="77777777" w:rsidR="00232756" w:rsidRDefault="00232756">
      <w:pPr>
        <w:spacing w:after="184" w:line="259" w:lineRule="auto"/>
        <w:ind w:left="0" w:firstLine="0"/>
      </w:pPr>
    </w:p>
    <w:p w14:paraId="08C0A9B6" w14:textId="77777777" w:rsidR="00710979" w:rsidRDefault="0075672F">
      <w:pPr>
        <w:spacing w:after="184" w:line="259" w:lineRule="auto"/>
        <w:ind w:left="0" w:firstLine="0"/>
      </w:pPr>
      <w:r>
        <w:rPr>
          <w:rFonts w:cs="Aptos"/>
        </w:rPr>
        <w:t xml:space="preserve"> </w:t>
      </w:r>
    </w:p>
    <w:p w14:paraId="623B591F" w14:textId="77777777" w:rsidR="00710979" w:rsidRDefault="0075672F">
      <w:pPr>
        <w:spacing w:after="184" w:line="259" w:lineRule="auto"/>
        <w:ind w:left="0" w:firstLine="0"/>
      </w:pPr>
      <w:r>
        <w:rPr>
          <w:rFonts w:cs="Aptos"/>
        </w:rPr>
        <w:lastRenderedPageBreak/>
        <w:t xml:space="preserve"> </w:t>
      </w:r>
    </w:p>
    <w:p w14:paraId="19D6E856" w14:textId="77777777" w:rsidR="00710979" w:rsidRDefault="0075672F">
      <w:pPr>
        <w:ind w:left="-5"/>
      </w:pPr>
      <w:r>
        <w:t xml:space="preserve">Introduction of dementia. </w:t>
      </w:r>
      <w:r>
        <w:rPr>
          <w:rFonts w:cs="Aptos"/>
        </w:rPr>
        <w:t xml:space="preserve"> </w:t>
      </w:r>
    </w:p>
    <w:p w14:paraId="49C1F5C4" w14:textId="7FA1F41B" w:rsidR="00710979" w:rsidRDefault="0075672F" w:rsidP="003E2BE4">
      <w:pPr>
        <w:ind w:left="-5"/>
      </w:pPr>
      <w:r>
        <w:t>Dementia is a term used to describe a group of related symptoms associated with an ongoing decline of brain functioning (NHS, 2025). Rather than being a single specific disease, it serves as an "umbrella term" for various conditions, the most common being Alzheimer’s disease and vascular dementia. These conditions occur when the brain is damaged by diseases or a series of strokes, leading to a progressive loss of cognitive abilities. Common signs and symptoms often begin with minor memory lapses, but as the condition advances, individuals may experience significant confusion, disorientation in familiar environments, difficulties with language, and changes in personality or mood (NHS Inform, 2025).</w:t>
      </w:r>
      <w:r>
        <w:rPr>
          <w:rFonts w:cs="Aptos"/>
        </w:rPr>
        <w:t xml:space="preserve"> </w:t>
      </w:r>
    </w:p>
    <w:p w14:paraId="30FE46DB" w14:textId="77777777" w:rsidR="00710979" w:rsidRDefault="0075672F">
      <w:pPr>
        <w:ind w:left="-5"/>
      </w:pPr>
      <w:r>
        <w:t>The scale of dementia presents a major public health challenge both locally and globally. According to the World Health Organization (2024), over 55 million people worldwide are currently living with dementia, with nearly 10 million new cases diagnosed every year. In the United Kingdom, the impact is equally severe; recent data from the Alzheimer’s Society (2024) indicates that approximately 982,000 people are living with the condition. This number is projected to rise to 1.4 million by 2040 due to an ageing population. These statistics highlight the critical need for robust health and social care strategies to support those affected and their families.</w:t>
      </w:r>
      <w:r>
        <w:rPr>
          <w:rFonts w:cs="Aptos"/>
        </w:rPr>
        <w:t xml:space="preserve"> </w:t>
      </w:r>
    </w:p>
    <w:p w14:paraId="2C87F9D1" w14:textId="45E5BFE6" w:rsidR="00710979" w:rsidRDefault="0075672F" w:rsidP="00232756">
      <w:pPr>
        <w:ind w:left="-5"/>
      </w:pPr>
      <w:r>
        <w:t>Main Body</w:t>
      </w:r>
      <w:r>
        <w:rPr>
          <w:rFonts w:cs="Aptos"/>
        </w:rPr>
        <w:t xml:space="preserve"> </w:t>
      </w:r>
    </w:p>
    <w:p w14:paraId="258BFAC7" w14:textId="15DE85CB" w:rsidR="00710979" w:rsidRDefault="0075672F" w:rsidP="00232756">
      <w:pPr>
        <w:ind w:left="-5"/>
      </w:pPr>
      <w:r>
        <w:t>Measuring and Monitoring Dementia</w:t>
      </w:r>
      <w:r>
        <w:rPr>
          <w:rFonts w:cs="Aptos"/>
        </w:rPr>
        <w:t xml:space="preserve"> </w:t>
      </w:r>
    </w:p>
    <w:p w14:paraId="2662FDBC" w14:textId="14BF79D1" w:rsidR="00710979" w:rsidRDefault="0075672F" w:rsidP="00232756">
      <w:pPr>
        <w:ind w:left="-5"/>
      </w:pPr>
      <w:r>
        <w:t>Measuring and monitoring dementia is a complex process that requires a multidisciplinary approach involving clinical assessment, cognitive testing, and advanced imaging. The primary method for measuring the progression of the condition is through standardized cognitive screening tools. The most widely used approach in the UK is the Mini-Mental State Examination (MMSE) or the Montreal Cognitive Assessment (MoCA). These tests allow clinicians to measure a patient's cognitive decline over time by testing memory, attention, and language skills. Monitoring is not a one-time event; patients are typically reviewed every 6 to 12 months to track how the disease is affecting their daily functioning.</w:t>
      </w:r>
      <w:r>
        <w:rPr>
          <w:rFonts w:cs="Aptos"/>
        </w:rPr>
        <w:t xml:space="preserve"> </w:t>
      </w:r>
      <w:r>
        <w:t xml:space="preserve"> </w:t>
      </w:r>
      <w:r>
        <w:rPr>
          <w:rFonts w:cs="Aptos"/>
        </w:rPr>
        <w:t xml:space="preserve"> </w:t>
      </w:r>
    </w:p>
    <w:p w14:paraId="48D5FE66" w14:textId="48598E1C" w:rsidR="00710979" w:rsidRDefault="0075672F" w:rsidP="00232756">
      <w:pPr>
        <w:ind w:left="-5"/>
      </w:pPr>
      <w:r>
        <w:t xml:space="preserve">In addition to cognitive tests, biological monitoring through neuroimaging is essential for an accurate diagnosis. Magnetic Resonance Imaging (MRI) and Computed Tomography (CT) scans are used to monitor physical changes in the brain, such as atrophy (shrinking) or damage caused by vascular issues. Furthermore, the monitoring process often involves "Social Prescribing" and community-based observations. Health visitors and social workers monitor the "Activities of Daily Living" (ADLs) to measure how </w:t>
      </w:r>
      <w:r w:rsidR="003E2BE4">
        <w:t>illness</w:t>
      </w:r>
      <w:r>
        <w:t xml:space="preserve"> impacts a person's ability to live independently. By combining clinical data with social observations, health services can adjust care plans as the disease </w:t>
      </w:r>
      <w:r>
        <w:lastRenderedPageBreak/>
        <w:t>progresses from mild to severe stages. This section focuses on how dementia is controlled. It is important to note that while there is currently no cure, "control" refers to managing symptoms, slowing progression, and improving quality of life through medical and non-medical interventions.</w:t>
      </w:r>
      <w:r>
        <w:rPr>
          <w:rFonts w:cs="Aptos"/>
        </w:rPr>
        <w:t xml:space="preserve"> </w:t>
      </w:r>
    </w:p>
    <w:p w14:paraId="50096A58" w14:textId="7A923083" w:rsidR="00710979" w:rsidRDefault="0075672F" w:rsidP="00232756">
      <w:pPr>
        <w:ind w:left="-5"/>
      </w:pPr>
      <w:r>
        <w:t>Controlling the Progression of Dementia</w:t>
      </w:r>
      <w:r>
        <w:rPr>
          <w:rFonts w:cs="Aptos"/>
        </w:rPr>
        <w:t xml:space="preserve"> </w:t>
      </w:r>
    </w:p>
    <w:p w14:paraId="34D370E3" w14:textId="2CB7480B" w:rsidR="00710979" w:rsidRDefault="0075672F" w:rsidP="00232756">
      <w:pPr>
        <w:ind w:left="-5"/>
      </w:pPr>
      <w:r>
        <w:t xml:space="preserve">Controlling dementia involves a combination of pharmacological interventions and therapeutic strategies designed to manage symptoms. While there is no known cure, medication such as acetylcholinesterase inhibitors (e.g., Donepezil) is frequently prescribed in the UK to help improve communication between nerve cells in the brain. For those with vascular dementia, control often focuses on managing underlying causes, such as hypertension or high cholesterol, to prevent further strokes or brain damage. These medical approaches aim to </w:t>
      </w:r>
      <w:r w:rsidR="00232756">
        <w:t>stabilize</w:t>
      </w:r>
      <w:r>
        <w:t xml:space="preserve"> cognitive function for as long as possible, allowing individuals to maintain their independence.</w:t>
      </w:r>
      <w:r>
        <w:rPr>
          <w:rFonts w:cs="Aptos"/>
        </w:rPr>
        <w:t xml:space="preserve"> </w:t>
      </w:r>
    </w:p>
    <w:p w14:paraId="2E9E7222" w14:textId="65756D0A" w:rsidR="00710979" w:rsidRDefault="0075672F">
      <w:pPr>
        <w:ind w:left="-5"/>
      </w:pPr>
      <w:r>
        <w:t xml:space="preserve">Beyond medication, non-pharmacological approaches play a vital role in controlling the impact of </w:t>
      </w:r>
      <w:r w:rsidR="00232756">
        <w:t>disease</w:t>
      </w:r>
      <w:r>
        <w:t xml:space="preserve"> on a person's life. Cognitive Stimulation Therapy (CST) is a popular evidence-based intervention used in the NHS that involves themed activity sessions to keep the brain active. Additionally, environmental </w:t>
      </w:r>
      <w:r w:rsidR="003E2BE4">
        <w:t xml:space="preserve">controls </w:t>
      </w:r>
      <w:r>
        <w:t>such as adapting the home to be "dementia-friendly" with better lighting and clear signage</w:t>
      </w:r>
      <w:r w:rsidR="003E2BE4">
        <w:t xml:space="preserve"> </w:t>
      </w:r>
      <w:r>
        <w:t>can reduce the confusion and anxiety that often lead to behavioral challenges. By integrating clinical treatments with lifestyle and environmental modifications, the "control" of dementia shifts from merely treating a biological condition to supporting the holistic well-being of the individual.</w:t>
      </w:r>
      <w:r>
        <w:rPr>
          <w:rFonts w:cs="Aptos"/>
        </w:rPr>
        <w:t xml:space="preserve"> </w:t>
      </w:r>
    </w:p>
    <w:p w14:paraId="3A28573A" w14:textId="0587964E" w:rsidR="00710979" w:rsidRDefault="0075672F" w:rsidP="00232756">
      <w:pPr>
        <w:ind w:left="-5"/>
      </w:pPr>
      <w:r>
        <w:t>Consequences of Dementia on People in the Community</w:t>
      </w:r>
      <w:r>
        <w:rPr>
          <w:rFonts w:cs="Aptos"/>
        </w:rPr>
        <w:t xml:space="preserve"> </w:t>
      </w:r>
    </w:p>
    <w:p w14:paraId="7F8B8BA2" w14:textId="52F5A492" w:rsidR="00710979" w:rsidRDefault="0075672F" w:rsidP="00232756">
      <w:pPr>
        <w:ind w:left="-5"/>
      </w:pPr>
      <w:r>
        <w:t>The consequences of dementia extend far beyond the individual diagnosed, creating a significant impact on the immediate community and family structures. For the individual, the condition often leads to social isolation and a loss of identity. As cognitive abilities fade, many people withdraw from community activities due to fear, embarrassment, or the physical challenges of navigating public spaces. This isolation can lead to secondary health issues, such as depression and anxiety, which further complicate the management of the primary illness. Furthermore, there is often a social stigma associated with dementia that can prevent individuals from seeking help early, leading to crisis situations that require emergency community intervention.</w:t>
      </w:r>
      <w:r>
        <w:rPr>
          <w:rFonts w:cs="Aptos"/>
        </w:rPr>
        <w:t xml:space="preserve"> </w:t>
      </w:r>
    </w:p>
    <w:p w14:paraId="2778B665" w14:textId="77777777" w:rsidR="00710979" w:rsidRDefault="0075672F">
      <w:pPr>
        <w:ind w:left="-5"/>
      </w:pPr>
      <w:r>
        <w:t xml:space="preserve">For the wider community, the primary consequence is the immense pressure placed on "informal carers"—usually family members or friends. In the UK, millions of hours of unpaid care are provided annually by relatives who often have to reduce their working hours or quit their jobs entirely to provide 24-hour support. This creates a "sandwich generation" of carers who are simultaneously looking after children and ageing parents, leading to high levels of caregiver burnout and financial strain. From a public health perspective, the community must also adapt by developing "Dementia Friendly </w:t>
      </w:r>
      <w:r>
        <w:lastRenderedPageBreak/>
        <w:t>Communities." This requires local businesses, transport services, and shops to train staff to recognize and support people with memory loss, ensuring that the community remains inclusive and safe for vulnerable residents.</w:t>
      </w:r>
      <w:r>
        <w:rPr>
          <w:rFonts w:cs="Aptos"/>
        </w:rPr>
        <w:t xml:space="preserve"> </w:t>
      </w:r>
    </w:p>
    <w:p w14:paraId="00D5F0B9" w14:textId="0AC4083A" w:rsidR="00710979" w:rsidRDefault="0075672F" w:rsidP="00232756">
      <w:pPr>
        <w:ind w:left="-5"/>
      </w:pPr>
      <w:r>
        <w:t>Factors and Causes of Dementia</w:t>
      </w:r>
      <w:r>
        <w:rPr>
          <w:rFonts w:cs="Aptos"/>
        </w:rPr>
        <w:t xml:space="preserve"> </w:t>
      </w:r>
    </w:p>
    <w:p w14:paraId="210DCE03" w14:textId="738D7E15" w:rsidR="00710979" w:rsidRDefault="0075672F" w:rsidP="00232756">
      <w:pPr>
        <w:ind w:left="-5"/>
      </w:pPr>
      <w:r>
        <w:t>The development of dementia is rarely caused by a single factor; rather, it is the result of a complex interaction between genetic, environmental, and lifestyle influences. Age is the most significant non-modifiable risk factor, with the likelihood of developing the condition doubling every five years after the age of 65. Genetics also play a role, particularly in rarer forms like early-onset Alzheimer’s, where specific gene mutations can be passed down through families. However, for the majority of the population, these biological factors only represent a predisposition rather than a guaranteed diagnosis.</w:t>
      </w:r>
      <w:r>
        <w:rPr>
          <w:rFonts w:cs="Aptos"/>
        </w:rPr>
        <w:t xml:space="preserve"> </w:t>
      </w:r>
    </w:p>
    <w:p w14:paraId="29A50406" w14:textId="77777777" w:rsidR="00710979" w:rsidRDefault="0075672F">
      <w:pPr>
        <w:ind w:left="-5"/>
      </w:pPr>
      <w:r>
        <w:t>Public health research increasingly highlights modifiable lifestyle factors that contribute to the onset of dementia. Cardiovascular health is directly linked to brain health; conditions such as untreated hypertension, diabetes, and high cholesterol can damage the blood vessels in the brain, leading to vascular dementia. Additionally, behavioral factors such as smoking, excessive alcohol consumption, and physical inactivity are known to increase risk. Recent studies also suggest that social and environmental factors, including low levels of education in early life, hearing loss in mid-life, and exposure to air pollution, can all influence brain resilience. Understanding these factors is crucial for public health, as it suggests that a significant percentage of dementia cases could potentially be delayed or prevented through early intervention and healthier lifestyle choices.</w:t>
      </w:r>
      <w:r>
        <w:rPr>
          <w:rFonts w:cs="Aptos"/>
        </w:rPr>
        <w:t xml:space="preserve"> </w:t>
      </w:r>
    </w:p>
    <w:p w14:paraId="78630FD7" w14:textId="6F1A7335" w:rsidR="00710979" w:rsidRDefault="0075672F" w:rsidP="00232756">
      <w:pPr>
        <w:ind w:left="-5"/>
      </w:pPr>
      <w:r>
        <w:t>Conclusion</w:t>
      </w:r>
      <w:r>
        <w:rPr>
          <w:rFonts w:cs="Aptos"/>
        </w:rPr>
        <w:t xml:space="preserve"> </w:t>
      </w:r>
    </w:p>
    <w:p w14:paraId="07C9FD3B" w14:textId="403C465A" w:rsidR="00710979" w:rsidRDefault="0075672F" w:rsidP="00232756">
      <w:pPr>
        <w:ind w:left="-5"/>
      </w:pPr>
      <w:r>
        <w:t xml:space="preserve">In conclusion, dementia represents one of the most significant challenges facing the UK’s public health system today. As this report has outlined, the condition is a progressive and complex syndrome that requires careful measurement through cognitive and clinical assessments to ensure timely support. While there is currently no cure, effective control of </w:t>
      </w:r>
      <w:r w:rsidR="003E2BE4">
        <w:t>illness</w:t>
      </w:r>
      <w:r>
        <w:t xml:space="preserve"> is possible through a combination of pharmacological treatments and social interventions that focus on maintaining the individual’s quality of life and independence for as long as possible.</w:t>
      </w:r>
      <w:r>
        <w:rPr>
          <w:rFonts w:cs="Aptos"/>
        </w:rPr>
        <w:t xml:space="preserve"> </w:t>
      </w:r>
    </w:p>
    <w:p w14:paraId="6B047960" w14:textId="5686562F" w:rsidR="00710979" w:rsidRDefault="0075672F">
      <w:pPr>
        <w:ind w:left="-5"/>
      </w:pPr>
      <w:r>
        <w:t>The consequences of dementia are far-reaching, placing a heavy burden on informal carers and requiring local communities to become more inclusive and supportive. However, by understanding the modifiable risk factors</w:t>
      </w:r>
      <w:r w:rsidR="003E2BE4">
        <w:t xml:space="preserve"> </w:t>
      </w:r>
      <w:r>
        <w:t>such as cardiovascular health and lifestyle choices</w:t>
      </w:r>
      <w:r w:rsidR="003E2BE4">
        <w:t xml:space="preserve"> </w:t>
      </w:r>
      <w:r>
        <w:t>public health strategies can focus on prevention and risk reduction. Ultimately, a multi-agency approach involving health services, social care, and the wider community is essential to meet the needs of an ageing population and to ensure that those living with dementia can do so with dignity and support.</w:t>
      </w:r>
      <w:r>
        <w:rPr>
          <w:rFonts w:cs="Aptos"/>
        </w:rPr>
        <w:t xml:space="preserve"> </w:t>
      </w:r>
    </w:p>
    <w:p w14:paraId="25B159E1" w14:textId="77777777" w:rsidR="00710979" w:rsidRDefault="0075672F">
      <w:pPr>
        <w:spacing w:after="184" w:line="259" w:lineRule="auto"/>
        <w:ind w:left="0" w:firstLine="0"/>
      </w:pPr>
      <w:r>
        <w:rPr>
          <w:rFonts w:cs="Aptos"/>
        </w:rPr>
        <w:t xml:space="preserve"> </w:t>
      </w:r>
    </w:p>
    <w:p w14:paraId="1FD1C5E9" w14:textId="77777777" w:rsidR="00710979" w:rsidRDefault="0075672F">
      <w:pPr>
        <w:ind w:left="-5"/>
      </w:pPr>
      <w:r>
        <w:lastRenderedPageBreak/>
        <w:t>References</w:t>
      </w:r>
      <w:r>
        <w:rPr>
          <w:rFonts w:cs="Aptos"/>
        </w:rPr>
        <w:t xml:space="preserve"> </w:t>
      </w:r>
    </w:p>
    <w:p w14:paraId="4DA245D3" w14:textId="77777777" w:rsidR="00710979" w:rsidRDefault="0075672F">
      <w:pPr>
        <w:spacing w:after="179" w:line="259" w:lineRule="auto"/>
        <w:ind w:left="0" w:firstLine="0"/>
      </w:pPr>
      <w:r>
        <w:t xml:space="preserve"> </w:t>
      </w:r>
      <w:r>
        <w:rPr>
          <w:rFonts w:cs="Aptos"/>
        </w:rPr>
        <w:t xml:space="preserve"> </w:t>
      </w:r>
    </w:p>
    <w:p w14:paraId="655D82BF" w14:textId="77777777" w:rsidR="00710979" w:rsidRDefault="0075672F">
      <w:pPr>
        <w:spacing w:after="14"/>
        <w:ind w:left="-5"/>
      </w:pPr>
      <w:r>
        <w:t xml:space="preserve">Alzheimer’s Society (2024) Facts for the media. Available at: </w:t>
      </w:r>
    </w:p>
    <w:p w14:paraId="4F6DC416" w14:textId="77777777" w:rsidR="00710979" w:rsidRDefault="0075672F">
      <w:pPr>
        <w:ind w:left="-5"/>
      </w:pPr>
      <w:r>
        <w:t>https://www.alzheimers.org.uk/about-us/news-and-media/facts-media (Accessed: 11 February 2026).</w:t>
      </w:r>
      <w:r>
        <w:rPr>
          <w:rFonts w:cs="Aptos"/>
        </w:rPr>
        <w:t xml:space="preserve"> </w:t>
      </w:r>
    </w:p>
    <w:p w14:paraId="41084CA5" w14:textId="77777777" w:rsidR="00710979" w:rsidRDefault="0075672F">
      <w:pPr>
        <w:spacing w:after="184" w:line="259" w:lineRule="auto"/>
        <w:ind w:left="0" w:firstLine="0"/>
      </w:pPr>
      <w:r>
        <w:t xml:space="preserve"> </w:t>
      </w:r>
      <w:r>
        <w:rPr>
          <w:rFonts w:cs="Aptos"/>
        </w:rPr>
        <w:t xml:space="preserve"> </w:t>
      </w:r>
    </w:p>
    <w:p w14:paraId="767128CF" w14:textId="77777777" w:rsidR="00710979" w:rsidRDefault="0075672F">
      <w:pPr>
        <w:ind w:left="-5"/>
      </w:pPr>
      <w:r>
        <w:t>Alzheimer’s Society (2025) What is dementia? Symptoms, causes and types. Available at: https://www.alzheimers.org.uk/about-dementia/types-dementia/what-is-dementia (Accessed: 11 February 2026).</w:t>
      </w:r>
      <w:r>
        <w:rPr>
          <w:rFonts w:cs="Aptos"/>
        </w:rPr>
        <w:t xml:space="preserve"> </w:t>
      </w:r>
    </w:p>
    <w:p w14:paraId="6E37895A" w14:textId="77777777" w:rsidR="00710979" w:rsidRDefault="0075672F">
      <w:pPr>
        <w:spacing w:after="179" w:line="259" w:lineRule="auto"/>
        <w:ind w:left="0" w:firstLine="0"/>
      </w:pPr>
      <w:r>
        <w:t xml:space="preserve"> </w:t>
      </w:r>
      <w:r>
        <w:rPr>
          <w:rFonts w:cs="Aptos"/>
        </w:rPr>
        <w:t xml:space="preserve"> </w:t>
      </w:r>
    </w:p>
    <w:p w14:paraId="639D4126" w14:textId="77777777" w:rsidR="00710979" w:rsidRDefault="0075672F">
      <w:pPr>
        <w:ind w:left="-5"/>
      </w:pPr>
      <w:r>
        <w:t>Livingston, G., Huntley, J., Sommerlad, A. and Ames, D. (2024) ‘Dementia prevention, intervention, and care: 2024 report of the Lancet Commission’, The Lancet, 404(10452), pp. 572-628.</w:t>
      </w:r>
      <w:r>
        <w:rPr>
          <w:rFonts w:cs="Aptos"/>
        </w:rPr>
        <w:t xml:space="preserve"> </w:t>
      </w:r>
    </w:p>
    <w:p w14:paraId="22D92799" w14:textId="77777777" w:rsidR="00710979" w:rsidRDefault="0075672F">
      <w:pPr>
        <w:spacing w:after="184" w:line="259" w:lineRule="auto"/>
        <w:ind w:left="0" w:firstLine="0"/>
      </w:pPr>
      <w:r>
        <w:t xml:space="preserve"> </w:t>
      </w:r>
      <w:r>
        <w:rPr>
          <w:rFonts w:cs="Aptos"/>
        </w:rPr>
        <w:t xml:space="preserve"> </w:t>
      </w:r>
    </w:p>
    <w:p w14:paraId="7FD0D56C" w14:textId="77777777" w:rsidR="00710979" w:rsidRDefault="0075672F">
      <w:pPr>
        <w:spacing w:after="14"/>
        <w:ind w:left="-5"/>
      </w:pPr>
      <w:r>
        <w:t xml:space="preserve">NHS (2025) About dementia. Available at: </w:t>
      </w:r>
    </w:p>
    <w:p w14:paraId="09987CF5" w14:textId="77777777" w:rsidR="00710979" w:rsidRDefault="0075672F">
      <w:pPr>
        <w:ind w:left="-5"/>
      </w:pPr>
      <w:r>
        <w:t>https://www.nhs.uk/conditions/dementia/about/ (Accessed: 11 February 2026).</w:t>
      </w:r>
      <w:r>
        <w:rPr>
          <w:rFonts w:cs="Aptos"/>
        </w:rPr>
        <w:t xml:space="preserve"> </w:t>
      </w:r>
    </w:p>
    <w:p w14:paraId="39FE8C0F" w14:textId="77777777" w:rsidR="00710979" w:rsidRDefault="0075672F">
      <w:pPr>
        <w:spacing w:after="184" w:line="259" w:lineRule="auto"/>
        <w:ind w:left="0" w:firstLine="0"/>
      </w:pPr>
      <w:r>
        <w:t xml:space="preserve"> </w:t>
      </w:r>
      <w:r>
        <w:rPr>
          <w:rFonts w:cs="Aptos"/>
        </w:rPr>
        <w:t xml:space="preserve"> </w:t>
      </w:r>
    </w:p>
    <w:p w14:paraId="754FF91B" w14:textId="77777777" w:rsidR="00710979" w:rsidRDefault="0075672F">
      <w:pPr>
        <w:ind w:left="-5"/>
      </w:pPr>
      <w:r>
        <w:t>NHS Inform (2025) Symptoms of dementia. Available at: https://www.nhsinform.scot/illnesses-and-conditions/brain-nerves-and-spinalcord/dementia/symptoms-of-dementia (Accessed: 11 February 2026).</w:t>
      </w:r>
      <w:r>
        <w:rPr>
          <w:rFonts w:cs="Aptos"/>
        </w:rPr>
        <w:t xml:space="preserve"> </w:t>
      </w:r>
    </w:p>
    <w:p w14:paraId="181482F6" w14:textId="77777777" w:rsidR="00710979" w:rsidRDefault="0075672F">
      <w:pPr>
        <w:spacing w:after="184" w:line="259" w:lineRule="auto"/>
        <w:ind w:left="0" w:firstLine="0"/>
      </w:pPr>
      <w:r>
        <w:t xml:space="preserve"> </w:t>
      </w:r>
      <w:r>
        <w:rPr>
          <w:rFonts w:cs="Aptos"/>
        </w:rPr>
        <w:t xml:space="preserve"> </w:t>
      </w:r>
    </w:p>
    <w:p w14:paraId="65F0DE79" w14:textId="77777777" w:rsidR="00710979" w:rsidRDefault="0075672F">
      <w:pPr>
        <w:ind w:left="-5"/>
      </w:pPr>
      <w:r>
        <w:t>NICE (National Institute for Health and Care Excellence) (2024) Dementia: assessment, management and support for people living with dementia and their carers. [NG97]. London: NICE.</w:t>
      </w:r>
      <w:r>
        <w:rPr>
          <w:rFonts w:cs="Aptos"/>
        </w:rPr>
        <w:t xml:space="preserve"> </w:t>
      </w:r>
    </w:p>
    <w:p w14:paraId="6493B041" w14:textId="77777777" w:rsidR="00710979" w:rsidRDefault="0075672F">
      <w:pPr>
        <w:spacing w:after="183" w:line="259" w:lineRule="auto"/>
        <w:ind w:left="0" w:firstLine="0"/>
      </w:pPr>
      <w:r>
        <w:t xml:space="preserve"> </w:t>
      </w:r>
      <w:r>
        <w:rPr>
          <w:rFonts w:cs="Aptos"/>
        </w:rPr>
        <w:t xml:space="preserve"> </w:t>
      </w:r>
    </w:p>
    <w:p w14:paraId="10DDA7D3" w14:textId="77777777" w:rsidR="00710979" w:rsidRDefault="0075672F">
      <w:pPr>
        <w:ind w:left="-5"/>
      </w:pPr>
      <w:r>
        <w:t>World Health Organization (2024) Dementia: Key Facts. Available at: https://www.who.int/news-room/fact-sheets/detail/dementia (Accessed: 11 February 2026).</w:t>
      </w:r>
      <w:r>
        <w:rPr>
          <w:rFonts w:cs="Aptos"/>
        </w:rPr>
        <w:t xml:space="preserve"> </w:t>
      </w:r>
    </w:p>
    <w:sectPr w:rsidR="00710979">
      <w:pgSz w:w="11905" w:h="16840"/>
      <w:pgMar w:top="1440" w:right="1448" w:bottom="1448"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979"/>
    <w:rsid w:val="00232756"/>
    <w:rsid w:val="00280C10"/>
    <w:rsid w:val="0031376C"/>
    <w:rsid w:val="003E2BE4"/>
    <w:rsid w:val="004F69B6"/>
    <w:rsid w:val="006823EF"/>
    <w:rsid w:val="006915AE"/>
    <w:rsid w:val="00710979"/>
    <w:rsid w:val="0075672F"/>
    <w:rsid w:val="00DB5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CE4B5"/>
  <w15:docId w15:val="{3F1954FC-DFFC-5F43-AE78-550E68D5D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9" w:line="269" w:lineRule="auto"/>
      <w:ind w:left="10" w:hanging="10"/>
    </w:pPr>
    <w:rPr>
      <w:rFonts w:ascii="Aptos" w:eastAsia="Aptos" w:hAnsi="Aptos" w:cs="Times New Roman"/>
      <w:color w:val="000000"/>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1547</Words>
  <Characters>8820</Characters>
  <Application>Microsoft Office Word</Application>
  <DocSecurity>0</DocSecurity>
  <Lines>73</Lines>
  <Paragraphs>20</Paragraphs>
  <ScaleCrop>false</ScaleCrop>
  <Company/>
  <LinksUpToDate>false</LinksUpToDate>
  <CharactersWithSpaces>10347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Shamrez Mahmood</dc:creator>
  <cp:keywords/>
  <cp:lastModifiedBy>Zahra Mahmood</cp:lastModifiedBy>
  <cp:revision>7</cp:revision>
  <dcterms:created xsi:type="dcterms:W3CDTF">2026-02-11T18:54:00Z</dcterms:created>
  <dcterms:modified xsi:type="dcterms:W3CDTF">2026-03-08T14:51:00Z</dcterms:modified>
</cp:coreProperties>
</file>