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B1F92" w:rsidRDefault="00CB1F92" w:rsidP="008F492C">
      <w:pPr>
        <w:jc w:val="center"/>
        <w:rPr>
          <w:b/>
          <w:sz w:val="36"/>
        </w:rPr>
      </w:pPr>
      <w:r>
        <w:rPr>
          <w:b/>
          <w:sz w:val="36"/>
        </w:rPr>
        <w:t>SAFETY &amp; HAZARD ASSESMENT: RISK ASSESMENT &amp; ALARP JUSTIFICATION ASSINGMENT</w:t>
      </w:r>
    </w:p>
    <w:p w:rsidR="000C7657" w:rsidRPr="008A2D6C" w:rsidRDefault="000C7657" w:rsidP="00C01B91">
      <w:pPr>
        <w:jc w:val="center"/>
        <w:rPr>
          <w:b/>
          <w:sz w:val="36"/>
        </w:rPr>
      </w:pPr>
      <w:r w:rsidRPr="008A2D6C">
        <w:rPr>
          <w:b/>
          <w:sz w:val="36"/>
        </w:rPr>
        <w:t>Risk Assessment</w:t>
      </w:r>
    </w:p>
    <w:p w:rsidR="00D71CEF" w:rsidRDefault="00D71CEF" w:rsidP="006E213B">
      <w:pPr>
        <w:rPr>
          <w:b/>
          <w:sz w:val="28"/>
        </w:rPr>
      </w:pPr>
      <w:r>
        <w:rPr>
          <w:b/>
          <w:sz w:val="28"/>
        </w:rPr>
        <w:t xml:space="preserve">Title: </w:t>
      </w:r>
    </w:p>
    <w:p w:rsidR="00D71CEF" w:rsidRPr="00D71CEF" w:rsidRDefault="005C1195" w:rsidP="006E213B">
      <w:pPr>
        <w:rPr>
          <w:sz w:val="28"/>
        </w:rPr>
      </w:pPr>
      <w:r>
        <w:rPr>
          <w:sz w:val="28"/>
        </w:rPr>
        <w:t xml:space="preserve">Replenishment </w:t>
      </w:r>
      <w:r w:rsidR="00D71CEF">
        <w:rPr>
          <w:sz w:val="28"/>
        </w:rPr>
        <w:t>and operation and firing of sea-launched munitions</w:t>
      </w:r>
    </w:p>
    <w:p w:rsidR="000C7657" w:rsidRPr="000C7657" w:rsidRDefault="000C7657" w:rsidP="006E213B">
      <w:pPr>
        <w:rPr>
          <w:b/>
          <w:sz w:val="28"/>
        </w:rPr>
      </w:pPr>
      <w:r w:rsidRPr="000C7657">
        <w:rPr>
          <w:b/>
          <w:sz w:val="28"/>
        </w:rPr>
        <w:t>Scope:</w:t>
      </w:r>
    </w:p>
    <w:p w:rsidR="000C7657" w:rsidRDefault="000C7657" w:rsidP="006E213B">
      <w:pPr>
        <w:rPr>
          <w:sz w:val="28"/>
        </w:rPr>
      </w:pPr>
      <w:r>
        <w:rPr>
          <w:sz w:val="28"/>
        </w:rPr>
        <w:t xml:space="preserve">This risk assessment covers the </w:t>
      </w:r>
      <w:r w:rsidR="00D71CEF">
        <w:rPr>
          <w:sz w:val="28"/>
        </w:rPr>
        <w:t xml:space="preserve">replenishment and operation and firing segments of the </w:t>
      </w:r>
      <w:r>
        <w:rPr>
          <w:sz w:val="28"/>
        </w:rPr>
        <w:t>manufacture to target disposal seque</w:t>
      </w:r>
      <w:r w:rsidR="00D71CEF">
        <w:rPr>
          <w:sz w:val="28"/>
        </w:rPr>
        <w:t>nce for a sea-launched munition (such as Sea Ceptor)</w:t>
      </w:r>
    </w:p>
    <w:p w:rsidR="00D71CEF" w:rsidRDefault="00F90379" w:rsidP="006E213B">
      <w:pPr>
        <w:rPr>
          <w:b/>
          <w:sz w:val="28"/>
        </w:rPr>
      </w:pPr>
      <w:r>
        <w:rPr>
          <w:b/>
          <w:sz w:val="28"/>
        </w:rPr>
        <w:t>Task/System Description:</w:t>
      </w:r>
    </w:p>
    <w:p w:rsidR="00D71CEF" w:rsidRDefault="00D71CEF" w:rsidP="006E213B">
      <w:pPr>
        <w:rPr>
          <w:sz w:val="28"/>
        </w:rPr>
      </w:pPr>
      <w:r>
        <w:rPr>
          <w:sz w:val="28"/>
        </w:rPr>
        <w:t>The following descriptions cover the activities within the scope of this risk assessment…</w:t>
      </w:r>
    </w:p>
    <w:p w:rsidR="005C1195" w:rsidRPr="005C1195" w:rsidRDefault="00D71CEF" w:rsidP="005C1195">
      <w:pPr>
        <w:pStyle w:val="ListParagraph"/>
        <w:numPr>
          <w:ilvl w:val="0"/>
          <w:numId w:val="3"/>
        </w:numPr>
        <w:rPr>
          <w:sz w:val="28"/>
        </w:rPr>
      </w:pPr>
      <w:r w:rsidRPr="00300F73">
        <w:rPr>
          <w:sz w:val="28"/>
        </w:rPr>
        <w:t xml:space="preserve">Replenishment of munition(s) </w:t>
      </w:r>
      <w:r w:rsidR="000C558A">
        <w:rPr>
          <w:sz w:val="28"/>
        </w:rPr>
        <w:t xml:space="preserve">on to ship, </w:t>
      </w:r>
      <w:r w:rsidR="00DD0CDC" w:rsidRPr="00300F73">
        <w:rPr>
          <w:sz w:val="28"/>
        </w:rPr>
        <w:t>lifted by</w:t>
      </w:r>
      <w:r w:rsidRPr="00300F73">
        <w:rPr>
          <w:sz w:val="28"/>
        </w:rPr>
        <w:t xml:space="preserve"> dockside </w:t>
      </w:r>
      <w:r w:rsidR="00DD0CDC" w:rsidRPr="00300F73">
        <w:rPr>
          <w:sz w:val="28"/>
        </w:rPr>
        <w:t xml:space="preserve">crane. </w:t>
      </w:r>
    </w:p>
    <w:p w:rsidR="00DD0CDC" w:rsidRPr="00300F73" w:rsidRDefault="00DD0CDC" w:rsidP="00300F73">
      <w:pPr>
        <w:pStyle w:val="ListParagraph"/>
        <w:numPr>
          <w:ilvl w:val="0"/>
          <w:numId w:val="3"/>
        </w:numPr>
        <w:rPr>
          <w:sz w:val="28"/>
        </w:rPr>
      </w:pPr>
      <w:r w:rsidRPr="00300F73">
        <w:rPr>
          <w:sz w:val="28"/>
        </w:rPr>
        <w:t>Storage of munition on-board ship over a 7-year life within dedicated storage zone.</w:t>
      </w:r>
    </w:p>
    <w:p w:rsidR="00DD0CDC" w:rsidRPr="00300F73" w:rsidRDefault="00DD0CDC" w:rsidP="00300F73">
      <w:pPr>
        <w:pStyle w:val="ListParagraph"/>
        <w:numPr>
          <w:ilvl w:val="0"/>
          <w:numId w:val="3"/>
        </w:numPr>
        <w:rPr>
          <w:sz w:val="28"/>
        </w:rPr>
      </w:pPr>
      <w:r w:rsidRPr="00300F73">
        <w:rPr>
          <w:sz w:val="28"/>
        </w:rPr>
        <w:t>Transfer of munition from storage zone to launch system using lifting and loading apparatus.</w:t>
      </w:r>
    </w:p>
    <w:p w:rsidR="00DD0CDC" w:rsidRPr="00300F73" w:rsidRDefault="00DD0CDC" w:rsidP="00300F73">
      <w:pPr>
        <w:pStyle w:val="ListParagraph"/>
        <w:numPr>
          <w:ilvl w:val="0"/>
          <w:numId w:val="3"/>
        </w:numPr>
        <w:rPr>
          <w:sz w:val="28"/>
        </w:rPr>
      </w:pPr>
      <w:r w:rsidRPr="00300F73">
        <w:rPr>
          <w:sz w:val="28"/>
        </w:rPr>
        <w:t>Inspection of storage and munition(s) during storage life and preceding firing.</w:t>
      </w:r>
    </w:p>
    <w:p w:rsidR="00DD0CDC" w:rsidRPr="00300F73" w:rsidRDefault="00DD0CDC" w:rsidP="00300F73">
      <w:pPr>
        <w:pStyle w:val="ListParagraph"/>
        <w:numPr>
          <w:ilvl w:val="0"/>
          <w:numId w:val="3"/>
        </w:numPr>
        <w:rPr>
          <w:sz w:val="28"/>
        </w:rPr>
      </w:pPr>
      <w:r w:rsidRPr="00300F73">
        <w:rPr>
          <w:sz w:val="28"/>
        </w:rPr>
        <w:t>Operation and firing of the munition from the launch system.</w:t>
      </w:r>
    </w:p>
    <w:p w:rsidR="00300F73" w:rsidRDefault="00300F73" w:rsidP="006E213B">
      <w:pPr>
        <w:rPr>
          <w:b/>
          <w:sz w:val="28"/>
        </w:rPr>
      </w:pPr>
      <w:r>
        <w:rPr>
          <w:b/>
          <w:sz w:val="28"/>
        </w:rPr>
        <w:t>A</w:t>
      </w:r>
      <w:r w:rsidR="00074692">
        <w:rPr>
          <w:b/>
          <w:sz w:val="28"/>
        </w:rPr>
        <w:t>ssessment Methodology:</w:t>
      </w:r>
    </w:p>
    <w:p w:rsidR="00300F73" w:rsidRDefault="00300F73" w:rsidP="006E213B">
      <w:pPr>
        <w:rPr>
          <w:sz w:val="28"/>
        </w:rPr>
      </w:pPr>
      <w:r>
        <w:rPr>
          <w:sz w:val="28"/>
        </w:rPr>
        <w:t>This risk assessment has been produced using findings and information gathered from the following methodologies and techniques…</w:t>
      </w:r>
    </w:p>
    <w:p w:rsidR="00113D13" w:rsidRDefault="00113D13" w:rsidP="006E213B">
      <w:pPr>
        <w:rPr>
          <w:sz w:val="28"/>
        </w:rPr>
      </w:pPr>
      <w:r>
        <w:rPr>
          <w:sz w:val="28"/>
        </w:rPr>
        <w:t xml:space="preserve">A preliminary </w:t>
      </w:r>
      <w:r w:rsidR="000C558A">
        <w:rPr>
          <w:sz w:val="28"/>
        </w:rPr>
        <w:t>Haz</w:t>
      </w:r>
      <w:r>
        <w:rPr>
          <w:sz w:val="28"/>
        </w:rPr>
        <w:t>ID was carried out</w:t>
      </w:r>
      <w:r w:rsidR="0049608D">
        <w:rPr>
          <w:sz w:val="28"/>
        </w:rPr>
        <w:t xml:space="preserve"> within a group of people with varying knowledge and levels of experience</w:t>
      </w:r>
      <w:r>
        <w:rPr>
          <w:sz w:val="28"/>
        </w:rPr>
        <w:t>. This used prior knowledge of the system as well as systems thinking through the ‘concept of use’ and ‘concept of operation’ approaches, to identify hazards and exposure of people to these hazards, as well as a PSL (predicted service life)</w:t>
      </w:r>
      <w:r w:rsidR="000C558A">
        <w:rPr>
          <w:sz w:val="28"/>
        </w:rPr>
        <w:t>, but was not as detailed as a full HazOp</w:t>
      </w:r>
      <w:r>
        <w:rPr>
          <w:sz w:val="28"/>
        </w:rPr>
        <w:t xml:space="preserve">. </w:t>
      </w:r>
      <w:r w:rsidR="0049608D">
        <w:rPr>
          <w:sz w:val="28"/>
        </w:rPr>
        <w:t xml:space="preserve">Results were presented in a hazard </w:t>
      </w:r>
      <w:r w:rsidR="006633FB">
        <w:rPr>
          <w:sz w:val="28"/>
        </w:rPr>
        <w:t xml:space="preserve">checklist, which was categorised. </w:t>
      </w:r>
    </w:p>
    <w:p w:rsidR="00A70CE0" w:rsidRDefault="0049608D" w:rsidP="006E213B">
      <w:pPr>
        <w:rPr>
          <w:sz w:val="28"/>
        </w:rPr>
      </w:pPr>
      <w:r>
        <w:rPr>
          <w:sz w:val="28"/>
        </w:rPr>
        <w:t xml:space="preserve">This was </w:t>
      </w:r>
      <w:r w:rsidR="00A70CE0">
        <w:rPr>
          <w:sz w:val="28"/>
        </w:rPr>
        <w:t>followed</w:t>
      </w:r>
      <w:r>
        <w:rPr>
          <w:sz w:val="28"/>
        </w:rPr>
        <w:t xml:space="preserve"> by a SWIFT (Structured What-if Techniqu</w:t>
      </w:r>
      <w:r w:rsidR="006633FB">
        <w:rPr>
          <w:sz w:val="28"/>
        </w:rPr>
        <w:t>e) whereby the group listed questions and possibly hazard occurrences for each item on the hazard checklist. Once the ‘what if’ or question phase was complete, conditions and mitigations were proposed as a response for each.</w:t>
      </w:r>
      <w:r w:rsidR="00A70CE0">
        <w:rPr>
          <w:sz w:val="28"/>
        </w:rPr>
        <w:t xml:space="preserve"> This stage was augmented by partially adopting a component by component approach, as in an FMEA (failure mode</w:t>
      </w:r>
      <w:r w:rsidR="00074692">
        <w:rPr>
          <w:sz w:val="28"/>
        </w:rPr>
        <w:t xml:space="preserve">s and effects analysis) </w:t>
      </w:r>
      <w:r w:rsidR="00BD173F">
        <w:rPr>
          <w:sz w:val="28"/>
        </w:rPr>
        <w:t xml:space="preserve">but </w:t>
      </w:r>
      <w:r w:rsidR="00074692">
        <w:rPr>
          <w:sz w:val="28"/>
        </w:rPr>
        <w:t>for</w:t>
      </w:r>
      <w:r w:rsidR="00BD173F">
        <w:rPr>
          <w:sz w:val="28"/>
        </w:rPr>
        <w:t xml:space="preserve"> the</w:t>
      </w:r>
      <w:r w:rsidR="00074692">
        <w:rPr>
          <w:sz w:val="28"/>
        </w:rPr>
        <w:t xml:space="preserve"> most critical components regarding safety. Furthermore, the spatial aspect of the identified hazards and SWIFT questions within the system was considered, in the style of a zonal hazard analysis. This was found to be us</w:t>
      </w:r>
      <w:r w:rsidR="00BD173F">
        <w:rPr>
          <w:sz w:val="28"/>
        </w:rPr>
        <w:t xml:space="preserve">eful for developing mitigations, such as exclusion zones and access </w:t>
      </w:r>
      <w:r w:rsidR="00403F46">
        <w:rPr>
          <w:sz w:val="28"/>
        </w:rPr>
        <w:t>restrictions</w:t>
      </w:r>
      <w:r w:rsidR="00BD173F">
        <w:rPr>
          <w:sz w:val="28"/>
        </w:rPr>
        <w:t>.</w:t>
      </w:r>
    </w:p>
    <w:p w:rsidR="00074692" w:rsidRPr="00113D13" w:rsidRDefault="00732D3A" w:rsidP="006E213B">
      <w:pPr>
        <w:rPr>
          <w:sz w:val="28"/>
        </w:rPr>
      </w:pPr>
      <w:r>
        <w:rPr>
          <w:sz w:val="28"/>
        </w:rPr>
        <w:lastRenderedPageBreak/>
        <w:t>A hazard matrix was created and final</w:t>
      </w:r>
      <w:r w:rsidR="00074692">
        <w:rPr>
          <w:sz w:val="28"/>
        </w:rPr>
        <w:t xml:space="preserve"> results from the </w:t>
      </w:r>
      <w:r>
        <w:rPr>
          <w:sz w:val="28"/>
        </w:rPr>
        <w:t xml:space="preserve">augmented </w:t>
      </w:r>
      <w:r w:rsidR="00B70F51">
        <w:rPr>
          <w:sz w:val="28"/>
        </w:rPr>
        <w:t>HazID</w:t>
      </w:r>
      <w:r>
        <w:rPr>
          <w:sz w:val="28"/>
        </w:rPr>
        <w:t xml:space="preserve"> and SWIFT assessment were categorised in a risk assessment using a standard template and plotted on the hazard matrix.</w:t>
      </w:r>
      <w:r w:rsidR="002B202A">
        <w:rPr>
          <w:sz w:val="28"/>
        </w:rPr>
        <w:t xml:space="preserve"> The hazard matrix used the following four categories to describe likelihood: frequent, likely, occasional, and improbable, based on up to 10</w:t>
      </w:r>
      <w:r w:rsidR="002B202A">
        <w:rPr>
          <w:sz w:val="28"/>
          <w:vertAlign w:val="superscript"/>
        </w:rPr>
        <w:t>-3</w:t>
      </w:r>
      <w:r w:rsidR="002B202A">
        <w:rPr>
          <w:sz w:val="28"/>
        </w:rPr>
        <w:t>, 10</w:t>
      </w:r>
      <w:r w:rsidR="002B202A">
        <w:rPr>
          <w:sz w:val="28"/>
          <w:vertAlign w:val="superscript"/>
        </w:rPr>
        <w:t>-4</w:t>
      </w:r>
      <w:r w:rsidR="002B202A">
        <w:rPr>
          <w:sz w:val="28"/>
        </w:rPr>
        <w:t>, 10</w:t>
      </w:r>
      <w:r w:rsidR="002B202A">
        <w:rPr>
          <w:sz w:val="28"/>
          <w:vertAlign w:val="superscript"/>
        </w:rPr>
        <w:t>-5</w:t>
      </w:r>
      <w:r w:rsidR="002B202A">
        <w:rPr>
          <w:sz w:val="28"/>
        </w:rPr>
        <w:t>, 10</w:t>
      </w:r>
      <w:r w:rsidR="002B202A">
        <w:rPr>
          <w:sz w:val="28"/>
          <w:vertAlign w:val="superscript"/>
        </w:rPr>
        <w:t>-6</w:t>
      </w:r>
      <w:r w:rsidR="002B202A">
        <w:rPr>
          <w:sz w:val="28"/>
        </w:rPr>
        <w:t xml:space="preserve"> probability of the hazard occurring respectively. The following five categories were used to define severity: catastrophic, critical, severe, minor and marginal.</w:t>
      </w:r>
      <w:r w:rsidR="00B012DF">
        <w:rPr>
          <w:sz w:val="28"/>
        </w:rPr>
        <w:t xml:space="preserve"> </w:t>
      </w:r>
      <w:r w:rsidR="002B202A">
        <w:rPr>
          <w:sz w:val="28"/>
        </w:rPr>
        <w:t>A line was plotted diagonally along the matrix in order to define the maximum level of acceptable risk. The hazard matrix</w:t>
      </w:r>
      <w:r w:rsidR="00C01B91">
        <w:rPr>
          <w:sz w:val="28"/>
        </w:rPr>
        <w:t xml:space="preserve"> and descriptors</w:t>
      </w:r>
      <w:r w:rsidR="002B202A">
        <w:rPr>
          <w:sz w:val="28"/>
        </w:rPr>
        <w:t xml:space="preserve"> </w:t>
      </w:r>
      <w:r w:rsidR="00C01B91">
        <w:rPr>
          <w:sz w:val="28"/>
        </w:rPr>
        <w:t>are</w:t>
      </w:r>
      <w:r w:rsidR="002B202A">
        <w:rPr>
          <w:sz w:val="28"/>
        </w:rPr>
        <w:t xml:space="preserve"> shown below </w:t>
      </w:r>
      <w:r w:rsidR="00C01B91">
        <w:rPr>
          <w:sz w:val="28"/>
        </w:rPr>
        <w:t>the risk assessment (see FIG?).</w:t>
      </w:r>
    </w:p>
    <w:tbl>
      <w:tblPr>
        <w:tblStyle w:val="TableGrid"/>
        <w:tblpPr w:leftFromText="180" w:rightFromText="180" w:vertAnchor="text" w:horzAnchor="margin" w:tblpXSpec="center" w:tblpY="141"/>
        <w:tblW w:w="11000" w:type="dxa"/>
        <w:tblLayout w:type="fixed"/>
        <w:tblLook w:val="04A0" w:firstRow="1" w:lastRow="0" w:firstColumn="1" w:lastColumn="0" w:noHBand="0" w:noVBand="1"/>
      </w:tblPr>
      <w:tblGrid>
        <w:gridCol w:w="421"/>
        <w:gridCol w:w="1275"/>
        <w:gridCol w:w="711"/>
        <w:gridCol w:w="2408"/>
        <w:gridCol w:w="850"/>
        <w:gridCol w:w="4536"/>
        <w:gridCol w:w="799"/>
      </w:tblGrid>
      <w:tr w:rsidR="00646A03" w:rsidTr="009B78F3">
        <w:trPr>
          <w:trHeight w:val="2542"/>
        </w:trPr>
        <w:tc>
          <w:tcPr>
            <w:tcW w:w="421" w:type="dxa"/>
          </w:tcPr>
          <w:p w:rsidR="00646A03" w:rsidRPr="002B202A" w:rsidRDefault="00646A03" w:rsidP="00646A03">
            <w:pPr>
              <w:rPr>
                <w:b/>
                <w:sz w:val="28"/>
              </w:rPr>
            </w:pPr>
          </w:p>
        </w:tc>
        <w:tc>
          <w:tcPr>
            <w:tcW w:w="1275" w:type="dxa"/>
          </w:tcPr>
          <w:p w:rsidR="00646A03" w:rsidRPr="002B202A" w:rsidRDefault="00646A03" w:rsidP="00646A03">
            <w:pPr>
              <w:rPr>
                <w:b/>
                <w:sz w:val="28"/>
              </w:rPr>
            </w:pPr>
            <w:r w:rsidRPr="002B202A">
              <w:rPr>
                <w:b/>
                <w:sz w:val="28"/>
              </w:rPr>
              <w:t>Activity No</w:t>
            </w:r>
            <w:r>
              <w:rPr>
                <w:b/>
                <w:sz w:val="28"/>
              </w:rPr>
              <w:t xml:space="preserve">. </w:t>
            </w:r>
            <w:r w:rsidRPr="002B202A">
              <w:rPr>
                <w:b/>
                <w:sz w:val="28"/>
              </w:rPr>
              <w:t>/</w:t>
            </w:r>
          </w:p>
          <w:p w:rsidR="00646A03" w:rsidRPr="002B202A" w:rsidRDefault="00B07CB6" w:rsidP="00646A03">
            <w:pPr>
              <w:rPr>
                <w:b/>
                <w:sz w:val="28"/>
              </w:rPr>
            </w:pPr>
            <w:r>
              <w:rPr>
                <w:b/>
                <w:noProof/>
                <w:sz w:val="28"/>
                <w:lang w:eastAsia="en-GB"/>
              </w:rPr>
              <mc:AlternateContent>
                <mc:Choice Requires="wps">
                  <w:drawing>
                    <wp:anchor distT="0" distB="0" distL="114300" distR="114300" simplePos="0" relativeHeight="251662336" behindDoc="0" locked="0" layoutInCell="1" allowOverlap="1" wp14:anchorId="73879F26" wp14:editId="34F17AC7">
                      <wp:simplePos x="0" y="0"/>
                      <wp:positionH relativeFrom="column">
                        <wp:posOffset>-1011238</wp:posOffset>
                      </wp:positionH>
                      <wp:positionV relativeFrom="paragraph">
                        <wp:posOffset>233456</wp:posOffset>
                      </wp:positionV>
                      <wp:extent cx="1567815" cy="279400"/>
                      <wp:effectExtent l="0" t="0" r="0" b="0"/>
                      <wp:wrapNone/>
                      <wp:docPr id="4" name="Text Box 4"/>
                      <wp:cNvGraphicFramePr/>
                      <a:graphic xmlns:a="http://schemas.openxmlformats.org/drawingml/2006/main">
                        <a:graphicData uri="http://schemas.microsoft.com/office/word/2010/wordprocessingShape">
                          <wps:wsp>
                            <wps:cNvSpPr txBox="1"/>
                            <wps:spPr>
                              <a:xfrm rot="16200000">
                                <a:off x="0" y="0"/>
                                <a:ext cx="1567815" cy="279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F1336" w:rsidRPr="003F1336" w:rsidRDefault="003F1336" w:rsidP="003F1336">
                                  <w:pPr>
                                    <w:jc w:val="center"/>
                                    <w:rPr>
                                      <w:b/>
                                      <w:sz w:val="28"/>
                                    </w:rPr>
                                  </w:pPr>
                                  <w:r w:rsidRPr="003F1336">
                                    <w:rPr>
                                      <w:b/>
                                      <w:sz w:val="28"/>
                                    </w:rPr>
                                    <w:t>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3879F26" id="_x0000_t202" coordsize="21600,21600" o:spt="202" path="m,l,21600r21600,l21600,xe">
                      <v:stroke joinstyle="miter"/>
                      <v:path gradientshapeok="t" o:connecttype="rect"/>
                    </v:shapetype>
                    <v:shape id="Text Box 4" o:spid="_x0000_s1026" type="#_x0000_t202" style="position:absolute;margin-left:-79.65pt;margin-top:18.4pt;width:123.45pt;height:22pt;rotation:-90;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" filled="f" stroked="f" strokeweight=".5pt">
                      <v:textbox>
                        <w:txbxContent>
                          <w:p w:rsidR="003F1336" w:rsidRPr="003F1336" w:rsidRDefault="003F1336" w:rsidP="003F1336">
                            <w:pPr>
                              <w:jc w:val="center"/>
                              <w:rPr>
                                <w:b/>
                                <w:sz w:val="28"/>
                              </w:rPr>
                            </w:pPr>
                            <w:r w:rsidRPr="003F1336">
                              <w:rPr>
                                <w:b/>
                                <w:sz w:val="28"/>
                              </w:rPr>
                              <w:t>No.</w:t>
                            </w:r>
                          </w:p>
                        </w:txbxContent>
                      </v:textbox>
                    </v:shape>
                  </w:pict>
                </mc:Fallback>
              </mc:AlternateContent>
            </w:r>
            <w:r w:rsidR="00646A03" w:rsidRPr="002B202A">
              <w:rPr>
                <w:b/>
                <w:sz w:val="28"/>
              </w:rPr>
              <w:t>Location</w:t>
            </w:r>
          </w:p>
        </w:tc>
        <w:tc>
          <w:tcPr>
            <w:tcW w:w="3119" w:type="dxa"/>
            <w:gridSpan w:val="2"/>
          </w:tcPr>
          <w:p w:rsidR="00646A03" w:rsidRPr="002B202A" w:rsidRDefault="0039209C" w:rsidP="00646A03">
            <w:pPr>
              <w:rPr>
                <w:b/>
                <w:sz w:val="28"/>
              </w:rPr>
            </w:pPr>
            <w:r>
              <w:rPr>
                <w:b/>
                <w:noProof/>
                <w:sz w:val="28"/>
                <w:lang w:eastAsia="en-GB"/>
              </w:rPr>
              <mc:AlternateContent>
                <mc:Choice Requires="wps">
                  <w:drawing>
                    <wp:anchor distT="0" distB="0" distL="114300" distR="114300" simplePos="0" relativeHeight="251659264" behindDoc="0" locked="0" layoutInCell="1" allowOverlap="1" wp14:anchorId="3ACB39A0" wp14:editId="216E7B54">
                      <wp:simplePos x="0" y="0"/>
                      <wp:positionH relativeFrom="column">
                        <wp:posOffset>1237832</wp:posOffset>
                      </wp:positionH>
                      <wp:positionV relativeFrom="paragraph">
                        <wp:posOffset>553403</wp:posOffset>
                      </wp:positionV>
                      <wp:extent cx="1904365" cy="521020"/>
                      <wp:effectExtent l="0" t="0" r="6667" b="0"/>
                      <wp:wrapNone/>
                      <wp:docPr id="1" name="Text Box 1"/>
                      <wp:cNvGraphicFramePr/>
                      <a:graphic xmlns:a="http://schemas.openxmlformats.org/drawingml/2006/main">
                        <a:graphicData uri="http://schemas.microsoft.com/office/word/2010/wordprocessingShape">
                          <wps:wsp>
                            <wps:cNvSpPr txBox="1"/>
                            <wps:spPr>
                              <a:xfrm rot="16200000">
                                <a:off x="0" y="0"/>
                                <a:ext cx="1904365" cy="5210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C316B" w:rsidRPr="009C316B" w:rsidRDefault="009C316B" w:rsidP="009C316B">
                                  <w:pPr>
                                    <w:pStyle w:val="NoSpacing"/>
                                    <w:jc w:val="center"/>
                                    <w:rPr>
                                      <w:b/>
                                      <w:sz w:val="28"/>
                                    </w:rPr>
                                  </w:pPr>
                                  <w:r w:rsidRPr="009C316B">
                                    <w:rPr>
                                      <w:b/>
                                      <w:sz w:val="28"/>
                                    </w:rPr>
                                    <w:t>Initial Risk</w:t>
                                  </w:r>
                                </w:p>
                                <w:p w:rsidR="009C316B" w:rsidRPr="009C316B" w:rsidRDefault="009C316B" w:rsidP="009C316B">
                                  <w:pPr>
                                    <w:pStyle w:val="NoSpacing"/>
                                    <w:jc w:val="center"/>
                                    <w:rPr>
                                      <w:b/>
                                      <w:sz w:val="28"/>
                                    </w:rPr>
                                  </w:pPr>
                                  <w:r w:rsidRPr="009C316B">
                                    <w:rPr>
                                      <w:b/>
                                      <w:sz w:val="28"/>
                                    </w:rPr>
                                    <w:t xml:space="preserve">(Likelihood; </w:t>
                                  </w:r>
                                  <w:r w:rsidRPr="009C316B">
                                    <w:rPr>
                                      <w:sz w:val="28"/>
                                    </w:rPr>
                                    <w:t>Severity</w:t>
                                  </w:r>
                                  <w:r w:rsidRPr="009C316B">
                                    <w:rPr>
                                      <w:b/>
                                      <w:sz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CB39A0" id="Text Box 1" o:spid="_x0000_s1027" type="#_x0000_t202" style="position:absolute;margin-left:97.45pt;margin-top:43.6pt;width:149.95pt;height:41.05pt;rotation:-9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" filled="f" stroked="f" strokeweight=".5pt">
                      <v:textbox>
                        <w:txbxContent>
                          <w:p w:rsidR="009C316B" w:rsidRPr="009C316B" w:rsidRDefault="009C316B" w:rsidP="009C316B">
                            <w:pPr>
                              <w:pStyle w:val="NoSpacing"/>
                              <w:jc w:val="center"/>
                              <w:rPr>
                                <w:b/>
                                <w:sz w:val="28"/>
                              </w:rPr>
                            </w:pPr>
                            <w:r w:rsidRPr="009C316B">
                              <w:rPr>
                                <w:b/>
                                <w:sz w:val="28"/>
                              </w:rPr>
                              <w:t>Initial Risk</w:t>
                            </w:r>
                          </w:p>
                          <w:p w:rsidR="009C316B" w:rsidRPr="009C316B" w:rsidRDefault="009C316B" w:rsidP="009C316B">
                            <w:pPr>
                              <w:pStyle w:val="NoSpacing"/>
                              <w:jc w:val="center"/>
                              <w:rPr>
                                <w:b/>
                                <w:sz w:val="28"/>
                              </w:rPr>
                            </w:pPr>
                            <w:r w:rsidRPr="009C316B">
                              <w:rPr>
                                <w:b/>
                                <w:sz w:val="28"/>
                              </w:rPr>
                              <w:t xml:space="preserve">(Likelihood; </w:t>
                            </w:r>
                            <w:r w:rsidRPr="009C316B">
                              <w:rPr>
                                <w:sz w:val="28"/>
                              </w:rPr>
                              <w:t>Severity</w:t>
                            </w:r>
                            <w:r w:rsidRPr="009C316B">
                              <w:rPr>
                                <w:b/>
                                <w:sz w:val="28"/>
                              </w:rPr>
                              <w:t>)</w:t>
                            </w:r>
                          </w:p>
                        </w:txbxContent>
                      </v:textbox>
                    </v:shape>
                  </w:pict>
                </mc:Fallback>
              </mc:AlternateContent>
            </w:r>
            <w:r w:rsidR="00646A03" w:rsidRPr="002B202A">
              <w:rPr>
                <w:b/>
                <w:sz w:val="28"/>
              </w:rPr>
              <w:t xml:space="preserve">Hazard Description &amp; </w:t>
            </w:r>
            <w:r w:rsidR="00646A03" w:rsidRPr="008309FB">
              <w:rPr>
                <w:sz w:val="28"/>
              </w:rPr>
              <w:t>Potential Consequences</w:t>
            </w:r>
          </w:p>
        </w:tc>
        <w:tc>
          <w:tcPr>
            <w:tcW w:w="850" w:type="dxa"/>
          </w:tcPr>
          <w:p w:rsidR="00646A03" w:rsidRPr="002B202A" w:rsidRDefault="00646A03" w:rsidP="00646A03">
            <w:pPr>
              <w:rPr>
                <w:b/>
                <w:sz w:val="28"/>
              </w:rPr>
            </w:pPr>
          </w:p>
        </w:tc>
        <w:tc>
          <w:tcPr>
            <w:tcW w:w="4536" w:type="dxa"/>
          </w:tcPr>
          <w:p w:rsidR="00646A03" w:rsidRPr="002B202A" w:rsidRDefault="0039209C" w:rsidP="00646A03">
            <w:pPr>
              <w:rPr>
                <w:b/>
                <w:sz w:val="28"/>
              </w:rPr>
            </w:pPr>
            <w:r>
              <w:rPr>
                <w:b/>
                <w:noProof/>
                <w:sz w:val="28"/>
                <w:lang w:eastAsia="en-GB"/>
              </w:rPr>
              <mc:AlternateContent>
                <mc:Choice Requires="wps">
                  <w:drawing>
                    <wp:anchor distT="0" distB="0" distL="114300" distR="114300" simplePos="0" relativeHeight="251661312" behindDoc="0" locked="0" layoutInCell="1" allowOverlap="1" wp14:anchorId="267E14F1" wp14:editId="4DF629B5">
                      <wp:simplePos x="0" y="0"/>
                      <wp:positionH relativeFrom="column">
                        <wp:posOffset>2154756</wp:posOffset>
                      </wp:positionH>
                      <wp:positionV relativeFrom="paragraph">
                        <wp:posOffset>568325</wp:posOffset>
                      </wp:positionV>
                      <wp:extent cx="1761490" cy="492760"/>
                      <wp:effectExtent l="5715" t="0" r="0" b="0"/>
                      <wp:wrapNone/>
                      <wp:docPr id="3" name="Text Box 3"/>
                      <wp:cNvGraphicFramePr/>
                      <a:graphic xmlns:a="http://schemas.openxmlformats.org/drawingml/2006/main">
                        <a:graphicData uri="http://schemas.microsoft.com/office/word/2010/wordprocessingShape">
                          <wps:wsp>
                            <wps:cNvSpPr txBox="1"/>
                            <wps:spPr>
                              <a:xfrm rot="16200000">
                                <a:off x="0" y="0"/>
                                <a:ext cx="1761490" cy="492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C316B" w:rsidRPr="009C316B" w:rsidRDefault="009C316B" w:rsidP="009C316B">
                                  <w:pPr>
                                    <w:pStyle w:val="NoSpacing"/>
                                    <w:jc w:val="center"/>
                                    <w:rPr>
                                      <w:b/>
                                      <w:sz w:val="28"/>
                                    </w:rPr>
                                  </w:pPr>
                                  <w:r>
                                    <w:rPr>
                                      <w:b/>
                                      <w:sz w:val="28"/>
                                    </w:rPr>
                                    <w:t>Residual</w:t>
                                  </w:r>
                                  <w:r w:rsidRPr="009C316B">
                                    <w:rPr>
                                      <w:b/>
                                      <w:sz w:val="28"/>
                                    </w:rPr>
                                    <w:t xml:space="preserve"> Risk</w:t>
                                  </w:r>
                                </w:p>
                                <w:p w:rsidR="009C316B" w:rsidRPr="009C316B" w:rsidRDefault="009C316B" w:rsidP="009C316B">
                                  <w:pPr>
                                    <w:pStyle w:val="NoSpacing"/>
                                    <w:jc w:val="center"/>
                                    <w:rPr>
                                      <w:b/>
                                      <w:sz w:val="28"/>
                                    </w:rPr>
                                  </w:pPr>
                                  <w:r w:rsidRPr="009C316B">
                                    <w:rPr>
                                      <w:b/>
                                      <w:sz w:val="28"/>
                                    </w:rPr>
                                    <w:t xml:space="preserve">(Likelihood; </w:t>
                                  </w:r>
                                  <w:r w:rsidRPr="009C316B">
                                    <w:rPr>
                                      <w:sz w:val="28"/>
                                    </w:rPr>
                                    <w:t>Severity</w:t>
                                  </w:r>
                                  <w:r w:rsidRPr="009C316B">
                                    <w:rPr>
                                      <w:b/>
                                      <w:sz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7E14F1" id="Text Box 3" o:spid="_x0000_s1028" type="#_x0000_t202" style="position:absolute;margin-left:169.65pt;margin-top:44.75pt;width:138.7pt;height:38.8pt;rotation:-9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" filled="f" stroked="f" strokeweight=".5pt">
                      <v:textbox>
                        <w:txbxContent>
                          <w:p w:rsidR="009C316B" w:rsidRPr="009C316B" w:rsidRDefault="009C316B" w:rsidP="009C316B">
                            <w:pPr>
                              <w:pStyle w:val="NoSpacing"/>
                              <w:jc w:val="center"/>
                              <w:rPr>
                                <w:b/>
                                <w:sz w:val="28"/>
                              </w:rPr>
                            </w:pPr>
                            <w:r>
                              <w:rPr>
                                <w:b/>
                                <w:sz w:val="28"/>
                              </w:rPr>
                              <w:t>Residual</w:t>
                            </w:r>
                            <w:r w:rsidRPr="009C316B">
                              <w:rPr>
                                <w:b/>
                                <w:sz w:val="28"/>
                              </w:rPr>
                              <w:t xml:space="preserve"> Risk</w:t>
                            </w:r>
                          </w:p>
                          <w:p w:rsidR="009C316B" w:rsidRPr="009C316B" w:rsidRDefault="009C316B" w:rsidP="009C316B">
                            <w:pPr>
                              <w:pStyle w:val="NoSpacing"/>
                              <w:jc w:val="center"/>
                              <w:rPr>
                                <w:b/>
                                <w:sz w:val="28"/>
                              </w:rPr>
                            </w:pPr>
                            <w:r w:rsidRPr="009C316B">
                              <w:rPr>
                                <w:b/>
                                <w:sz w:val="28"/>
                              </w:rPr>
                              <w:t xml:space="preserve">(Likelihood; </w:t>
                            </w:r>
                            <w:r w:rsidRPr="009C316B">
                              <w:rPr>
                                <w:sz w:val="28"/>
                              </w:rPr>
                              <w:t>Severity</w:t>
                            </w:r>
                            <w:r w:rsidRPr="009C316B">
                              <w:rPr>
                                <w:b/>
                                <w:sz w:val="28"/>
                              </w:rPr>
                              <w:t>)</w:t>
                            </w:r>
                          </w:p>
                        </w:txbxContent>
                      </v:textbox>
                    </v:shape>
                  </w:pict>
                </mc:Fallback>
              </mc:AlternateContent>
            </w:r>
            <w:r w:rsidR="00646A03" w:rsidRPr="002B202A">
              <w:rPr>
                <w:b/>
                <w:sz w:val="28"/>
              </w:rPr>
              <w:t>Mitigations &amp; Controls</w:t>
            </w:r>
          </w:p>
        </w:tc>
        <w:tc>
          <w:tcPr>
            <w:tcW w:w="799" w:type="dxa"/>
          </w:tcPr>
          <w:p w:rsidR="00646A03" w:rsidRPr="002B202A" w:rsidRDefault="00646A03" w:rsidP="00646A03">
            <w:pPr>
              <w:rPr>
                <w:b/>
                <w:sz w:val="28"/>
              </w:rPr>
            </w:pPr>
          </w:p>
        </w:tc>
      </w:tr>
      <w:tr w:rsidR="00646A03" w:rsidTr="009B78F3">
        <w:trPr>
          <w:trHeight w:val="1951"/>
        </w:trPr>
        <w:tc>
          <w:tcPr>
            <w:tcW w:w="421" w:type="dxa"/>
          </w:tcPr>
          <w:p w:rsidR="00646A03" w:rsidRPr="00C07B16" w:rsidRDefault="00646A03" w:rsidP="00646A03">
            <w:pPr>
              <w:rPr>
                <w:sz w:val="24"/>
                <w:szCs w:val="24"/>
              </w:rPr>
            </w:pPr>
            <w:r w:rsidRPr="00C07B16">
              <w:rPr>
                <w:sz w:val="24"/>
                <w:szCs w:val="24"/>
              </w:rPr>
              <w:t>1</w:t>
            </w:r>
          </w:p>
        </w:tc>
        <w:tc>
          <w:tcPr>
            <w:tcW w:w="1275" w:type="dxa"/>
          </w:tcPr>
          <w:p w:rsidR="00646A03" w:rsidRPr="00C07B16" w:rsidRDefault="00646A03" w:rsidP="00646A03">
            <w:pPr>
              <w:rPr>
                <w:sz w:val="24"/>
                <w:szCs w:val="24"/>
              </w:rPr>
            </w:pPr>
            <w:r w:rsidRPr="00C07B16">
              <w:rPr>
                <w:sz w:val="24"/>
                <w:szCs w:val="24"/>
              </w:rPr>
              <w:t>1-5, all locations</w:t>
            </w:r>
          </w:p>
        </w:tc>
        <w:tc>
          <w:tcPr>
            <w:tcW w:w="3119" w:type="dxa"/>
            <w:gridSpan w:val="2"/>
          </w:tcPr>
          <w:p w:rsidR="00646A03" w:rsidRPr="00C07B16" w:rsidRDefault="0039209C" w:rsidP="00646A03">
            <w:pPr>
              <w:rPr>
                <w:b/>
                <w:sz w:val="24"/>
                <w:szCs w:val="24"/>
              </w:rPr>
            </w:pPr>
            <w:r w:rsidRPr="00C07B16">
              <w:rPr>
                <w:b/>
                <w:sz w:val="24"/>
                <w:szCs w:val="24"/>
              </w:rPr>
              <w:t xml:space="preserve">Erroneous voltage </w:t>
            </w:r>
            <w:r w:rsidR="008C7F19" w:rsidRPr="00C07B16">
              <w:rPr>
                <w:sz w:val="24"/>
                <w:szCs w:val="24"/>
              </w:rPr>
              <w:t>leading to inadvertent</w:t>
            </w:r>
            <w:r w:rsidR="00646A03" w:rsidRPr="00C07B16">
              <w:rPr>
                <w:sz w:val="24"/>
                <w:szCs w:val="24"/>
              </w:rPr>
              <w:t xml:space="preserve"> initiation</w:t>
            </w:r>
            <w:r w:rsidR="008C7F19" w:rsidRPr="00C07B16">
              <w:rPr>
                <w:sz w:val="24"/>
                <w:szCs w:val="24"/>
              </w:rPr>
              <w:t xml:space="preserve"> and causing</w:t>
            </w:r>
            <w:r w:rsidR="00646A03" w:rsidRPr="00C07B16">
              <w:rPr>
                <w:sz w:val="24"/>
                <w:szCs w:val="24"/>
              </w:rPr>
              <w:t xml:space="preserve"> high-order event</w:t>
            </w:r>
            <w:r w:rsidR="008309FB" w:rsidRPr="00C07B16">
              <w:rPr>
                <w:sz w:val="24"/>
                <w:szCs w:val="24"/>
              </w:rPr>
              <w:t>.</w:t>
            </w:r>
          </w:p>
          <w:p w:rsidR="00646A03" w:rsidRPr="00C07B16" w:rsidRDefault="00646A03" w:rsidP="008309FB">
            <w:pPr>
              <w:rPr>
                <w:sz w:val="24"/>
                <w:szCs w:val="24"/>
              </w:rPr>
            </w:pPr>
            <w:r w:rsidRPr="00C07B16">
              <w:rPr>
                <w:sz w:val="24"/>
                <w:szCs w:val="24"/>
              </w:rPr>
              <w:t xml:space="preserve">Damage to surrounding facilities, high chance of severe injury and death </w:t>
            </w:r>
            <w:r w:rsidR="008309FB" w:rsidRPr="00C07B16">
              <w:rPr>
                <w:sz w:val="24"/>
                <w:szCs w:val="24"/>
              </w:rPr>
              <w:t>of</w:t>
            </w:r>
            <w:r w:rsidRPr="00C07B16">
              <w:rPr>
                <w:sz w:val="24"/>
                <w:szCs w:val="24"/>
              </w:rPr>
              <w:t xml:space="preserve"> operators</w:t>
            </w:r>
            <w:r w:rsidR="008309FB" w:rsidRPr="00C07B16">
              <w:rPr>
                <w:sz w:val="24"/>
                <w:szCs w:val="24"/>
              </w:rPr>
              <w:t>.</w:t>
            </w:r>
          </w:p>
        </w:tc>
        <w:tc>
          <w:tcPr>
            <w:tcW w:w="850" w:type="dxa"/>
          </w:tcPr>
          <w:p w:rsidR="00646A03" w:rsidRDefault="00130715" w:rsidP="00646A03">
            <w:pPr>
              <w:rPr>
                <w:b/>
                <w:sz w:val="24"/>
                <w:szCs w:val="24"/>
              </w:rPr>
            </w:pPr>
            <w:r>
              <w:rPr>
                <w:b/>
                <w:sz w:val="24"/>
                <w:szCs w:val="24"/>
              </w:rPr>
              <w:t>OCC</w:t>
            </w:r>
          </w:p>
          <w:p w:rsidR="00130715" w:rsidRPr="00130715" w:rsidRDefault="00130715" w:rsidP="00646A03">
            <w:pPr>
              <w:rPr>
                <w:sz w:val="24"/>
                <w:szCs w:val="24"/>
              </w:rPr>
            </w:pPr>
            <w:r>
              <w:rPr>
                <w:sz w:val="24"/>
                <w:szCs w:val="24"/>
              </w:rPr>
              <w:t>Cat</w:t>
            </w:r>
          </w:p>
        </w:tc>
        <w:tc>
          <w:tcPr>
            <w:tcW w:w="4536" w:type="dxa"/>
          </w:tcPr>
          <w:p w:rsidR="009C316B" w:rsidRPr="00C07B16" w:rsidRDefault="009C316B" w:rsidP="00646A03">
            <w:pPr>
              <w:rPr>
                <w:sz w:val="24"/>
                <w:szCs w:val="24"/>
              </w:rPr>
            </w:pPr>
            <w:r w:rsidRPr="00C07B16">
              <w:rPr>
                <w:sz w:val="24"/>
                <w:szCs w:val="24"/>
              </w:rPr>
              <w:t xml:space="preserve">Munition to be designed using ‘safe by design’ protocols, combined firing signals </w:t>
            </w:r>
            <w:r w:rsidR="00C07B16">
              <w:rPr>
                <w:sz w:val="24"/>
                <w:szCs w:val="24"/>
              </w:rPr>
              <w:t xml:space="preserve">(to reduce risk of inadvertent initiation through single erroneous voltages) </w:t>
            </w:r>
            <w:r w:rsidRPr="00C07B16">
              <w:rPr>
                <w:sz w:val="24"/>
                <w:szCs w:val="24"/>
              </w:rPr>
              <w:t>and high-voltage EEDs (such as EBW or slapper detonators) to prevent erroneous voltage leading to initiation</w:t>
            </w:r>
            <w:r w:rsidR="0039209C" w:rsidRPr="00C07B16">
              <w:rPr>
                <w:sz w:val="24"/>
                <w:szCs w:val="24"/>
              </w:rPr>
              <w:t>.</w:t>
            </w:r>
          </w:p>
        </w:tc>
        <w:tc>
          <w:tcPr>
            <w:tcW w:w="799" w:type="dxa"/>
          </w:tcPr>
          <w:p w:rsidR="00646A03" w:rsidRDefault="00130715" w:rsidP="00646A03">
            <w:pPr>
              <w:rPr>
                <w:b/>
                <w:sz w:val="24"/>
                <w:szCs w:val="24"/>
              </w:rPr>
            </w:pPr>
            <w:r>
              <w:rPr>
                <w:b/>
                <w:sz w:val="24"/>
                <w:szCs w:val="24"/>
              </w:rPr>
              <w:t>IMP</w:t>
            </w:r>
          </w:p>
          <w:p w:rsidR="00130715" w:rsidRPr="00130715" w:rsidRDefault="00130715" w:rsidP="00646A03">
            <w:pPr>
              <w:rPr>
                <w:sz w:val="24"/>
                <w:szCs w:val="24"/>
              </w:rPr>
            </w:pPr>
            <w:r>
              <w:rPr>
                <w:sz w:val="24"/>
                <w:szCs w:val="24"/>
              </w:rPr>
              <w:t>Cat</w:t>
            </w:r>
          </w:p>
        </w:tc>
      </w:tr>
      <w:tr w:rsidR="0039209C" w:rsidTr="009B78F3">
        <w:trPr>
          <w:trHeight w:val="1951"/>
        </w:trPr>
        <w:tc>
          <w:tcPr>
            <w:tcW w:w="421" w:type="dxa"/>
          </w:tcPr>
          <w:p w:rsidR="0039209C" w:rsidRPr="00C07B16" w:rsidRDefault="006B34E4" w:rsidP="00646A03">
            <w:pPr>
              <w:rPr>
                <w:sz w:val="24"/>
                <w:szCs w:val="24"/>
              </w:rPr>
            </w:pPr>
            <w:r>
              <w:rPr>
                <w:sz w:val="24"/>
                <w:szCs w:val="24"/>
              </w:rPr>
              <w:t>2</w:t>
            </w:r>
          </w:p>
        </w:tc>
        <w:tc>
          <w:tcPr>
            <w:tcW w:w="1275" w:type="dxa"/>
          </w:tcPr>
          <w:p w:rsidR="0039209C" w:rsidRPr="00C07B16" w:rsidRDefault="006B34E4" w:rsidP="00646A03">
            <w:pPr>
              <w:rPr>
                <w:sz w:val="24"/>
                <w:szCs w:val="24"/>
              </w:rPr>
            </w:pPr>
            <w:r>
              <w:rPr>
                <w:sz w:val="24"/>
                <w:szCs w:val="24"/>
              </w:rPr>
              <w:t>1-5, all locations</w:t>
            </w:r>
          </w:p>
        </w:tc>
        <w:tc>
          <w:tcPr>
            <w:tcW w:w="3119" w:type="dxa"/>
            <w:gridSpan w:val="2"/>
          </w:tcPr>
          <w:p w:rsidR="0039209C" w:rsidRPr="00C07B16" w:rsidRDefault="0039209C" w:rsidP="00646A03">
            <w:pPr>
              <w:rPr>
                <w:sz w:val="24"/>
                <w:szCs w:val="24"/>
              </w:rPr>
            </w:pPr>
            <w:r w:rsidRPr="00C07B16">
              <w:rPr>
                <w:b/>
                <w:sz w:val="24"/>
                <w:szCs w:val="24"/>
              </w:rPr>
              <w:t xml:space="preserve">Electromagnetic Fields </w:t>
            </w:r>
            <w:r w:rsidRPr="00C07B16">
              <w:rPr>
                <w:sz w:val="24"/>
                <w:szCs w:val="24"/>
              </w:rPr>
              <w:t>leading to initiation</w:t>
            </w:r>
            <w:r w:rsidR="00D44BF6" w:rsidRPr="00C07B16">
              <w:rPr>
                <w:sz w:val="24"/>
                <w:szCs w:val="24"/>
              </w:rPr>
              <w:t xml:space="preserve"> of EED</w:t>
            </w:r>
            <w:r w:rsidRPr="00C07B16">
              <w:rPr>
                <w:sz w:val="24"/>
                <w:szCs w:val="24"/>
              </w:rPr>
              <w:t xml:space="preserve">s </w:t>
            </w:r>
            <w:r w:rsidR="00D44BF6" w:rsidRPr="00C07B16">
              <w:rPr>
                <w:sz w:val="24"/>
                <w:szCs w:val="24"/>
              </w:rPr>
              <w:t xml:space="preserve">(electro-explosive devices) </w:t>
            </w:r>
            <w:r w:rsidRPr="00C07B16">
              <w:rPr>
                <w:sz w:val="24"/>
                <w:szCs w:val="24"/>
              </w:rPr>
              <w:t>in munition</w:t>
            </w:r>
            <w:r w:rsidR="00D44BF6" w:rsidRPr="00C07B16">
              <w:rPr>
                <w:sz w:val="24"/>
                <w:szCs w:val="24"/>
              </w:rPr>
              <w:t>.</w:t>
            </w:r>
          </w:p>
        </w:tc>
        <w:tc>
          <w:tcPr>
            <w:tcW w:w="850" w:type="dxa"/>
          </w:tcPr>
          <w:p w:rsidR="0039209C" w:rsidRDefault="00582227" w:rsidP="00646A03">
            <w:pPr>
              <w:rPr>
                <w:b/>
                <w:sz w:val="24"/>
                <w:szCs w:val="24"/>
              </w:rPr>
            </w:pPr>
            <w:r>
              <w:rPr>
                <w:b/>
                <w:sz w:val="24"/>
                <w:szCs w:val="24"/>
              </w:rPr>
              <w:t>OCC</w:t>
            </w:r>
          </w:p>
          <w:p w:rsidR="00582227" w:rsidRPr="00582227" w:rsidRDefault="00582227" w:rsidP="00646A03">
            <w:pPr>
              <w:rPr>
                <w:sz w:val="24"/>
                <w:szCs w:val="24"/>
              </w:rPr>
            </w:pPr>
            <w:r>
              <w:rPr>
                <w:sz w:val="24"/>
                <w:szCs w:val="24"/>
              </w:rPr>
              <w:t>Cat</w:t>
            </w:r>
          </w:p>
        </w:tc>
        <w:tc>
          <w:tcPr>
            <w:tcW w:w="4536" w:type="dxa"/>
          </w:tcPr>
          <w:p w:rsidR="0039209C" w:rsidRPr="00C07B16" w:rsidRDefault="0039209C" w:rsidP="002341F6">
            <w:pPr>
              <w:rPr>
                <w:sz w:val="24"/>
                <w:szCs w:val="24"/>
              </w:rPr>
            </w:pPr>
            <w:r w:rsidRPr="00C07B16">
              <w:rPr>
                <w:sz w:val="24"/>
                <w:szCs w:val="24"/>
              </w:rPr>
              <w:t xml:space="preserve">Testing and characterisation of </w:t>
            </w:r>
            <w:r w:rsidR="00D44BF6" w:rsidRPr="00C07B16">
              <w:rPr>
                <w:sz w:val="24"/>
                <w:szCs w:val="24"/>
              </w:rPr>
              <w:t>EEDs to ascertain susceptibility to initiation from EMF. Position of equipment on-board ship to reduce likelihood of exposure to EMF.</w:t>
            </w:r>
            <w:r w:rsidR="008C03E6" w:rsidRPr="00C07B16">
              <w:rPr>
                <w:sz w:val="24"/>
                <w:szCs w:val="24"/>
              </w:rPr>
              <w:t xml:space="preserve"> </w:t>
            </w:r>
            <w:r w:rsidR="002341F6" w:rsidRPr="00C07B16">
              <w:rPr>
                <w:sz w:val="24"/>
                <w:szCs w:val="24"/>
              </w:rPr>
              <w:t>Characterisation of EEDs for suitability to required environments in storage and on deck.</w:t>
            </w:r>
          </w:p>
        </w:tc>
        <w:tc>
          <w:tcPr>
            <w:tcW w:w="799" w:type="dxa"/>
          </w:tcPr>
          <w:p w:rsidR="0039209C" w:rsidRDefault="00582227" w:rsidP="00646A03">
            <w:pPr>
              <w:rPr>
                <w:b/>
                <w:sz w:val="24"/>
                <w:szCs w:val="24"/>
              </w:rPr>
            </w:pPr>
            <w:r>
              <w:rPr>
                <w:b/>
                <w:sz w:val="24"/>
                <w:szCs w:val="24"/>
              </w:rPr>
              <w:t>IMP</w:t>
            </w:r>
          </w:p>
          <w:p w:rsidR="00582227" w:rsidRPr="00582227" w:rsidRDefault="00582227" w:rsidP="00646A03">
            <w:pPr>
              <w:rPr>
                <w:sz w:val="24"/>
                <w:szCs w:val="24"/>
              </w:rPr>
            </w:pPr>
            <w:r>
              <w:rPr>
                <w:sz w:val="24"/>
                <w:szCs w:val="24"/>
              </w:rPr>
              <w:t>Cat</w:t>
            </w:r>
          </w:p>
        </w:tc>
      </w:tr>
      <w:tr w:rsidR="00646A03" w:rsidTr="00C01B91">
        <w:trPr>
          <w:trHeight w:val="80"/>
        </w:trPr>
        <w:tc>
          <w:tcPr>
            <w:tcW w:w="421" w:type="dxa"/>
          </w:tcPr>
          <w:p w:rsidR="00646A03" w:rsidRPr="00C07B16" w:rsidRDefault="006B34E4" w:rsidP="00646A03">
            <w:pPr>
              <w:rPr>
                <w:sz w:val="24"/>
                <w:szCs w:val="24"/>
              </w:rPr>
            </w:pPr>
            <w:r>
              <w:rPr>
                <w:sz w:val="24"/>
                <w:szCs w:val="24"/>
              </w:rPr>
              <w:t>3</w:t>
            </w:r>
          </w:p>
        </w:tc>
        <w:tc>
          <w:tcPr>
            <w:tcW w:w="1275" w:type="dxa"/>
          </w:tcPr>
          <w:p w:rsidR="00646A03" w:rsidRPr="00C07B16" w:rsidRDefault="006B34E4" w:rsidP="00646A03">
            <w:pPr>
              <w:rPr>
                <w:sz w:val="24"/>
                <w:szCs w:val="24"/>
              </w:rPr>
            </w:pPr>
            <w:r>
              <w:rPr>
                <w:sz w:val="24"/>
                <w:szCs w:val="24"/>
              </w:rPr>
              <w:t>1-5, all locations</w:t>
            </w:r>
          </w:p>
        </w:tc>
        <w:tc>
          <w:tcPr>
            <w:tcW w:w="3119" w:type="dxa"/>
            <w:gridSpan w:val="2"/>
          </w:tcPr>
          <w:p w:rsidR="00646A03" w:rsidRPr="00C07B16" w:rsidRDefault="008309FB" w:rsidP="00646A03">
            <w:pPr>
              <w:rPr>
                <w:sz w:val="24"/>
                <w:szCs w:val="24"/>
              </w:rPr>
            </w:pPr>
            <w:r w:rsidRPr="00C07B16">
              <w:rPr>
                <w:b/>
                <w:sz w:val="24"/>
                <w:szCs w:val="24"/>
              </w:rPr>
              <w:t>S</w:t>
            </w:r>
            <w:r w:rsidR="008C7F19" w:rsidRPr="00C07B16">
              <w:rPr>
                <w:b/>
                <w:sz w:val="24"/>
                <w:szCs w:val="24"/>
              </w:rPr>
              <w:t>hock</w:t>
            </w:r>
            <w:r w:rsidR="009C316B" w:rsidRPr="00C07B16">
              <w:rPr>
                <w:b/>
                <w:sz w:val="24"/>
                <w:szCs w:val="24"/>
              </w:rPr>
              <w:t>/impact</w:t>
            </w:r>
            <w:r w:rsidR="008C7F19" w:rsidRPr="00C07B16">
              <w:rPr>
                <w:b/>
                <w:sz w:val="24"/>
                <w:szCs w:val="24"/>
              </w:rPr>
              <w:t xml:space="preserve"> or vibration </w:t>
            </w:r>
            <w:r w:rsidR="00625D0A" w:rsidRPr="00C07B16">
              <w:rPr>
                <w:b/>
                <w:sz w:val="24"/>
                <w:szCs w:val="24"/>
              </w:rPr>
              <w:t xml:space="preserve">to munition during loading, in storage or on-deck </w:t>
            </w:r>
            <w:r w:rsidR="008C7F19" w:rsidRPr="00C07B16">
              <w:rPr>
                <w:sz w:val="24"/>
                <w:szCs w:val="24"/>
              </w:rPr>
              <w:t>leading to inadvertent initiation and causing high order event.</w:t>
            </w:r>
            <w:r w:rsidRPr="00C07B16">
              <w:rPr>
                <w:sz w:val="24"/>
                <w:szCs w:val="24"/>
              </w:rPr>
              <w:t xml:space="preserve"> Damage to surrounding facilities, high chance of severe injury and death of operators.</w:t>
            </w:r>
          </w:p>
          <w:p w:rsidR="00AA5FFA" w:rsidRPr="00C07B16" w:rsidRDefault="00AA5FFA" w:rsidP="00646A03">
            <w:pPr>
              <w:rPr>
                <w:sz w:val="24"/>
                <w:szCs w:val="24"/>
              </w:rPr>
            </w:pPr>
          </w:p>
          <w:p w:rsidR="00AA5FFA" w:rsidRPr="00C07B16" w:rsidRDefault="00AA5FFA" w:rsidP="00646A03">
            <w:pPr>
              <w:rPr>
                <w:sz w:val="24"/>
                <w:szCs w:val="24"/>
              </w:rPr>
            </w:pPr>
          </w:p>
          <w:p w:rsidR="00AA5FFA" w:rsidRPr="00C07B16" w:rsidRDefault="00AA5FFA" w:rsidP="00646A03">
            <w:pPr>
              <w:rPr>
                <w:sz w:val="24"/>
                <w:szCs w:val="24"/>
              </w:rPr>
            </w:pPr>
          </w:p>
          <w:p w:rsidR="00AA5FFA" w:rsidRPr="00C07B16" w:rsidRDefault="00AA5FFA" w:rsidP="00646A03">
            <w:pPr>
              <w:rPr>
                <w:sz w:val="24"/>
                <w:szCs w:val="24"/>
              </w:rPr>
            </w:pPr>
          </w:p>
        </w:tc>
        <w:tc>
          <w:tcPr>
            <w:tcW w:w="850" w:type="dxa"/>
          </w:tcPr>
          <w:p w:rsidR="00646A03" w:rsidRDefault="00582227" w:rsidP="00646A03">
            <w:pPr>
              <w:rPr>
                <w:b/>
                <w:sz w:val="24"/>
                <w:szCs w:val="24"/>
              </w:rPr>
            </w:pPr>
            <w:r>
              <w:rPr>
                <w:b/>
                <w:sz w:val="24"/>
                <w:szCs w:val="24"/>
              </w:rPr>
              <w:t>LIK</w:t>
            </w:r>
          </w:p>
          <w:p w:rsidR="00582227" w:rsidRPr="00582227" w:rsidRDefault="00582227" w:rsidP="00646A03">
            <w:pPr>
              <w:rPr>
                <w:sz w:val="24"/>
                <w:szCs w:val="24"/>
              </w:rPr>
            </w:pPr>
            <w:r>
              <w:rPr>
                <w:sz w:val="24"/>
                <w:szCs w:val="24"/>
              </w:rPr>
              <w:t>Cat</w:t>
            </w:r>
          </w:p>
          <w:p w:rsidR="00AA5FFA" w:rsidRPr="00C07B16" w:rsidRDefault="00AA5FFA" w:rsidP="00646A03">
            <w:pPr>
              <w:rPr>
                <w:sz w:val="24"/>
                <w:szCs w:val="24"/>
              </w:rPr>
            </w:pPr>
          </w:p>
          <w:p w:rsidR="00AA5FFA" w:rsidRPr="00C07B16" w:rsidRDefault="00AA5FFA" w:rsidP="00646A03">
            <w:pPr>
              <w:rPr>
                <w:sz w:val="24"/>
                <w:szCs w:val="24"/>
              </w:rPr>
            </w:pPr>
          </w:p>
          <w:p w:rsidR="00AA5FFA" w:rsidRPr="00C07B16" w:rsidRDefault="00AA5FFA" w:rsidP="00646A03">
            <w:pPr>
              <w:rPr>
                <w:sz w:val="24"/>
                <w:szCs w:val="24"/>
              </w:rPr>
            </w:pPr>
          </w:p>
          <w:p w:rsidR="00AA5FFA" w:rsidRPr="00C07B16" w:rsidRDefault="00AA5FFA" w:rsidP="00646A03">
            <w:pPr>
              <w:rPr>
                <w:sz w:val="24"/>
                <w:szCs w:val="24"/>
              </w:rPr>
            </w:pPr>
          </w:p>
          <w:p w:rsidR="00AA5FFA" w:rsidRPr="00C07B16" w:rsidRDefault="00AA5FFA" w:rsidP="00646A03">
            <w:pPr>
              <w:rPr>
                <w:sz w:val="24"/>
                <w:szCs w:val="24"/>
              </w:rPr>
            </w:pPr>
          </w:p>
          <w:p w:rsidR="00AA5FFA" w:rsidRPr="00C07B16" w:rsidRDefault="00AA5FFA" w:rsidP="00646A03">
            <w:pPr>
              <w:rPr>
                <w:sz w:val="24"/>
                <w:szCs w:val="24"/>
              </w:rPr>
            </w:pPr>
          </w:p>
          <w:p w:rsidR="00AA5FFA" w:rsidRPr="00C07B16" w:rsidRDefault="00AA5FFA" w:rsidP="00646A03">
            <w:pPr>
              <w:rPr>
                <w:sz w:val="24"/>
                <w:szCs w:val="24"/>
              </w:rPr>
            </w:pPr>
          </w:p>
          <w:p w:rsidR="00AA5FFA" w:rsidRPr="00C07B16" w:rsidRDefault="00AA5FFA" w:rsidP="00646A03">
            <w:pPr>
              <w:rPr>
                <w:sz w:val="24"/>
                <w:szCs w:val="24"/>
              </w:rPr>
            </w:pPr>
          </w:p>
          <w:p w:rsidR="00AA5FFA" w:rsidRPr="00C07B16" w:rsidRDefault="00AA5FFA" w:rsidP="00646A03">
            <w:pPr>
              <w:rPr>
                <w:sz w:val="24"/>
                <w:szCs w:val="24"/>
              </w:rPr>
            </w:pPr>
          </w:p>
          <w:p w:rsidR="00AA5FFA" w:rsidRPr="00C07B16" w:rsidRDefault="00AA5FFA" w:rsidP="00646A03">
            <w:pPr>
              <w:rPr>
                <w:sz w:val="24"/>
                <w:szCs w:val="24"/>
              </w:rPr>
            </w:pPr>
          </w:p>
          <w:p w:rsidR="00AA5FFA" w:rsidRPr="00C07B16" w:rsidRDefault="00AA5FFA" w:rsidP="00646A03">
            <w:pPr>
              <w:rPr>
                <w:sz w:val="24"/>
                <w:szCs w:val="24"/>
              </w:rPr>
            </w:pPr>
          </w:p>
          <w:p w:rsidR="00AA5FFA" w:rsidRPr="00C07B16" w:rsidRDefault="00AA5FFA" w:rsidP="00646A03">
            <w:pPr>
              <w:rPr>
                <w:sz w:val="24"/>
                <w:szCs w:val="24"/>
              </w:rPr>
            </w:pPr>
          </w:p>
          <w:p w:rsidR="00AA5FFA" w:rsidRPr="00C07B16" w:rsidRDefault="00AA5FFA" w:rsidP="00646A03">
            <w:pPr>
              <w:rPr>
                <w:sz w:val="24"/>
                <w:szCs w:val="24"/>
              </w:rPr>
            </w:pPr>
          </w:p>
          <w:p w:rsidR="00AA5FFA" w:rsidRPr="00C07B16" w:rsidRDefault="00AA5FFA" w:rsidP="00646A03">
            <w:pPr>
              <w:rPr>
                <w:sz w:val="24"/>
                <w:szCs w:val="24"/>
              </w:rPr>
            </w:pPr>
          </w:p>
          <w:p w:rsidR="00AA5FFA" w:rsidRPr="00C07B16" w:rsidRDefault="00AA5FFA" w:rsidP="00646A03">
            <w:pPr>
              <w:rPr>
                <w:sz w:val="24"/>
                <w:szCs w:val="24"/>
              </w:rPr>
            </w:pPr>
          </w:p>
          <w:p w:rsidR="00AA5FFA" w:rsidRPr="00C07B16" w:rsidRDefault="00AA5FFA" w:rsidP="00646A03">
            <w:pPr>
              <w:rPr>
                <w:sz w:val="24"/>
                <w:szCs w:val="24"/>
              </w:rPr>
            </w:pPr>
          </w:p>
          <w:p w:rsidR="00AA5FFA" w:rsidRPr="00C07B16" w:rsidRDefault="00AA5FFA" w:rsidP="00646A03">
            <w:pPr>
              <w:rPr>
                <w:sz w:val="24"/>
                <w:szCs w:val="24"/>
              </w:rPr>
            </w:pPr>
          </w:p>
          <w:p w:rsidR="00AA5FFA" w:rsidRPr="00C07B16" w:rsidRDefault="00AA5FFA" w:rsidP="00646A03">
            <w:pPr>
              <w:rPr>
                <w:sz w:val="24"/>
                <w:szCs w:val="24"/>
              </w:rPr>
            </w:pPr>
          </w:p>
          <w:p w:rsidR="00AA5FFA" w:rsidRPr="00C07B16" w:rsidRDefault="00AA5FFA" w:rsidP="00646A03">
            <w:pPr>
              <w:rPr>
                <w:sz w:val="24"/>
                <w:szCs w:val="24"/>
              </w:rPr>
            </w:pPr>
          </w:p>
        </w:tc>
        <w:tc>
          <w:tcPr>
            <w:tcW w:w="4536" w:type="dxa"/>
          </w:tcPr>
          <w:p w:rsidR="00203F1D" w:rsidRDefault="00203F1D" w:rsidP="00C01B91">
            <w:pPr>
              <w:rPr>
                <w:sz w:val="24"/>
                <w:szCs w:val="24"/>
              </w:rPr>
            </w:pPr>
            <w:r>
              <w:rPr>
                <w:sz w:val="24"/>
                <w:szCs w:val="24"/>
              </w:rPr>
              <w:lastRenderedPageBreak/>
              <w:t xml:space="preserve">Part 1: </w:t>
            </w:r>
            <w:r w:rsidR="0039209C" w:rsidRPr="00C07B16">
              <w:rPr>
                <w:sz w:val="24"/>
                <w:szCs w:val="24"/>
              </w:rPr>
              <w:t>Munition</w:t>
            </w:r>
            <w:r w:rsidR="008309FB" w:rsidRPr="00C07B16">
              <w:rPr>
                <w:sz w:val="24"/>
                <w:szCs w:val="24"/>
              </w:rPr>
              <w:t xml:space="preserve"> only lifted using appropriate and certified apparatus</w:t>
            </w:r>
            <w:r w:rsidR="00625D0A" w:rsidRPr="00C07B16">
              <w:rPr>
                <w:sz w:val="24"/>
                <w:szCs w:val="24"/>
              </w:rPr>
              <w:t xml:space="preserve"> during loading phase and any movements around the ship environment. </w:t>
            </w:r>
            <w:r w:rsidR="00070217">
              <w:rPr>
                <w:sz w:val="24"/>
                <w:szCs w:val="24"/>
              </w:rPr>
              <w:t xml:space="preserve">Lifting equipment to be maintained according to Safe use of lifting equipment: Approved Code of Practice &amp; LOLER Regulations. </w:t>
            </w:r>
            <w:r w:rsidR="00625D0A" w:rsidRPr="00C07B16">
              <w:rPr>
                <w:sz w:val="24"/>
                <w:szCs w:val="24"/>
              </w:rPr>
              <w:t>Munition sec</w:t>
            </w:r>
            <w:r w:rsidR="008309FB" w:rsidRPr="00C07B16">
              <w:rPr>
                <w:sz w:val="24"/>
                <w:szCs w:val="24"/>
              </w:rPr>
              <w:t>ured to withstand movement from pitch and roll of the ship, both in storage and when on-deck/launcher</w:t>
            </w:r>
            <w:r w:rsidR="00625D0A" w:rsidRPr="00C07B16">
              <w:rPr>
                <w:sz w:val="24"/>
                <w:szCs w:val="24"/>
              </w:rPr>
              <w:t>.</w:t>
            </w:r>
            <w:r w:rsidR="00C01B91">
              <w:rPr>
                <w:sz w:val="24"/>
                <w:szCs w:val="24"/>
              </w:rPr>
              <w:t xml:space="preserve"> </w:t>
            </w:r>
          </w:p>
          <w:p w:rsidR="00C07B16" w:rsidRPr="00C01B91" w:rsidRDefault="00203F1D" w:rsidP="00C01B91">
            <w:pPr>
              <w:rPr>
                <w:sz w:val="24"/>
                <w:szCs w:val="24"/>
              </w:rPr>
            </w:pPr>
            <w:r>
              <w:rPr>
                <w:sz w:val="24"/>
                <w:szCs w:val="24"/>
              </w:rPr>
              <w:t xml:space="preserve">Part 2: </w:t>
            </w:r>
            <w:r w:rsidR="008309FB" w:rsidRPr="00C07B16">
              <w:rPr>
                <w:sz w:val="24"/>
                <w:szCs w:val="24"/>
              </w:rPr>
              <w:t xml:space="preserve">Munition designed with liner capable of </w:t>
            </w:r>
            <w:r w:rsidR="009C316B" w:rsidRPr="00C07B16">
              <w:rPr>
                <w:sz w:val="24"/>
                <w:szCs w:val="24"/>
              </w:rPr>
              <w:t>absorbing an appropriate level of vibration and shock/impact</w:t>
            </w:r>
            <w:r w:rsidR="00C01B91">
              <w:rPr>
                <w:sz w:val="24"/>
                <w:szCs w:val="24"/>
              </w:rPr>
              <w:t>.</w:t>
            </w:r>
            <w:r>
              <w:rPr>
                <w:sz w:val="24"/>
                <w:szCs w:val="24"/>
              </w:rPr>
              <w:t xml:space="preserve"> </w:t>
            </w:r>
            <w:r w:rsidR="009C316B" w:rsidRPr="00C07B16">
              <w:rPr>
                <w:sz w:val="24"/>
                <w:szCs w:val="24"/>
              </w:rPr>
              <w:t>Munition designed to use an explosive fill with relatively high insensitivity to vibration and impact</w:t>
            </w:r>
            <w:r w:rsidR="008C03E6" w:rsidRPr="00C07B16">
              <w:rPr>
                <w:sz w:val="24"/>
                <w:szCs w:val="24"/>
              </w:rPr>
              <w:t>, as according to standards in STANAG 4439</w:t>
            </w:r>
            <w:r w:rsidR="009C316B" w:rsidRPr="00C07B16">
              <w:rPr>
                <w:sz w:val="24"/>
                <w:szCs w:val="24"/>
              </w:rPr>
              <w:t xml:space="preserve">. </w:t>
            </w:r>
            <w:r w:rsidR="00406B97" w:rsidRPr="00C07B16">
              <w:rPr>
                <w:sz w:val="24"/>
                <w:szCs w:val="24"/>
              </w:rPr>
              <w:t xml:space="preserve">Munition materials to </w:t>
            </w:r>
            <w:r w:rsidR="00406B97" w:rsidRPr="00C07B16">
              <w:rPr>
                <w:sz w:val="24"/>
                <w:szCs w:val="24"/>
              </w:rPr>
              <w:lastRenderedPageBreak/>
              <w:t>undergo IMAP and EMPTAP testing before and during production to ensure characterisation to acceptable safe/insensitive</w:t>
            </w:r>
            <w:r w:rsidR="000B05B7" w:rsidRPr="00C07B16">
              <w:rPr>
                <w:sz w:val="24"/>
                <w:szCs w:val="24"/>
              </w:rPr>
              <w:t xml:space="preserve"> levels, as established in JSP 520.</w:t>
            </w:r>
          </w:p>
        </w:tc>
        <w:tc>
          <w:tcPr>
            <w:tcW w:w="799" w:type="dxa"/>
          </w:tcPr>
          <w:p w:rsidR="00646A03" w:rsidRPr="00582227" w:rsidRDefault="00582227" w:rsidP="00646A03">
            <w:pPr>
              <w:rPr>
                <w:b/>
                <w:sz w:val="24"/>
                <w:szCs w:val="24"/>
              </w:rPr>
            </w:pPr>
            <w:r>
              <w:rPr>
                <w:b/>
                <w:sz w:val="24"/>
                <w:szCs w:val="24"/>
              </w:rPr>
              <w:lastRenderedPageBreak/>
              <w:t>IMP</w:t>
            </w:r>
          </w:p>
          <w:p w:rsidR="00AA5FFA" w:rsidRPr="00582227" w:rsidRDefault="00582227" w:rsidP="00646A03">
            <w:pPr>
              <w:rPr>
                <w:sz w:val="24"/>
                <w:szCs w:val="24"/>
              </w:rPr>
            </w:pPr>
            <w:r>
              <w:rPr>
                <w:sz w:val="24"/>
                <w:szCs w:val="24"/>
              </w:rPr>
              <w:t>Cat</w:t>
            </w:r>
          </w:p>
          <w:p w:rsidR="00AA5FFA" w:rsidRPr="00C07B16" w:rsidRDefault="00AA5FFA" w:rsidP="00646A03">
            <w:pPr>
              <w:rPr>
                <w:sz w:val="24"/>
                <w:szCs w:val="24"/>
              </w:rPr>
            </w:pPr>
          </w:p>
          <w:p w:rsidR="00AA5FFA" w:rsidRPr="00C07B16" w:rsidRDefault="00AA5FFA" w:rsidP="00646A03">
            <w:pPr>
              <w:rPr>
                <w:sz w:val="24"/>
                <w:szCs w:val="24"/>
              </w:rPr>
            </w:pPr>
          </w:p>
          <w:p w:rsidR="00AA5FFA" w:rsidRPr="00C07B16" w:rsidRDefault="00AA5FFA" w:rsidP="00646A03">
            <w:pPr>
              <w:rPr>
                <w:sz w:val="24"/>
                <w:szCs w:val="24"/>
              </w:rPr>
            </w:pPr>
          </w:p>
          <w:p w:rsidR="00AA5FFA" w:rsidRPr="00C07B16" w:rsidRDefault="00AA5FFA" w:rsidP="00646A03">
            <w:pPr>
              <w:rPr>
                <w:sz w:val="24"/>
                <w:szCs w:val="24"/>
              </w:rPr>
            </w:pPr>
          </w:p>
          <w:p w:rsidR="00AA5FFA" w:rsidRPr="00C07B16" w:rsidRDefault="00AA5FFA" w:rsidP="00646A03">
            <w:pPr>
              <w:rPr>
                <w:sz w:val="24"/>
                <w:szCs w:val="24"/>
              </w:rPr>
            </w:pPr>
          </w:p>
          <w:p w:rsidR="00AA5FFA" w:rsidRPr="00C07B16" w:rsidRDefault="00AA5FFA" w:rsidP="00646A03">
            <w:pPr>
              <w:rPr>
                <w:sz w:val="24"/>
                <w:szCs w:val="24"/>
              </w:rPr>
            </w:pPr>
          </w:p>
          <w:p w:rsidR="00AA5FFA" w:rsidRPr="00C07B16" w:rsidRDefault="00AA5FFA" w:rsidP="00646A03">
            <w:pPr>
              <w:rPr>
                <w:sz w:val="24"/>
                <w:szCs w:val="24"/>
              </w:rPr>
            </w:pPr>
          </w:p>
          <w:p w:rsidR="00AA5FFA" w:rsidRPr="00C07B16" w:rsidRDefault="00AA5FFA" w:rsidP="00646A03">
            <w:pPr>
              <w:rPr>
                <w:sz w:val="24"/>
                <w:szCs w:val="24"/>
              </w:rPr>
            </w:pPr>
          </w:p>
          <w:p w:rsidR="00AA5FFA" w:rsidRPr="00C07B16" w:rsidRDefault="00AA5FFA" w:rsidP="00646A03">
            <w:pPr>
              <w:rPr>
                <w:sz w:val="24"/>
                <w:szCs w:val="24"/>
              </w:rPr>
            </w:pPr>
          </w:p>
          <w:p w:rsidR="00AA5FFA" w:rsidRPr="00C07B16" w:rsidRDefault="00AA5FFA" w:rsidP="00646A03">
            <w:pPr>
              <w:rPr>
                <w:sz w:val="24"/>
                <w:szCs w:val="24"/>
              </w:rPr>
            </w:pPr>
          </w:p>
          <w:p w:rsidR="00AA5FFA" w:rsidRPr="00C07B16" w:rsidRDefault="00AA5FFA" w:rsidP="00646A03">
            <w:pPr>
              <w:rPr>
                <w:sz w:val="24"/>
                <w:szCs w:val="24"/>
              </w:rPr>
            </w:pPr>
          </w:p>
          <w:p w:rsidR="00AA5FFA" w:rsidRPr="00C07B16" w:rsidRDefault="00AA5FFA" w:rsidP="00646A03">
            <w:pPr>
              <w:rPr>
                <w:sz w:val="24"/>
                <w:szCs w:val="24"/>
              </w:rPr>
            </w:pPr>
          </w:p>
          <w:p w:rsidR="00AA5FFA" w:rsidRPr="00C07B16" w:rsidRDefault="00AA5FFA" w:rsidP="00646A03">
            <w:pPr>
              <w:rPr>
                <w:sz w:val="24"/>
                <w:szCs w:val="24"/>
              </w:rPr>
            </w:pPr>
          </w:p>
          <w:p w:rsidR="00AA5FFA" w:rsidRPr="00C07B16" w:rsidRDefault="00AA5FFA" w:rsidP="00646A03">
            <w:pPr>
              <w:rPr>
                <w:sz w:val="24"/>
                <w:szCs w:val="24"/>
              </w:rPr>
            </w:pPr>
          </w:p>
          <w:p w:rsidR="00AA5FFA" w:rsidRPr="00C07B16" w:rsidRDefault="00AA5FFA" w:rsidP="00646A03">
            <w:pPr>
              <w:rPr>
                <w:sz w:val="24"/>
                <w:szCs w:val="24"/>
              </w:rPr>
            </w:pPr>
          </w:p>
          <w:p w:rsidR="00AA5FFA" w:rsidRPr="00C07B16" w:rsidRDefault="00AA5FFA" w:rsidP="00646A03">
            <w:pPr>
              <w:rPr>
                <w:sz w:val="24"/>
                <w:szCs w:val="24"/>
              </w:rPr>
            </w:pPr>
          </w:p>
          <w:p w:rsidR="00AA5FFA" w:rsidRPr="00C07B16" w:rsidRDefault="00AA5FFA" w:rsidP="00646A03">
            <w:pPr>
              <w:rPr>
                <w:sz w:val="24"/>
                <w:szCs w:val="24"/>
              </w:rPr>
            </w:pPr>
          </w:p>
        </w:tc>
      </w:tr>
      <w:tr w:rsidR="00364EAF" w:rsidTr="009B78F3">
        <w:trPr>
          <w:trHeight w:val="2037"/>
        </w:trPr>
        <w:tc>
          <w:tcPr>
            <w:tcW w:w="421" w:type="dxa"/>
          </w:tcPr>
          <w:p w:rsidR="00364EAF" w:rsidRPr="00C07B16" w:rsidRDefault="006B34E4" w:rsidP="00646A03">
            <w:pPr>
              <w:rPr>
                <w:sz w:val="24"/>
                <w:szCs w:val="24"/>
              </w:rPr>
            </w:pPr>
            <w:r>
              <w:rPr>
                <w:sz w:val="24"/>
                <w:szCs w:val="24"/>
              </w:rPr>
              <w:lastRenderedPageBreak/>
              <w:t>4</w:t>
            </w:r>
          </w:p>
        </w:tc>
        <w:tc>
          <w:tcPr>
            <w:tcW w:w="1275" w:type="dxa"/>
          </w:tcPr>
          <w:p w:rsidR="00364EAF" w:rsidRPr="00C07B16" w:rsidRDefault="006B34E4" w:rsidP="00646A03">
            <w:pPr>
              <w:rPr>
                <w:sz w:val="24"/>
                <w:szCs w:val="24"/>
              </w:rPr>
            </w:pPr>
            <w:r>
              <w:rPr>
                <w:sz w:val="24"/>
                <w:szCs w:val="24"/>
              </w:rPr>
              <w:t>2, 3, 5, storage in ship, on-deck</w:t>
            </w:r>
          </w:p>
        </w:tc>
        <w:tc>
          <w:tcPr>
            <w:tcW w:w="3119" w:type="dxa"/>
            <w:gridSpan w:val="2"/>
          </w:tcPr>
          <w:p w:rsidR="00364EAF" w:rsidRPr="00C07B16" w:rsidRDefault="00364EAF" w:rsidP="00646A03">
            <w:pPr>
              <w:rPr>
                <w:sz w:val="24"/>
                <w:szCs w:val="24"/>
              </w:rPr>
            </w:pPr>
            <w:r w:rsidRPr="00C07B16">
              <w:rPr>
                <w:b/>
                <w:sz w:val="24"/>
                <w:szCs w:val="24"/>
              </w:rPr>
              <w:t xml:space="preserve">Bullet or fragment attack focused on area of munition storage or operation </w:t>
            </w:r>
            <w:r w:rsidRPr="00C07B16">
              <w:rPr>
                <w:sz w:val="24"/>
                <w:szCs w:val="24"/>
              </w:rPr>
              <w:t>leading to compromise of munition, and potential high order event</w:t>
            </w:r>
          </w:p>
        </w:tc>
        <w:tc>
          <w:tcPr>
            <w:tcW w:w="850" w:type="dxa"/>
          </w:tcPr>
          <w:p w:rsidR="00364EAF" w:rsidRDefault="00582227" w:rsidP="00646A03">
            <w:pPr>
              <w:rPr>
                <w:b/>
                <w:sz w:val="24"/>
                <w:szCs w:val="24"/>
              </w:rPr>
            </w:pPr>
            <w:r>
              <w:rPr>
                <w:b/>
                <w:sz w:val="24"/>
                <w:szCs w:val="24"/>
              </w:rPr>
              <w:t>LIK</w:t>
            </w:r>
          </w:p>
          <w:p w:rsidR="00582227" w:rsidRPr="00582227" w:rsidRDefault="00582227" w:rsidP="00646A03">
            <w:pPr>
              <w:rPr>
                <w:sz w:val="24"/>
                <w:szCs w:val="24"/>
              </w:rPr>
            </w:pPr>
            <w:r>
              <w:rPr>
                <w:sz w:val="24"/>
                <w:szCs w:val="24"/>
              </w:rPr>
              <w:t>Cat</w:t>
            </w:r>
          </w:p>
        </w:tc>
        <w:tc>
          <w:tcPr>
            <w:tcW w:w="4536" w:type="dxa"/>
          </w:tcPr>
          <w:p w:rsidR="00364EAF" w:rsidRPr="00C07B16" w:rsidRDefault="00364EAF" w:rsidP="00646A03">
            <w:pPr>
              <w:rPr>
                <w:sz w:val="24"/>
                <w:szCs w:val="24"/>
              </w:rPr>
            </w:pPr>
            <w:r w:rsidRPr="00C07B16">
              <w:rPr>
                <w:sz w:val="24"/>
                <w:szCs w:val="24"/>
              </w:rPr>
              <w:t>Ballistic shields to be appropriately placed to prevent debris from striking munition and associated equipment. Munition designed to use an explosive fill with relatively high insensitivity to vibration and impact, as according to standards in STANAG 4439.</w:t>
            </w:r>
            <w:r w:rsidR="00203F1D">
              <w:rPr>
                <w:sz w:val="24"/>
                <w:szCs w:val="24"/>
              </w:rPr>
              <w:t xml:space="preserve"> See also: Part 2 mitigations for hazard no.3.</w:t>
            </w:r>
          </w:p>
        </w:tc>
        <w:tc>
          <w:tcPr>
            <w:tcW w:w="799" w:type="dxa"/>
          </w:tcPr>
          <w:p w:rsidR="00364EAF" w:rsidRDefault="00582227" w:rsidP="00646A03">
            <w:pPr>
              <w:rPr>
                <w:b/>
                <w:sz w:val="24"/>
                <w:szCs w:val="24"/>
              </w:rPr>
            </w:pPr>
            <w:r>
              <w:rPr>
                <w:b/>
                <w:sz w:val="24"/>
                <w:szCs w:val="24"/>
              </w:rPr>
              <w:t>IMP</w:t>
            </w:r>
          </w:p>
          <w:p w:rsidR="00582227" w:rsidRPr="00582227" w:rsidRDefault="00582227" w:rsidP="00646A03">
            <w:pPr>
              <w:rPr>
                <w:sz w:val="24"/>
                <w:szCs w:val="24"/>
              </w:rPr>
            </w:pPr>
            <w:r>
              <w:rPr>
                <w:sz w:val="24"/>
                <w:szCs w:val="24"/>
              </w:rPr>
              <w:t>Cat</w:t>
            </w:r>
          </w:p>
        </w:tc>
      </w:tr>
      <w:tr w:rsidR="00364EAF" w:rsidTr="009B78F3">
        <w:trPr>
          <w:trHeight w:val="2037"/>
        </w:trPr>
        <w:tc>
          <w:tcPr>
            <w:tcW w:w="421" w:type="dxa"/>
          </w:tcPr>
          <w:p w:rsidR="00364EAF" w:rsidRPr="00C07B16" w:rsidRDefault="006B34E4" w:rsidP="00646A03">
            <w:pPr>
              <w:rPr>
                <w:sz w:val="24"/>
                <w:szCs w:val="24"/>
              </w:rPr>
            </w:pPr>
            <w:r>
              <w:rPr>
                <w:sz w:val="24"/>
                <w:szCs w:val="24"/>
              </w:rPr>
              <w:t>5</w:t>
            </w:r>
          </w:p>
        </w:tc>
        <w:tc>
          <w:tcPr>
            <w:tcW w:w="1275" w:type="dxa"/>
          </w:tcPr>
          <w:p w:rsidR="00364EAF" w:rsidRPr="00C07B16" w:rsidRDefault="006B34E4" w:rsidP="00646A03">
            <w:pPr>
              <w:rPr>
                <w:sz w:val="24"/>
                <w:szCs w:val="24"/>
              </w:rPr>
            </w:pPr>
            <w:r>
              <w:rPr>
                <w:sz w:val="24"/>
                <w:szCs w:val="24"/>
              </w:rPr>
              <w:t>1-5, all locations</w:t>
            </w:r>
          </w:p>
        </w:tc>
        <w:tc>
          <w:tcPr>
            <w:tcW w:w="3119" w:type="dxa"/>
            <w:gridSpan w:val="2"/>
          </w:tcPr>
          <w:p w:rsidR="00364EAF" w:rsidRPr="00C07B16" w:rsidRDefault="00364EAF" w:rsidP="006C2E1B">
            <w:pPr>
              <w:rPr>
                <w:sz w:val="24"/>
                <w:szCs w:val="24"/>
              </w:rPr>
            </w:pPr>
            <w:r w:rsidRPr="00C07B16">
              <w:rPr>
                <w:b/>
                <w:sz w:val="24"/>
                <w:szCs w:val="24"/>
              </w:rPr>
              <w:t>Direct lightning strike upon areas housing munition</w:t>
            </w:r>
            <w:r w:rsidR="006C2E1B" w:rsidRPr="00C07B16">
              <w:rPr>
                <w:b/>
                <w:sz w:val="24"/>
                <w:szCs w:val="24"/>
              </w:rPr>
              <w:t xml:space="preserve"> </w:t>
            </w:r>
            <w:r w:rsidR="006C2E1B" w:rsidRPr="00C07B16">
              <w:rPr>
                <w:sz w:val="24"/>
                <w:szCs w:val="24"/>
              </w:rPr>
              <w:t>leading to inadvertent initiation and high-order event, or damage to the munition also leading to potential for cook-off and high-order events</w:t>
            </w:r>
          </w:p>
        </w:tc>
        <w:tc>
          <w:tcPr>
            <w:tcW w:w="850" w:type="dxa"/>
          </w:tcPr>
          <w:p w:rsidR="00364EAF" w:rsidRDefault="00582227" w:rsidP="00646A03">
            <w:pPr>
              <w:rPr>
                <w:b/>
                <w:sz w:val="24"/>
                <w:szCs w:val="24"/>
              </w:rPr>
            </w:pPr>
            <w:r>
              <w:rPr>
                <w:b/>
                <w:sz w:val="24"/>
                <w:szCs w:val="24"/>
              </w:rPr>
              <w:t>OCC</w:t>
            </w:r>
          </w:p>
          <w:p w:rsidR="00582227" w:rsidRPr="00582227" w:rsidRDefault="00582227" w:rsidP="00646A03">
            <w:pPr>
              <w:rPr>
                <w:sz w:val="24"/>
                <w:szCs w:val="24"/>
              </w:rPr>
            </w:pPr>
            <w:r>
              <w:rPr>
                <w:sz w:val="24"/>
                <w:szCs w:val="24"/>
              </w:rPr>
              <w:t>CRI</w:t>
            </w:r>
          </w:p>
        </w:tc>
        <w:tc>
          <w:tcPr>
            <w:tcW w:w="4536" w:type="dxa"/>
          </w:tcPr>
          <w:p w:rsidR="00364EAF" w:rsidRPr="00C07B16" w:rsidRDefault="00364EAF" w:rsidP="00646A03">
            <w:pPr>
              <w:rPr>
                <w:sz w:val="24"/>
                <w:szCs w:val="24"/>
              </w:rPr>
            </w:pPr>
            <w:r w:rsidRPr="00C07B16">
              <w:rPr>
                <w:sz w:val="24"/>
                <w:szCs w:val="24"/>
              </w:rPr>
              <w:t>All areas housing munition (stores and on-deck) to be fitted with lightning conductors to reduce risk of direct strike. Munition to be attached to bonding/grounding lines wherever and as far as possible to reduce likelihood of damage to or high order event in case of direct lightning strike.</w:t>
            </w:r>
          </w:p>
        </w:tc>
        <w:tc>
          <w:tcPr>
            <w:tcW w:w="799" w:type="dxa"/>
          </w:tcPr>
          <w:p w:rsidR="00364EAF" w:rsidRDefault="00582227" w:rsidP="00646A03">
            <w:pPr>
              <w:rPr>
                <w:b/>
                <w:sz w:val="24"/>
                <w:szCs w:val="24"/>
              </w:rPr>
            </w:pPr>
            <w:r>
              <w:rPr>
                <w:b/>
                <w:sz w:val="24"/>
                <w:szCs w:val="24"/>
              </w:rPr>
              <w:t>IMP</w:t>
            </w:r>
          </w:p>
          <w:p w:rsidR="00582227" w:rsidRPr="00582227" w:rsidRDefault="00582227" w:rsidP="00646A03">
            <w:pPr>
              <w:rPr>
                <w:sz w:val="24"/>
                <w:szCs w:val="24"/>
              </w:rPr>
            </w:pPr>
            <w:r>
              <w:rPr>
                <w:sz w:val="24"/>
                <w:szCs w:val="24"/>
              </w:rPr>
              <w:t>CRI</w:t>
            </w:r>
          </w:p>
        </w:tc>
      </w:tr>
      <w:tr w:rsidR="00646A03" w:rsidTr="009B78F3">
        <w:trPr>
          <w:trHeight w:val="2037"/>
        </w:trPr>
        <w:tc>
          <w:tcPr>
            <w:tcW w:w="421" w:type="dxa"/>
          </w:tcPr>
          <w:p w:rsidR="00646A03" w:rsidRPr="00C07B16" w:rsidRDefault="006B34E4" w:rsidP="00646A03">
            <w:pPr>
              <w:rPr>
                <w:sz w:val="24"/>
                <w:szCs w:val="24"/>
              </w:rPr>
            </w:pPr>
            <w:r>
              <w:rPr>
                <w:sz w:val="24"/>
                <w:szCs w:val="24"/>
              </w:rPr>
              <w:t>6</w:t>
            </w:r>
          </w:p>
        </w:tc>
        <w:tc>
          <w:tcPr>
            <w:tcW w:w="1275" w:type="dxa"/>
          </w:tcPr>
          <w:p w:rsidR="00646A03" w:rsidRPr="00C07B16" w:rsidRDefault="006B34E4" w:rsidP="00646A03">
            <w:pPr>
              <w:rPr>
                <w:sz w:val="24"/>
                <w:szCs w:val="24"/>
              </w:rPr>
            </w:pPr>
            <w:r>
              <w:rPr>
                <w:sz w:val="24"/>
                <w:szCs w:val="24"/>
              </w:rPr>
              <w:t>1-5, all locations</w:t>
            </w:r>
          </w:p>
        </w:tc>
        <w:tc>
          <w:tcPr>
            <w:tcW w:w="3119" w:type="dxa"/>
            <w:gridSpan w:val="2"/>
          </w:tcPr>
          <w:p w:rsidR="00646A03" w:rsidRPr="00C07B16" w:rsidRDefault="008309FB" w:rsidP="00646A03">
            <w:pPr>
              <w:rPr>
                <w:sz w:val="24"/>
                <w:szCs w:val="24"/>
              </w:rPr>
            </w:pPr>
            <w:r w:rsidRPr="00C07B16">
              <w:rPr>
                <w:b/>
                <w:sz w:val="24"/>
                <w:szCs w:val="24"/>
              </w:rPr>
              <w:t>Faulty</w:t>
            </w:r>
            <w:r w:rsidR="00625D0A" w:rsidRPr="00C07B16">
              <w:rPr>
                <w:b/>
                <w:sz w:val="24"/>
                <w:szCs w:val="24"/>
              </w:rPr>
              <w:t>/defective</w:t>
            </w:r>
            <w:r w:rsidRPr="00C07B16">
              <w:rPr>
                <w:b/>
                <w:sz w:val="24"/>
                <w:szCs w:val="24"/>
              </w:rPr>
              <w:t xml:space="preserve"> munition </w:t>
            </w:r>
            <w:r w:rsidRPr="00C07B16">
              <w:rPr>
                <w:sz w:val="24"/>
                <w:szCs w:val="24"/>
              </w:rPr>
              <w:t>leading to inadvertent initiatio</w:t>
            </w:r>
            <w:r w:rsidR="00625D0A" w:rsidRPr="00C07B16">
              <w:rPr>
                <w:sz w:val="24"/>
                <w:szCs w:val="24"/>
              </w:rPr>
              <w:t>n and causing high order event.</w:t>
            </w:r>
            <w:r w:rsidRPr="00C07B16">
              <w:rPr>
                <w:sz w:val="24"/>
                <w:szCs w:val="24"/>
              </w:rPr>
              <w:t xml:space="preserve"> Damage to surrounding facilities, high chance of severe injury and death of operators.</w:t>
            </w:r>
          </w:p>
        </w:tc>
        <w:tc>
          <w:tcPr>
            <w:tcW w:w="850" w:type="dxa"/>
          </w:tcPr>
          <w:p w:rsidR="00646A03" w:rsidRDefault="00582227" w:rsidP="00646A03">
            <w:pPr>
              <w:rPr>
                <w:b/>
                <w:sz w:val="24"/>
                <w:szCs w:val="24"/>
              </w:rPr>
            </w:pPr>
            <w:r>
              <w:rPr>
                <w:b/>
                <w:sz w:val="24"/>
                <w:szCs w:val="24"/>
              </w:rPr>
              <w:t>LIK</w:t>
            </w:r>
          </w:p>
          <w:p w:rsidR="00582227" w:rsidRPr="00582227" w:rsidRDefault="00582227" w:rsidP="00646A03">
            <w:pPr>
              <w:rPr>
                <w:sz w:val="24"/>
                <w:szCs w:val="24"/>
              </w:rPr>
            </w:pPr>
            <w:r>
              <w:rPr>
                <w:sz w:val="24"/>
                <w:szCs w:val="24"/>
              </w:rPr>
              <w:t>Cat</w:t>
            </w:r>
          </w:p>
        </w:tc>
        <w:tc>
          <w:tcPr>
            <w:tcW w:w="4536" w:type="dxa"/>
          </w:tcPr>
          <w:p w:rsidR="00646A03" w:rsidRPr="00C07B16" w:rsidRDefault="006C2E1B" w:rsidP="00646A03">
            <w:pPr>
              <w:rPr>
                <w:sz w:val="24"/>
                <w:szCs w:val="24"/>
              </w:rPr>
            </w:pPr>
            <w:r w:rsidRPr="00C07B16">
              <w:rPr>
                <w:sz w:val="24"/>
                <w:szCs w:val="24"/>
              </w:rPr>
              <w:t>Munitions to undergo thorough quality control checks and regular inspections (before loading, in storage and before use in on-deck operations), to ensure no degradation and conformity to characterisation through STANAG 4439, and re</w:t>
            </w:r>
            <w:r w:rsidR="000B05B7" w:rsidRPr="00C07B16">
              <w:rPr>
                <w:sz w:val="24"/>
                <w:szCs w:val="24"/>
              </w:rPr>
              <w:t>sults of EMTAP and IMAP testing as specified in JSP 520.</w:t>
            </w:r>
          </w:p>
        </w:tc>
        <w:tc>
          <w:tcPr>
            <w:tcW w:w="799" w:type="dxa"/>
          </w:tcPr>
          <w:p w:rsidR="00582227" w:rsidRDefault="00582227" w:rsidP="00646A03">
            <w:pPr>
              <w:rPr>
                <w:sz w:val="24"/>
                <w:szCs w:val="24"/>
              </w:rPr>
            </w:pPr>
            <w:r>
              <w:rPr>
                <w:b/>
                <w:sz w:val="24"/>
                <w:szCs w:val="24"/>
              </w:rPr>
              <w:t>IMP</w:t>
            </w:r>
          </w:p>
          <w:p w:rsidR="00582227" w:rsidRPr="00582227" w:rsidRDefault="00582227" w:rsidP="00646A03">
            <w:pPr>
              <w:rPr>
                <w:sz w:val="24"/>
                <w:szCs w:val="24"/>
              </w:rPr>
            </w:pPr>
            <w:r>
              <w:rPr>
                <w:sz w:val="24"/>
                <w:szCs w:val="24"/>
              </w:rPr>
              <w:t>Cat</w:t>
            </w:r>
          </w:p>
        </w:tc>
      </w:tr>
      <w:tr w:rsidR="00646A03" w:rsidTr="009B78F3">
        <w:trPr>
          <w:trHeight w:val="1951"/>
        </w:trPr>
        <w:tc>
          <w:tcPr>
            <w:tcW w:w="421" w:type="dxa"/>
          </w:tcPr>
          <w:p w:rsidR="00646A03" w:rsidRPr="00C07B16" w:rsidRDefault="006B34E4" w:rsidP="00646A03">
            <w:pPr>
              <w:rPr>
                <w:sz w:val="24"/>
                <w:szCs w:val="24"/>
              </w:rPr>
            </w:pPr>
            <w:r>
              <w:rPr>
                <w:sz w:val="24"/>
                <w:szCs w:val="24"/>
              </w:rPr>
              <w:t>7</w:t>
            </w:r>
          </w:p>
        </w:tc>
        <w:tc>
          <w:tcPr>
            <w:tcW w:w="1275" w:type="dxa"/>
          </w:tcPr>
          <w:p w:rsidR="00646A03" w:rsidRPr="00C07B16" w:rsidRDefault="006B34E4" w:rsidP="00646A03">
            <w:pPr>
              <w:rPr>
                <w:sz w:val="24"/>
                <w:szCs w:val="24"/>
              </w:rPr>
            </w:pPr>
            <w:r>
              <w:rPr>
                <w:sz w:val="24"/>
                <w:szCs w:val="24"/>
              </w:rPr>
              <w:t>1-5, all locations</w:t>
            </w:r>
          </w:p>
        </w:tc>
        <w:tc>
          <w:tcPr>
            <w:tcW w:w="3119" w:type="dxa"/>
            <w:gridSpan w:val="2"/>
          </w:tcPr>
          <w:p w:rsidR="00646A03" w:rsidRPr="00C07B16" w:rsidRDefault="008309FB" w:rsidP="002341F6">
            <w:pPr>
              <w:rPr>
                <w:b/>
                <w:sz w:val="24"/>
                <w:szCs w:val="24"/>
              </w:rPr>
            </w:pPr>
            <w:r w:rsidRPr="00C07B16">
              <w:rPr>
                <w:b/>
                <w:sz w:val="24"/>
                <w:szCs w:val="24"/>
              </w:rPr>
              <w:t xml:space="preserve">Exposure of munition to heat stimuli or fire </w:t>
            </w:r>
            <w:r w:rsidRPr="00C07B16">
              <w:rPr>
                <w:sz w:val="24"/>
                <w:szCs w:val="24"/>
              </w:rPr>
              <w:t>leading to slow or fast cook-off event, and potentially further leading to high order event.</w:t>
            </w:r>
          </w:p>
        </w:tc>
        <w:tc>
          <w:tcPr>
            <w:tcW w:w="850" w:type="dxa"/>
          </w:tcPr>
          <w:p w:rsidR="00646A03" w:rsidRDefault="00582227" w:rsidP="00646A03">
            <w:pPr>
              <w:rPr>
                <w:b/>
                <w:sz w:val="24"/>
                <w:szCs w:val="24"/>
              </w:rPr>
            </w:pPr>
            <w:r>
              <w:rPr>
                <w:b/>
                <w:sz w:val="24"/>
                <w:szCs w:val="24"/>
              </w:rPr>
              <w:t>LIK</w:t>
            </w:r>
          </w:p>
          <w:p w:rsidR="00582227" w:rsidRPr="00582227" w:rsidRDefault="00582227" w:rsidP="00646A03">
            <w:pPr>
              <w:rPr>
                <w:sz w:val="24"/>
                <w:szCs w:val="24"/>
              </w:rPr>
            </w:pPr>
            <w:r>
              <w:rPr>
                <w:sz w:val="24"/>
                <w:szCs w:val="24"/>
              </w:rPr>
              <w:t>CRI</w:t>
            </w:r>
          </w:p>
        </w:tc>
        <w:tc>
          <w:tcPr>
            <w:tcW w:w="4536" w:type="dxa"/>
          </w:tcPr>
          <w:p w:rsidR="00D44BF6" w:rsidRPr="00C07B16" w:rsidRDefault="00D44BF6" w:rsidP="00646A03">
            <w:pPr>
              <w:rPr>
                <w:sz w:val="24"/>
                <w:szCs w:val="24"/>
              </w:rPr>
            </w:pPr>
            <w:r w:rsidRPr="00C07B16">
              <w:rPr>
                <w:sz w:val="24"/>
                <w:szCs w:val="24"/>
              </w:rPr>
              <w:t>Crew to be trained in emergency responses protocol and ship to be fitted with fire detection systems and automatic fire suppression apparatus, so that fires are rapidly detected and extinguished/ suppressed.</w:t>
            </w:r>
            <w:r w:rsidR="000635F2" w:rsidRPr="00C07B16">
              <w:rPr>
                <w:sz w:val="24"/>
                <w:szCs w:val="24"/>
              </w:rPr>
              <w:t xml:space="preserve"> Munition and associated equipment to utilise appropriately meltable parts which prevent confinement of explosive materials undergoing cook-off events, therefore reducing risk of escalation to high-order event.</w:t>
            </w:r>
            <w:r w:rsidR="002341F6" w:rsidRPr="00C07B16">
              <w:rPr>
                <w:sz w:val="24"/>
                <w:szCs w:val="24"/>
              </w:rPr>
              <w:t xml:space="preserve"> Munition materials to undergo testing following artificial ageing trials to ensure characterisation to storage and on-deck environments, and determine when these environmental standards are breached and munition needs to be marked for disposal. In addition, breaches of environmental standards to be recorded, such that the nature of exposure can be recorded and used to adapt/select appropriate </w:t>
            </w:r>
            <w:r w:rsidR="00C07B16" w:rsidRPr="00C07B16">
              <w:rPr>
                <w:sz w:val="24"/>
                <w:szCs w:val="24"/>
              </w:rPr>
              <w:t>disposal protocols, whilst conforming to the Chapter 9 of JSP 762.</w:t>
            </w:r>
          </w:p>
        </w:tc>
        <w:tc>
          <w:tcPr>
            <w:tcW w:w="799" w:type="dxa"/>
          </w:tcPr>
          <w:p w:rsidR="00646A03" w:rsidRDefault="00582227" w:rsidP="00646A03">
            <w:pPr>
              <w:rPr>
                <w:b/>
                <w:sz w:val="24"/>
                <w:szCs w:val="24"/>
              </w:rPr>
            </w:pPr>
            <w:r>
              <w:rPr>
                <w:b/>
                <w:sz w:val="24"/>
                <w:szCs w:val="24"/>
              </w:rPr>
              <w:t>IMP</w:t>
            </w:r>
          </w:p>
          <w:p w:rsidR="00FE0F68" w:rsidRPr="00FE0F68" w:rsidRDefault="00FE0F68" w:rsidP="00646A03">
            <w:pPr>
              <w:rPr>
                <w:sz w:val="24"/>
                <w:szCs w:val="24"/>
              </w:rPr>
            </w:pPr>
            <w:r>
              <w:rPr>
                <w:sz w:val="24"/>
                <w:szCs w:val="24"/>
              </w:rPr>
              <w:t>CRI</w:t>
            </w:r>
          </w:p>
        </w:tc>
      </w:tr>
      <w:tr w:rsidR="002341F6" w:rsidTr="009B78F3">
        <w:trPr>
          <w:trHeight w:val="1951"/>
        </w:trPr>
        <w:tc>
          <w:tcPr>
            <w:tcW w:w="421" w:type="dxa"/>
          </w:tcPr>
          <w:p w:rsidR="002341F6" w:rsidRPr="00C07B16" w:rsidRDefault="006B34E4" w:rsidP="00646A03">
            <w:pPr>
              <w:rPr>
                <w:sz w:val="24"/>
                <w:szCs w:val="24"/>
              </w:rPr>
            </w:pPr>
            <w:r>
              <w:rPr>
                <w:sz w:val="24"/>
                <w:szCs w:val="24"/>
              </w:rPr>
              <w:lastRenderedPageBreak/>
              <w:t>8</w:t>
            </w:r>
          </w:p>
        </w:tc>
        <w:tc>
          <w:tcPr>
            <w:tcW w:w="1275" w:type="dxa"/>
          </w:tcPr>
          <w:p w:rsidR="002341F6" w:rsidRPr="00C07B16" w:rsidRDefault="006B34E4" w:rsidP="00646A03">
            <w:pPr>
              <w:rPr>
                <w:sz w:val="24"/>
                <w:szCs w:val="24"/>
              </w:rPr>
            </w:pPr>
            <w:r>
              <w:rPr>
                <w:sz w:val="24"/>
                <w:szCs w:val="24"/>
              </w:rPr>
              <w:t>1-5, all locations</w:t>
            </w:r>
          </w:p>
        </w:tc>
        <w:tc>
          <w:tcPr>
            <w:tcW w:w="3119" w:type="dxa"/>
            <w:gridSpan w:val="2"/>
          </w:tcPr>
          <w:p w:rsidR="002341F6" w:rsidRPr="00C07B16" w:rsidRDefault="002341F6" w:rsidP="002341F6">
            <w:pPr>
              <w:rPr>
                <w:sz w:val="24"/>
                <w:szCs w:val="24"/>
              </w:rPr>
            </w:pPr>
            <w:r w:rsidRPr="00C07B16">
              <w:rPr>
                <w:b/>
                <w:sz w:val="24"/>
                <w:szCs w:val="24"/>
              </w:rPr>
              <w:t xml:space="preserve">Exposure of munition to other unsuitable environments </w:t>
            </w:r>
            <w:r w:rsidRPr="00C07B16">
              <w:rPr>
                <w:sz w:val="24"/>
                <w:szCs w:val="24"/>
              </w:rPr>
              <w:t>leading to degradation or increased sensitivity of munition materials</w:t>
            </w:r>
            <w:r w:rsidR="00625D0A" w:rsidRPr="00C07B16">
              <w:rPr>
                <w:b/>
                <w:sz w:val="24"/>
                <w:szCs w:val="24"/>
              </w:rPr>
              <w:t xml:space="preserve">, </w:t>
            </w:r>
            <w:r w:rsidR="00625D0A" w:rsidRPr="00C07B16">
              <w:rPr>
                <w:sz w:val="24"/>
                <w:szCs w:val="24"/>
              </w:rPr>
              <w:t xml:space="preserve">creating possibility for cook-off and </w:t>
            </w:r>
            <w:r w:rsidR="00FE0F68">
              <w:rPr>
                <w:sz w:val="24"/>
                <w:szCs w:val="24"/>
              </w:rPr>
              <w:t xml:space="preserve">small chance </w:t>
            </w:r>
            <w:r w:rsidR="00625D0A" w:rsidRPr="00C07B16">
              <w:rPr>
                <w:sz w:val="24"/>
                <w:szCs w:val="24"/>
              </w:rPr>
              <w:t>high order events</w:t>
            </w:r>
          </w:p>
        </w:tc>
        <w:tc>
          <w:tcPr>
            <w:tcW w:w="850" w:type="dxa"/>
          </w:tcPr>
          <w:p w:rsidR="002341F6" w:rsidRDefault="00FE0F68" w:rsidP="00646A03">
            <w:pPr>
              <w:rPr>
                <w:b/>
                <w:sz w:val="24"/>
                <w:szCs w:val="24"/>
              </w:rPr>
            </w:pPr>
            <w:r>
              <w:rPr>
                <w:b/>
                <w:sz w:val="24"/>
                <w:szCs w:val="24"/>
              </w:rPr>
              <w:t>LIK</w:t>
            </w:r>
          </w:p>
          <w:p w:rsidR="00FE0F68" w:rsidRPr="00FE0F68" w:rsidRDefault="00FE0F68" w:rsidP="00646A03">
            <w:pPr>
              <w:rPr>
                <w:sz w:val="24"/>
                <w:szCs w:val="24"/>
              </w:rPr>
            </w:pPr>
            <w:r>
              <w:rPr>
                <w:sz w:val="24"/>
                <w:szCs w:val="24"/>
              </w:rPr>
              <w:t>CRI</w:t>
            </w:r>
          </w:p>
        </w:tc>
        <w:tc>
          <w:tcPr>
            <w:tcW w:w="4536" w:type="dxa"/>
          </w:tcPr>
          <w:p w:rsidR="002341F6" w:rsidRPr="00C07B16" w:rsidRDefault="002341F6" w:rsidP="00646A03">
            <w:pPr>
              <w:rPr>
                <w:sz w:val="24"/>
                <w:szCs w:val="24"/>
              </w:rPr>
            </w:pPr>
            <w:r w:rsidRPr="00C07B16">
              <w:rPr>
                <w:sz w:val="24"/>
                <w:szCs w:val="24"/>
              </w:rPr>
              <w:t xml:space="preserve">Munition materials to undergo testing following artificial ageing trials to ensure characterisation to storage and on-deck environments, and determine when these environmental standards are breached and munition needs to be marked for disposal. In addition, </w:t>
            </w:r>
            <w:r w:rsidR="00FE0F68">
              <w:rPr>
                <w:sz w:val="24"/>
                <w:szCs w:val="24"/>
              </w:rPr>
              <w:t xml:space="preserve">stores to implement environmental monitoring and </w:t>
            </w:r>
            <w:r w:rsidRPr="00C07B16">
              <w:rPr>
                <w:sz w:val="24"/>
                <w:szCs w:val="24"/>
              </w:rPr>
              <w:t>breaches of environmental standards to be recorded, such that the nature of exposure can be recorded and used to adapt/select appropriate disposal protocols.</w:t>
            </w:r>
            <w:r w:rsidR="00625D0A" w:rsidRPr="00C07B16">
              <w:rPr>
                <w:sz w:val="24"/>
                <w:szCs w:val="24"/>
              </w:rPr>
              <w:t xml:space="preserve">  Munition and associated equipment to utilise appropriately meltable parts which prevent confinement of explosive materials undergoing cook-off events, therefore reducing risk of escalation to high-order event.</w:t>
            </w:r>
          </w:p>
        </w:tc>
        <w:tc>
          <w:tcPr>
            <w:tcW w:w="799" w:type="dxa"/>
          </w:tcPr>
          <w:p w:rsidR="00FE0F68" w:rsidRDefault="00FE0F68" w:rsidP="00646A03">
            <w:pPr>
              <w:rPr>
                <w:b/>
                <w:sz w:val="24"/>
                <w:szCs w:val="24"/>
              </w:rPr>
            </w:pPr>
            <w:r>
              <w:rPr>
                <w:b/>
                <w:sz w:val="24"/>
                <w:szCs w:val="24"/>
              </w:rPr>
              <w:t>OCC</w:t>
            </w:r>
          </w:p>
          <w:p w:rsidR="002341F6" w:rsidRPr="00FE0F68" w:rsidRDefault="00FE0F68" w:rsidP="00FE0F68">
            <w:pPr>
              <w:rPr>
                <w:sz w:val="24"/>
                <w:szCs w:val="24"/>
              </w:rPr>
            </w:pPr>
            <w:r>
              <w:rPr>
                <w:sz w:val="24"/>
                <w:szCs w:val="24"/>
              </w:rPr>
              <w:t>SEV</w:t>
            </w:r>
          </w:p>
        </w:tc>
      </w:tr>
      <w:tr w:rsidR="00646A03" w:rsidTr="009B78F3">
        <w:trPr>
          <w:trHeight w:val="2037"/>
        </w:trPr>
        <w:tc>
          <w:tcPr>
            <w:tcW w:w="421" w:type="dxa"/>
          </w:tcPr>
          <w:p w:rsidR="00646A03" w:rsidRPr="00C07B16" w:rsidRDefault="006B34E4" w:rsidP="00646A03">
            <w:pPr>
              <w:rPr>
                <w:sz w:val="24"/>
                <w:szCs w:val="24"/>
              </w:rPr>
            </w:pPr>
            <w:r>
              <w:rPr>
                <w:sz w:val="24"/>
                <w:szCs w:val="24"/>
              </w:rPr>
              <w:t>9</w:t>
            </w:r>
          </w:p>
        </w:tc>
        <w:tc>
          <w:tcPr>
            <w:tcW w:w="1275" w:type="dxa"/>
          </w:tcPr>
          <w:p w:rsidR="00646A03" w:rsidRPr="00C07B16" w:rsidRDefault="006B34E4" w:rsidP="00646A03">
            <w:pPr>
              <w:rPr>
                <w:sz w:val="24"/>
                <w:szCs w:val="24"/>
              </w:rPr>
            </w:pPr>
            <w:r>
              <w:rPr>
                <w:sz w:val="24"/>
                <w:szCs w:val="24"/>
              </w:rPr>
              <w:t>2-5</w:t>
            </w:r>
            <w:r w:rsidR="00B01864">
              <w:rPr>
                <w:sz w:val="24"/>
                <w:szCs w:val="24"/>
              </w:rPr>
              <w:t>, ship storage and on-deck</w:t>
            </w:r>
          </w:p>
        </w:tc>
        <w:tc>
          <w:tcPr>
            <w:tcW w:w="3119" w:type="dxa"/>
            <w:gridSpan w:val="2"/>
          </w:tcPr>
          <w:p w:rsidR="00646A03" w:rsidRPr="00C07B16" w:rsidRDefault="00AC4519" w:rsidP="00AC4519">
            <w:pPr>
              <w:rPr>
                <w:sz w:val="24"/>
                <w:szCs w:val="24"/>
              </w:rPr>
            </w:pPr>
            <w:r w:rsidRPr="00C07B16">
              <w:rPr>
                <w:b/>
                <w:sz w:val="24"/>
                <w:szCs w:val="24"/>
              </w:rPr>
              <w:t xml:space="preserve">Instability of ship environment in munition storage &amp; operating areas </w:t>
            </w:r>
            <w:r w:rsidRPr="00C07B16">
              <w:rPr>
                <w:sz w:val="24"/>
                <w:szCs w:val="24"/>
              </w:rPr>
              <w:t xml:space="preserve">leading to slips, trips and falls among operators </w:t>
            </w:r>
          </w:p>
        </w:tc>
        <w:tc>
          <w:tcPr>
            <w:tcW w:w="850" w:type="dxa"/>
          </w:tcPr>
          <w:p w:rsidR="00646A03" w:rsidRDefault="00FE0F68" w:rsidP="00646A03">
            <w:pPr>
              <w:rPr>
                <w:b/>
                <w:sz w:val="24"/>
                <w:szCs w:val="24"/>
              </w:rPr>
            </w:pPr>
            <w:r>
              <w:rPr>
                <w:b/>
                <w:sz w:val="24"/>
                <w:szCs w:val="24"/>
              </w:rPr>
              <w:t>FRE</w:t>
            </w:r>
          </w:p>
          <w:p w:rsidR="00FE0F68" w:rsidRPr="00FE0F68" w:rsidRDefault="00FE0F68" w:rsidP="00646A03">
            <w:pPr>
              <w:rPr>
                <w:sz w:val="24"/>
                <w:szCs w:val="24"/>
              </w:rPr>
            </w:pPr>
            <w:r>
              <w:rPr>
                <w:sz w:val="24"/>
                <w:szCs w:val="24"/>
              </w:rPr>
              <w:t>MIN</w:t>
            </w:r>
          </w:p>
        </w:tc>
        <w:tc>
          <w:tcPr>
            <w:tcW w:w="4536" w:type="dxa"/>
          </w:tcPr>
          <w:p w:rsidR="00646A03" w:rsidRPr="00C07B16" w:rsidRDefault="00AC4519" w:rsidP="00364EAF">
            <w:pPr>
              <w:rPr>
                <w:sz w:val="24"/>
                <w:szCs w:val="24"/>
              </w:rPr>
            </w:pPr>
            <w:r w:rsidRPr="00C07B16">
              <w:rPr>
                <w:sz w:val="24"/>
                <w:szCs w:val="24"/>
              </w:rPr>
              <w:t>Ship to implement barriers and/or exclusion zones and/or place warning signs around areas where slips, trips and falls are most likely to occur (with selection of a</w:t>
            </w:r>
            <w:r w:rsidR="00364EAF" w:rsidRPr="00C07B16">
              <w:rPr>
                <w:sz w:val="24"/>
                <w:szCs w:val="24"/>
              </w:rPr>
              <w:t>forementioned measures ensuring no impedance of essential operator functions).  Ship to use accident log to monitor trends in accidents in order to aid in future review of aforementioned measures.  Operators to utilise PPE (such as hard-capped boots, padded clothing where this doesn’t impede operator function), as last line of defence against injury.</w:t>
            </w:r>
          </w:p>
        </w:tc>
        <w:tc>
          <w:tcPr>
            <w:tcW w:w="799" w:type="dxa"/>
          </w:tcPr>
          <w:p w:rsidR="00FE0F68" w:rsidRDefault="00FE0F68" w:rsidP="00646A03">
            <w:pPr>
              <w:rPr>
                <w:b/>
                <w:sz w:val="24"/>
                <w:szCs w:val="24"/>
              </w:rPr>
            </w:pPr>
            <w:r>
              <w:rPr>
                <w:b/>
                <w:sz w:val="24"/>
                <w:szCs w:val="24"/>
              </w:rPr>
              <w:t>OCC</w:t>
            </w:r>
          </w:p>
          <w:p w:rsidR="00646A03" w:rsidRPr="00FE0F68" w:rsidRDefault="00FE0F68" w:rsidP="00FE0F68">
            <w:pPr>
              <w:rPr>
                <w:sz w:val="24"/>
                <w:szCs w:val="24"/>
              </w:rPr>
            </w:pPr>
            <w:r>
              <w:rPr>
                <w:sz w:val="24"/>
                <w:szCs w:val="24"/>
              </w:rPr>
              <w:t>MAR</w:t>
            </w:r>
          </w:p>
        </w:tc>
      </w:tr>
      <w:tr w:rsidR="00924035" w:rsidTr="009B78F3">
        <w:trPr>
          <w:trHeight w:val="2037"/>
        </w:trPr>
        <w:tc>
          <w:tcPr>
            <w:tcW w:w="421" w:type="dxa"/>
          </w:tcPr>
          <w:p w:rsidR="00924035" w:rsidRPr="00C07B16" w:rsidRDefault="006B34E4" w:rsidP="00646A03">
            <w:pPr>
              <w:rPr>
                <w:sz w:val="24"/>
                <w:szCs w:val="24"/>
              </w:rPr>
            </w:pPr>
            <w:r>
              <w:rPr>
                <w:sz w:val="24"/>
                <w:szCs w:val="24"/>
              </w:rPr>
              <w:t>10</w:t>
            </w:r>
          </w:p>
        </w:tc>
        <w:tc>
          <w:tcPr>
            <w:tcW w:w="1275" w:type="dxa"/>
          </w:tcPr>
          <w:p w:rsidR="00924035" w:rsidRPr="00C07B16" w:rsidRDefault="00B01864" w:rsidP="00646A03">
            <w:pPr>
              <w:rPr>
                <w:sz w:val="24"/>
                <w:szCs w:val="24"/>
              </w:rPr>
            </w:pPr>
            <w:r>
              <w:rPr>
                <w:sz w:val="24"/>
                <w:szCs w:val="24"/>
              </w:rPr>
              <w:t>2-5, ship storage and on-deck</w:t>
            </w:r>
          </w:p>
        </w:tc>
        <w:tc>
          <w:tcPr>
            <w:tcW w:w="3119" w:type="dxa"/>
            <w:gridSpan w:val="2"/>
          </w:tcPr>
          <w:p w:rsidR="00924035" w:rsidRPr="00C07B16" w:rsidRDefault="00AC4519" w:rsidP="00AC4519">
            <w:pPr>
              <w:rPr>
                <w:sz w:val="24"/>
                <w:szCs w:val="24"/>
              </w:rPr>
            </w:pPr>
            <w:r w:rsidRPr="00C07B16">
              <w:rPr>
                <w:b/>
                <w:sz w:val="24"/>
                <w:szCs w:val="24"/>
              </w:rPr>
              <w:t xml:space="preserve">Sharp &amp; protruding edges of equipment in munition storage &amp; operating areas </w:t>
            </w:r>
            <w:r w:rsidRPr="00C07B16">
              <w:rPr>
                <w:sz w:val="24"/>
                <w:szCs w:val="24"/>
              </w:rPr>
              <w:t>leading to minor or severe injury of operators</w:t>
            </w:r>
          </w:p>
        </w:tc>
        <w:tc>
          <w:tcPr>
            <w:tcW w:w="850" w:type="dxa"/>
          </w:tcPr>
          <w:p w:rsidR="00FE0F68" w:rsidRDefault="00FE0F68" w:rsidP="00646A03">
            <w:pPr>
              <w:rPr>
                <w:b/>
                <w:sz w:val="24"/>
                <w:szCs w:val="24"/>
              </w:rPr>
            </w:pPr>
            <w:r>
              <w:rPr>
                <w:b/>
                <w:sz w:val="24"/>
                <w:szCs w:val="24"/>
              </w:rPr>
              <w:t>LIK</w:t>
            </w:r>
          </w:p>
          <w:p w:rsidR="00924035" w:rsidRPr="00FE0F68" w:rsidRDefault="00FE0F68" w:rsidP="00FE0F68">
            <w:pPr>
              <w:rPr>
                <w:sz w:val="24"/>
                <w:szCs w:val="24"/>
              </w:rPr>
            </w:pPr>
            <w:r>
              <w:rPr>
                <w:sz w:val="24"/>
                <w:szCs w:val="24"/>
              </w:rPr>
              <w:t>SEV</w:t>
            </w:r>
          </w:p>
        </w:tc>
        <w:tc>
          <w:tcPr>
            <w:tcW w:w="4536" w:type="dxa"/>
          </w:tcPr>
          <w:p w:rsidR="00924035" w:rsidRPr="00C07B16" w:rsidRDefault="00AC4519" w:rsidP="00AC4519">
            <w:pPr>
              <w:rPr>
                <w:sz w:val="24"/>
                <w:szCs w:val="24"/>
              </w:rPr>
            </w:pPr>
            <w:r w:rsidRPr="00C07B16">
              <w:rPr>
                <w:sz w:val="24"/>
                <w:szCs w:val="24"/>
              </w:rPr>
              <w:t xml:space="preserve">Modifications to installation space of equipment in munition stores and munition-related equipment on deck (such as padding on sharp &amp; protruding edges). Ship to implement marked exclusion zones around particularly hazardous equipment. Ship to implement hazardous areas register and restrict access to areas with hazardous equipment to essential operators only. Ship to use accident log to monitor trends in accidents in order to aid in </w:t>
            </w:r>
            <w:r w:rsidR="00364EAF" w:rsidRPr="00C07B16">
              <w:rPr>
                <w:sz w:val="24"/>
                <w:szCs w:val="24"/>
              </w:rPr>
              <w:t xml:space="preserve">future </w:t>
            </w:r>
            <w:r w:rsidRPr="00C07B16">
              <w:rPr>
                <w:sz w:val="24"/>
                <w:szCs w:val="24"/>
              </w:rPr>
              <w:t>review of installation modifications. Post-commissioning inspections to take place of all munition related facilities. Operators to utilise PPE (such as hard-capped boots, padded clothing where this doesn’t impede operator function), as last line of defence against injury.</w:t>
            </w:r>
          </w:p>
        </w:tc>
        <w:tc>
          <w:tcPr>
            <w:tcW w:w="799" w:type="dxa"/>
          </w:tcPr>
          <w:p w:rsidR="00FE0F68" w:rsidRDefault="00FE0F68" w:rsidP="00646A03">
            <w:pPr>
              <w:rPr>
                <w:b/>
                <w:sz w:val="24"/>
                <w:szCs w:val="24"/>
              </w:rPr>
            </w:pPr>
            <w:r>
              <w:rPr>
                <w:b/>
                <w:sz w:val="24"/>
                <w:szCs w:val="24"/>
              </w:rPr>
              <w:t>OCC</w:t>
            </w:r>
          </w:p>
          <w:p w:rsidR="00924035" w:rsidRPr="00FE0F68" w:rsidRDefault="00FE0F68" w:rsidP="00FE0F68">
            <w:pPr>
              <w:rPr>
                <w:sz w:val="24"/>
                <w:szCs w:val="24"/>
              </w:rPr>
            </w:pPr>
            <w:r>
              <w:rPr>
                <w:sz w:val="24"/>
                <w:szCs w:val="24"/>
              </w:rPr>
              <w:t>MIN</w:t>
            </w:r>
          </w:p>
        </w:tc>
      </w:tr>
      <w:tr w:rsidR="000B05B7" w:rsidTr="009B78F3">
        <w:trPr>
          <w:trHeight w:val="2037"/>
        </w:trPr>
        <w:tc>
          <w:tcPr>
            <w:tcW w:w="421" w:type="dxa"/>
          </w:tcPr>
          <w:p w:rsidR="000B05B7" w:rsidRPr="00C07B16" w:rsidRDefault="006B34E4" w:rsidP="00646A03">
            <w:pPr>
              <w:rPr>
                <w:sz w:val="24"/>
                <w:szCs w:val="24"/>
              </w:rPr>
            </w:pPr>
            <w:r>
              <w:rPr>
                <w:sz w:val="24"/>
                <w:szCs w:val="24"/>
              </w:rPr>
              <w:lastRenderedPageBreak/>
              <w:t>11</w:t>
            </w:r>
          </w:p>
        </w:tc>
        <w:tc>
          <w:tcPr>
            <w:tcW w:w="1275" w:type="dxa"/>
          </w:tcPr>
          <w:p w:rsidR="000B05B7" w:rsidRPr="00C07B16" w:rsidRDefault="00B01864" w:rsidP="00646A03">
            <w:pPr>
              <w:rPr>
                <w:sz w:val="24"/>
                <w:szCs w:val="24"/>
              </w:rPr>
            </w:pPr>
            <w:r>
              <w:rPr>
                <w:sz w:val="24"/>
                <w:szCs w:val="24"/>
              </w:rPr>
              <w:t>1-5, all locations</w:t>
            </w:r>
          </w:p>
        </w:tc>
        <w:tc>
          <w:tcPr>
            <w:tcW w:w="3119" w:type="dxa"/>
            <w:gridSpan w:val="2"/>
          </w:tcPr>
          <w:p w:rsidR="000B05B7" w:rsidRPr="00C07B16" w:rsidRDefault="000B05B7" w:rsidP="00AC4519">
            <w:pPr>
              <w:rPr>
                <w:sz w:val="24"/>
                <w:szCs w:val="24"/>
              </w:rPr>
            </w:pPr>
            <w:r w:rsidRPr="00C07B16">
              <w:rPr>
                <w:b/>
                <w:sz w:val="24"/>
                <w:szCs w:val="24"/>
              </w:rPr>
              <w:t xml:space="preserve">Exposure of operators and personnel to chemicals hazardous to health </w:t>
            </w:r>
            <w:r w:rsidRPr="00C07B16">
              <w:rPr>
                <w:sz w:val="24"/>
                <w:szCs w:val="24"/>
              </w:rPr>
              <w:t>leading to short and long term health problems and symptoms.</w:t>
            </w:r>
          </w:p>
        </w:tc>
        <w:tc>
          <w:tcPr>
            <w:tcW w:w="850" w:type="dxa"/>
          </w:tcPr>
          <w:p w:rsidR="000B05B7" w:rsidRDefault="00FE0F68" w:rsidP="00646A03">
            <w:pPr>
              <w:rPr>
                <w:b/>
                <w:sz w:val="24"/>
                <w:szCs w:val="24"/>
              </w:rPr>
            </w:pPr>
            <w:r>
              <w:rPr>
                <w:b/>
                <w:sz w:val="24"/>
                <w:szCs w:val="24"/>
              </w:rPr>
              <w:t>LIK</w:t>
            </w:r>
          </w:p>
          <w:p w:rsidR="00FE0F68" w:rsidRPr="00FE0F68" w:rsidRDefault="00FE0F68" w:rsidP="00646A03">
            <w:pPr>
              <w:rPr>
                <w:sz w:val="24"/>
                <w:szCs w:val="24"/>
              </w:rPr>
            </w:pPr>
            <w:r>
              <w:rPr>
                <w:sz w:val="24"/>
                <w:szCs w:val="24"/>
              </w:rPr>
              <w:t>SEV</w:t>
            </w:r>
          </w:p>
        </w:tc>
        <w:tc>
          <w:tcPr>
            <w:tcW w:w="4536" w:type="dxa"/>
          </w:tcPr>
          <w:p w:rsidR="000B05B7" w:rsidRPr="00C07B16" w:rsidRDefault="006433CA" w:rsidP="00DE04D5">
            <w:pPr>
              <w:rPr>
                <w:sz w:val="24"/>
                <w:szCs w:val="24"/>
              </w:rPr>
            </w:pPr>
            <w:r>
              <w:rPr>
                <w:sz w:val="24"/>
                <w:szCs w:val="24"/>
              </w:rPr>
              <w:t xml:space="preserve">COSHH assessment of all munition materials to be carried out. </w:t>
            </w:r>
            <w:r w:rsidR="00DE04D5">
              <w:rPr>
                <w:sz w:val="24"/>
                <w:szCs w:val="24"/>
              </w:rPr>
              <w:t>Prohibition</w:t>
            </w:r>
            <w:r w:rsidR="000B05B7" w:rsidRPr="00C07B16">
              <w:rPr>
                <w:sz w:val="24"/>
                <w:szCs w:val="24"/>
              </w:rPr>
              <w:t xml:space="preserve"> </w:t>
            </w:r>
            <w:r>
              <w:rPr>
                <w:sz w:val="24"/>
                <w:szCs w:val="24"/>
              </w:rPr>
              <w:t xml:space="preserve">or substitution </w:t>
            </w:r>
            <w:r w:rsidR="000B05B7" w:rsidRPr="00C07B16">
              <w:rPr>
                <w:sz w:val="24"/>
                <w:szCs w:val="24"/>
              </w:rPr>
              <w:t>of metals or other materials hazardous to health (e.g.: cadmium, lead)</w:t>
            </w:r>
            <w:r>
              <w:rPr>
                <w:sz w:val="24"/>
                <w:szCs w:val="24"/>
              </w:rPr>
              <w:t xml:space="preserve"> being used</w:t>
            </w:r>
            <w:r w:rsidR="000B05B7" w:rsidRPr="00C07B16">
              <w:rPr>
                <w:sz w:val="24"/>
                <w:szCs w:val="24"/>
              </w:rPr>
              <w:t xml:space="preserve"> in munition casing and on associated equipment as far as is reasonably practicable according to the ALARP protocol. Potential for exposure of any non-essential operators removed/reduced through use of exclusion zones.</w:t>
            </w:r>
          </w:p>
        </w:tc>
        <w:tc>
          <w:tcPr>
            <w:tcW w:w="799" w:type="dxa"/>
          </w:tcPr>
          <w:p w:rsidR="00FE0F68" w:rsidRDefault="00FE0F68" w:rsidP="00646A03">
            <w:pPr>
              <w:rPr>
                <w:b/>
                <w:sz w:val="24"/>
                <w:szCs w:val="24"/>
              </w:rPr>
            </w:pPr>
            <w:r>
              <w:rPr>
                <w:b/>
                <w:sz w:val="24"/>
                <w:szCs w:val="24"/>
              </w:rPr>
              <w:t>IMP</w:t>
            </w:r>
          </w:p>
          <w:p w:rsidR="000B05B7" w:rsidRPr="00FE0F68" w:rsidRDefault="00FE0F68" w:rsidP="00FE0F68">
            <w:pPr>
              <w:rPr>
                <w:sz w:val="24"/>
                <w:szCs w:val="24"/>
              </w:rPr>
            </w:pPr>
            <w:r>
              <w:rPr>
                <w:sz w:val="24"/>
                <w:szCs w:val="24"/>
              </w:rPr>
              <w:t>MIN</w:t>
            </w:r>
          </w:p>
        </w:tc>
      </w:tr>
      <w:tr w:rsidR="006433CA" w:rsidTr="009B78F3">
        <w:trPr>
          <w:trHeight w:val="2037"/>
        </w:trPr>
        <w:tc>
          <w:tcPr>
            <w:tcW w:w="421" w:type="dxa"/>
          </w:tcPr>
          <w:p w:rsidR="006433CA" w:rsidRPr="00C07B16" w:rsidRDefault="006B34E4" w:rsidP="00646A03">
            <w:pPr>
              <w:rPr>
                <w:sz w:val="24"/>
                <w:szCs w:val="24"/>
              </w:rPr>
            </w:pPr>
            <w:r>
              <w:rPr>
                <w:sz w:val="24"/>
                <w:szCs w:val="24"/>
              </w:rPr>
              <w:t>12</w:t>
            </w:r>
          </w:p>
        </w:tc>
        <w:tc>
          <w:tcPr>
            <w:tcW w:w="1275" w:type="dxa"/>
          </w:tcPr>
          <w:p w:rsidR="006433CA" w:rsidRPr="00C07B16" w:rsidRDefault="00B01864" w:rsidP="00646A03">
            <w:pPr>
              <w:rPr>
                <w:sz w:val="24"/>
                <w:szCs w:val="24"/>
              </w:rPr>
            </w:pPr>
            <w:r>
              <w:rPr>
                <w:sz w:val="24"/>
                <w:szCs w:val="24"/>
              </w:rPr>
              <w:t>1-5, all locations</w:t>
            </w:r>
          </w:p>
        </w:tc>
        <w:tc>
          <w:tcPr>
            <w:tcW w:w="3119" w:type="dxa"/>
            <w:gridSpan w:val="2"/>
          </w:tcPr>
          <w:p w:rsidR="006433CA" w:rsidRPr="006433CA" w:rsidRDefault="006433CA" w:rsidP="00AC4519">
            <w:pPr>
              <w:rPr>
                <w:sz w:val="24"/>
                <w:szCs w:val="24"/>
              </w:rPr>
            </w:pPr>
            <w:r>
              <w:rPr>
                <w:b/>
                <w:sz w:val="24"/>
                <w:szCs w:val="24"/>
              </w:rPr>
              <w:t xml:space="preserve">Accidental environmental release of munition or associated materials </w:t>
            </w:r>
            <w:r>
              <w:rPr>
                <w:sz w:val="24"/>
                <w:szCs w:val="24"/>
              </w:rPr>
              <w:t>leading to environmental damage</w:t>
            </w:r>
          </w:p>
        </w:tc>
        <w:tc>
          <w:tcPr>
            <w:tcW w:w="850" w:type="dxa"/>
          </w:tcPr>
          <w:p w:rsidR="00C01B91" w:rsidRDefault="00C01B91" w:rsidP="00646A03">
            <w:pPr>
              <w:rPr>
                <w:b/>
                <w:sz w:val="24"/>
                <w:szCs w:val="24"/>
              </w:rPr>
            </w:pPr>
            <w:r>
              <w:rPr>
                <w:b/>
                <w:sz w:val="24"/>
                <w:szCs w:val="24"/>
              </w:rPr>
              <w:t>OCC</w:t>
            </w:r>
          </w:p>
          <w:p w:rsidR="006433CA" w:rsidRPr="00C01B91" w:rsidRDefault="00C01B91" w:rsidP="00C01B91">
            <w:pPr>
              <w:rPr>
                <w:sz w:val="24"/>
                <w:szCs w:val="24"/>
              </w:rPr>
            </w:pPr>
            <w:r>
              <w:rPr>
                <w:sz w:val="24"/>
                <w:szCs w:val="24"/>
              </w:rPr>
              <w:t>SEV</w:t>
            </w:r>
          </w:p>
        </w:tc>
        <w:tc>
          <w:tcPr>
            <w:tcW w:w="4536" w:type="dxa"/>
          </w:tcPr>
          <w:p w:rsidR="00FE0F68" w:rsidRPr="00C07B16" w:rsidRDefault="00FE0F68" w:rsidP="00FE0F68">
            <w:pPr>
              <w:rPr>
                <w:sz w:val="24"/>
                <w:szCs w:val="24"/>
              </w:rPr>
            </w:pPr>
            <w:r w:rsidRPr="00C07B16">
              <w:rPr>
                <w:sz w:val="24"/>
                <w:szCs w:val="24"/>
              </w:rPr>
              <w:t xml:space="preserve">Munition only lifted using appropriate and certified apparatus during loading phase and any movements around the ship environment. </w:t>
            </w:r>
            <w:r>
              <w:rPr>
                <w:sz w:val="24"/>
                <w:szCs w:val="24"/>
              </w:rPr>
              <w:t xml:space="preserve">Lifting equipment to be maintained according to Safe use of lifting equipment: Approved Code of Practice &amp; LOLER Regulations. </w:t>
            </w:r>
            <w:r w:rsidRPr="00C07B16">
              <w:rPr>
                <w:sz w:val="24"/>
                <w:szCs w:val="24"/>
              </w:rPr>
              <w:t>Munition secured to withstand movement from pitch and roll of the ship, both in storage and when on-deck/launcher.</w:t>
            </w:r>
            <w:r>
              <w:rPr>
                <w:sz w:val="24"/>
                <w:szCs w:val="24"/>
              </w:rPr>
              <w:t xml:space="preserve"> This will </w:t>
            </w:r>
            <w:r w:rsidR="00B07CB6">
              <w:rPr>
                <w:sz w:val="24"/>
                <w:szCs w:val="24"/>
              </w:rPr>
              <w:t>reduce chances of munition moving outside designated areas.</w:t>
            </w:r>
          </w:p>
          <w:p w:rsidR="006433CA" w:rsidRDefault="006433CA" w:rsidP="000B05B7">
            <w:pPr>
              <w:rPr>
                <w:sz w:val="24"/>
                <w:szCs w:val="24"/>
              </w:rPr>
            </w:pPr>
            <w:r>
              <w:rPr>
                <w:sz w:val="24"/>
                <w:szCs w:val="24"/>
              </w:rPr>
              <w:t>COSHH assessment of all munition materials to be carried out. Munition to be designed such that internal materials cannot leak from casing on exposure to air or saltwater. Substitution of any casing materials which pose a danger to aquatic environments as fa</w:t>
            </w:r>
            <w:r w:rsidR="00413301">
              <w:rPr>
                <w:sz w:val="24"/>
                <w:szCs w:val="24"/>
              </w:rPr>
              <w:t>r as is reasonably practicable, according to the ALARP principle and according to environmental hazard severity and accidental release measures as described in safety data sheets.</w:t>
            </w:r>
          </w:p>
        </w:tc>
        <w:tc>
          <w:tcPr>
            <w:tcW w:w="799" w:type="dxa"/>
          </w:tcPr>
          <w:p w:rsidR="00C01B91" w:rsidRDefault="00C01B91" w:rsidP="00646A03">
            <w:pPr>
              <w:rPr>
                <w:b/>
                <w:sz w:val="24"/>
                <w:szCs w:val="24"/>
              </w:rPr>
            </w:pPr>
            <w:r>
              <w:rPr>
                <w:b/>
                <w:sz w:val="24"/>
                <w:szCs w:val="24"/>
              </w:rPr>
              <w:t>IMP</w:t>
            </w:r>
          </w:p>
          <w:p w:rsidR="006433CA" w:rsidRPr="00C01B91" w:rsidRDefault="00C01B91" w:rsidP="00C01B91">
            <w:pPr>
              <w:rPr>
                <w:sz w:val="24"/>
                <w:szCs w:val="24"/>
              </w:rPr>
            </w:pPr>
            <w:r>
              <w:rPr>
                <w:sz w:val="24"/>
                <w:szCs w:val="24"/>
              </w:rPr>
              <w:t>MAR</w:t>
            </w:r>
          </w:p>
        </w:tc>
      </w:tr>
      <w:tr w:rsidR="00756494" w:rsidTr="00E0594A">
        <w:trPr>
          <w:trHeight w:val="2037"/>
        </w:trPr>
        <w:tc>
          <w:tcPr>
            <w:tcW w:w="2407" w:type="dxa"/>
            <w:gridSpan w:val="3"/>
          </w:tcPr>
          <w:p w:rsidR="00BC7751" w:rsidRDefault="00BC7751" w:rsidP="00582227">
            <w:pPr>
              <w:rPr>
                <w:b/>
                <w:sz w:val="24"/>
                <w:szCs w:val="24"/>
              </w:rPr>
            </w:pPr>
          </w:p>
          <w:p w:rsidR="00756494" w:rsidRPr="00C07B16" w:rsidRDefault="00756494" w:rsidP="00582227">
            <w:pPr>
              <w:rPr>
                <w:sz w:val="24"/>
                <w:szCs w:val="24"/>
              </w:rPr>
            </w:pPr>
            <w:r w:rsidRPr="00C07B16">
              <w:rPr>
                <w:b/>
                <w:sz w:val="24"/>
                <w:szCs w:val="24"/>
              </w:rPr>
              <w:t xml:space="preserve">Generic Mitigations and Protocols applied to </w:t>
            </w:r>
            <w:r w:rsidR="00582227">
              <w:rPr>
                <w:b/>
                <w:sz w:val="24"/>
                <w:szCs w:val="24"/>
              </w:rPr>
              <w:t>ALL HAZARDS</w:t>
            </w:r>
            <w:r w:rsidRPr="00C07B16">
              <w:rPr>
                <w:b/>
                <w:sz w:val="24"/>
                <w:szCs w:val="24"/>
              </w:rPr>
              <w:t xml:space="preserve"> listed above</w:t>
            </w:r>
          </w:p>
        </w:tc>
        <w:tc>
          <w:tcPr>
            <w:tcW w:w="8593" w:type="dxa"/>
            <w:gridSpan w:val="4"/>
          </w:tcPr>
          <w:p w:rsidR="00BC7751" w:rsidRDefault="00BC7751" w:rsidP="006A19A2">
            <w:pPr>
              <w:tabs>
                <w:tab w:val="left" w:pos="1255"/>
              </w:tabs>
              <w:rPr>
                <w:sz w:val="24"/>
                <w:szCs w:val="24"/>
              </w:rPr>
            </w:pPr>
          </w:p>
          <w:p w:rsidR="00756494" w:rsidRDefault="00756494" w:rsidP="006A19A2">
            <w:pPr>
              <w:tabs>
                <w:tab w:val="left" w:pos="1255"/>
              </w:tabs>
              <w:rPr>
                <w:sz w:val="24"/>
                <w:szCs w:val="24"/>
              </w:rPr>
            </w:pPr>
            <w:r w:rsidRPr="00C07B16">
              <w:rPr>
                <w:sz w:val="24"/>
                <w:szCs w:val="24"/>
              </w:rPr>
              <w:t>All works, controls and mitigations to conform to all relevant local, national and international regulations. Mitigations and controls listed above to be implemented through a safe system of work (SSOW), featuring protocols and sub-protocols. All phases of the MTDS of the munition to have separate, experienced and knowledgeable duty holder assigned, in order to promote ownership or risk and implement the controls and mitigations as stated above, and comply with all protocols developed under the SSOW, as well as reporting to principal duty holder, as stated in Section 5 of JSP 520: Part 1.</w:t>
            </w:r>
            <w:r w:rsidR="00FE0F68">
              <w:rPr>
                <w:sz w:val="24"/>
                <w:szCs w:val="24"/>
              </w:rPr>
              <w:t xml:space="preserve"> Ship to implement exclusion zones and restricted access zones to reduce exposure of operators to hazards as far as possible.</w:t>
            </w:r>
            <w:r>
              <w:rPr>
                <w:sz w:val="24"/>
                <w:szCs w:val="24"/>
              </w:rPr>
              <w:t xml:space="preserve"> Particular focus on ensuring all above hazards deemed of critical and catastrophic severity are managed through compliance with guidelines on major accident control as established in DSA02 regulations, and managed via an MAPP (Major Accident Prevention Policy) as detailed in COMAH Regulations 2015. All dangerous occurrences, near misses, incidents to be reported, as according to RIDDOR regulations. This risk assessment to be reviewed and/or updated regularly or following reported incidents, to continually improve detection of hazards and safety.</w:t>
            </w:r>
          </w:p>
          <w:p w:rsidR="00B01864" w:rsidRPr="00C07B16" w:rsidRDefault="00B01864" w:rsidP="006A19A2">
            <w:pPr>
              <w:tabs>
                <w:tab w:val="left" w:pos="1255"/>
              </w:tabs>
              <w:rPr>
                <w:sz w:val="24"/>
                <w:szCs w:val="24"/>
              </w:rPr>
            </w:pPr>
          </w:p>
        </w:tc>
      </w:tr>
    </w:tbl>
    <w:p w:rsidR="006A19A2" w:rsidRDefault="006A19A2" w:rsidP="006E213B">
      <w:pPr>
        <w:rPr>
          <w:sz w:val="28"/>
        </w:rPr>
      </w:pPr>
    </w:p>
    <w:p w:rsidR="000B05B7" w:rsidRDefault="00D04A2E" w:rsidP="006E213B">
      <w:pPr>
        <w:rPr>
          <w:sz w:val="28"/>
        </w:rPr>
      </w:pPr>
      <w:r>
        <w:rPr>
          <w:sz w:val="28"/>
        </w:rPr>
        <w:lastRenderedPageBreak/>
        <w:t>Standards and documents of particular importance to the above controls and mitigations specified:</w:t>
      </w:r>
    </w:p>
    <w:p w:rsidR="00D04A2E" w:rsidRPr="00C01B91" w:rsidRDefault="00D04A2E" w:rsidP="006E213B">
      <w:r w:rsidRPr="00C01B91">
        <w:t>JSP 520 (including in particular herein the protocols set out by IMAP)</w:t>
      </w:r>
      <w:r w:rsidR="000A4E25" w:rsidRPr="00C01B91">
        <w:t xml:space="preserve"> </w:t>
      </w:r>
      <w:sdt>
        <w:sdtPr>
          <w:id w:val="-2083283621"/>
          <w:citation/>
        </w:sdtPr>
        <w:sdtEndPr/>
        <w:sdtContent>
          <w:r w:rsidR="000A4E25" w:rsidRPr="00C01B91">
            <w:fldChar w:fldCharType="begin"/>
          </w:r>
          <w:r w:rsidR="00004622" w:rsidRPr="00C01B91">
            <w:instrText xml:space="preserve">CITATION MOD15 \l 2057 </w:instrText>
          </w:r>
          <w:r w:rsidR="000A4E25" w:rsidRPr="00C01B91">
            <w:fldChar w:fldCharType="separate"/>
          </w:r>
          <w:r w:rsidR="00E121DA" w:rsidRPr="00E121DA">
            <w:rPr>
              <w:noProof/>
            </w:rPr>
            <w:t>[1]</w:t>
          </w:r>
          <w:r w:rsidR="000A4E25" w:rsidRPr="00C01B91">
            <w:fldChar w:fldCharType="end"/>
          </w:r>
        </w:sdtContent>
      </w:sdt>
      <w:sdt>
        <w:sdtPr>
          <w:id w:val="1135445513"/>
          <w:citation/>
        </w:sdtPr>
        <w:sdtEndPr/>
        <w:sdtContent>
          <w:r w:rsidR="00004622" w:rsidRPr="00C01B91">
            <w:fldChar w:fldCharType="begin"/>
          </w:r>
          <w:r w:rsidR="00004622" w:rsidRPr="00C01B91">
            <w:instrText xml:space="preserve"> CITATION MOD151 \l 2057 </w:instrText>
          </w:r>
          <w:r w:rsidR="00004622" w:rsidRPr="00C01B91">
            <w:fldChar w:fldCharType="separate"/>
          </w:r>
          <w:r w:rsidR="00E121DA">
            <w:rPr>
              <w:noProof/>
            </w:rPr>
            <w:t xml:space="preserve"> </w:t>
          </w:r>
          <w:r w:rsidR="00E121DA" w:rsidRPr="00E121DA">
            <w:rPr>
              <w:noProof/>
            </w:rPr>
            <w:t>[2]</w:t>
          </w:r>
          <w:r w:rsidR="00004622" w:rsidRPr="00C01B91">
            <w:fldChar w:fldCharType="end"/>
          </w:r>
        </w:sdtContent>
      </w:sdt>
    </w:p>
    <w:p w:rsidR="00D04A2E" w:rsidRPr="00C01B91" w:rsidRDefault="00D04A2E" w:rsidP="006E213B">
      <w:r w:rsidRPr="00C01B91">
        <w:t>STANAG 4439</w:t>
      </w:r>
      <w:r w:rsidR="000A4E25" w:rsidRPr="00C01B91">
        <w:t xml:space="preserve"> </w:t>
      </w:r>
      <w:sdt>
        <w:sdtPr>
          <w:id w:val="177007057"/>
          <w:citation/>
        </w:sdtPr>
        <w:sdtEndPr/>
        <w:sdtContent>
          <w:r w:rsidR="000A4E25" w:rsidRPr="00C01B91">
            <w:fldChar w:fldCharType="begin"/>
          </w:r>
          <w:r w:rsidR="000A4E25" w:rsidRPr="00C01B91">
            <w:instrText xml:space="preserve"> CITATION NAT18 \l 2057 </w:instrText>
          </w:r>
          <w:r w:rsidR="000A4E25" w:rsidRPr="00C01B91">
            <w:fldChar w:fldCharType="separate"/>
          </w:r>
          <w:r w:rsidR="00E121DA" w:rsidRPr="00E121DA">
            <w:rPr>
              <w:noProof/>
            </w:rPr>
            <w:t>[3]</w:t>
          </w:r>
          <w:r w:rsidR="000A4E25" w:rsidRPr="00C01B91">
            <w:fldChar w:fldCharType="end"/>
          </w:r>
        </w:sdtContent>
      </w:sdt>
    </w:p>
    <w:p w:rsidR="00D04A2E" w:rsidRPr="00C01B91" w:rsidRDefault="00D04A2E" w:rsidP="006E213B">
      <w:r w:rsidRPr="00C01B91">
        <w:t>EMTAP Testing Manual</w:t>
      </w:r>
      <w:r w:rsidR="009640C2" w:rsidRPr="00C01B91">
        <w:t xml:space="preserve"> </w:t>
      </w:r>
      <w:sdt>
        <w:sdtPr>
          <w:id w:val="-1088069912"/>
          <w:citation/>
        </w:sdtPr>
        <w:sdtEndPr/>
        <w:sdtContent>
          <w:r w:rsidR="009640C2" w:rsidRPr="00C01B91">
            <w:fldChar w:fldCharType="begin"/>
          </w:r>
          <w:r w:rsidR="009640C2" w:rsidRPr="00C01B91">
            <w:instrText xml:space="preserve"> CITATION HSE23 \l 2057 </w:instrText>
          </w:r>
          <w:r w:rsidR="009640C2" w:rsidRPr="00C01B91">
            <w:fldChar w:fldCharType="separate"/>
          </w:r>
          <w:r w:rsidR="00E121DA" w:rsidRPr="00E121DA">
            <w:rPr>
              <w:noProof/>
            </w:rPr>
            <w:t>[4]</w:t>
          </w:r>
          <w:r w:rsidR="009640C2" w:rsidRPr="00C01B91">
            <w:fldChar w:fldCharType="end"/>
          </w:r>
        </w:sdtContent>
      </w:sdt>
    </w:p>
    <w:p w:rsidR="009640C2" w:rsidRPr="00C01B91" w:rsidRDefault="009640C2" w:rsidP="006E213B">
      <w:r w:rsidRPr="00C01B91">
        <w:t xml:space="preserve">UN Manual of Test and Criteria </w:t>
      </w:r>
      <w:sdt>
        <w:sdtPr>
          <w:id w:val="-793597203"/>
          <w:citation/>
        </w:sdtPr>
        <w:sdtEndPr/>
        <w:sdtContent>
          <w:r w:rsidRPr="00C01B91">
            <w:fldChar w:fldCharType="begin"/>
          </w:r>
          <w:r w:rsidRPr="00C01B91">
            <w:instrText xml:space="preserve"> CITATION Uni19 \l 2057 </w:instrText>
          </w:r>
          <w:r w:rsidRPr="00C01B91">
            <w:fldChar w:fldCharType="separate"/>
          </w:r>
          <w:r w:rsidR="00E121DA" w:rsidRPr="00E121DA">
            <w:rPr>
              <w:noProof/>
            </w:rPr>
            <w:t>[5]</w:t>
          </w:r>
          <w:r w:rsidRPr="00C01B91">
            <w:fldChar w:fldCharType="end"/>
          </w:r>
        </w:sdtContent>
      </w:sdt>
    </w:p>
    <w:p w:rsidR="009640C2" w:rsidRPr="00C01B91" w:rsidRDefault="009640C2" w:rsidP="006E213B">
      <w:r w:rsidRPr="00C01B91">
        <w:t xml:space="preserve">JSP 333: Services Textbook of Explosives </w:t>
      </w:r>
      <w:sdt>
        <w:sdtPr>
          <w:id w:val="-522091112"/>
          <w:citation/>
        </w:sdtPr>
        <w:sdtEndPr/>
        <w:sdtContent>
          <w:r w:rsidRPr="00C01B91">
            <w:fldChar w:fldCharType="begin"/>
          </w:r>
          <w:r w:rsidRPr="00C01B91">
            <w:instrText xml:space="preserve"> CITATION MOD72 \l 2057 </w:instrText>
          </w:r>
          <w:r w:rsidRPr="00C01B91">
            <w:fldChar w:fldCharType="separate"/>
          </w:r>
          <w:r w:rsidR="00E121DA" w:rsidRPr="00E121DA">
            <w:rPr>
              <w:noProof/>
            </w:rPr>
            <w:t>[6]</w:t>
          </w:r>
          <w:r w:rsidRPr="00C01B91">
            <w:fldChar w:fldCharType="end"/>
          </w:r>
        </w:sdtContent>
      </w:sdt>
    </w:p>
    <w:p w:rsidR="006A19A2" w:rsidRPr="00C01B91" w:rsidRDefault="00C07B16" w:rsidP="0079694A">
      <w:pPr>
        <w:tabs>
          <w:tab w:val="left" w:pos="1255"/>
        </w:tabs>
      </w:pPr>
      <w:r w:rsidRPr="00C01B91">
        <w:t>JSP 762 (including in particular Chapter 9 on Policy and Procedures for Munitions Disposal)</w:t>
      </w:r>
      <w:r w:rsidR="00D6603D" w:rsidRPr="00C01B91">
        <w:t xml:space="preserve"> </w:t>
      </w:r>
      <w:sdt>
        <w:sdtPr>
          <w:id w:val="-1631382922"/>
          <w:citation/>
        </w:sdtPr>
        <w:sdtEndPr/>
        <w:sdtContent>
          <w:r w:rsidR="00D6603D" w:rsidRPr="00C01B91">
            <w:fldChar w:fldCharType="begin"/>
          </w:r>
          <w:r w:rsidR="00D6603D" w:rsidRPr="00C01B91">
            <w:instrText xml:space="preserve"> CITATION MOD14 \l 2057 </w:instrText>
          </w:r>
          <w:r w:rsidR="00D6603D" w:rsidRPr="00C01B91">
            <w:fldChar w:fldCharType="separate"/>
          </w:r>
          <w:r w:rsidR="00E121DA" w:rsidRPr="00E121DA">
            <w:rPr>
              <w:noProof/>
            </w:rPr>
            <w:t>[7]</w:t>
          </w:r>
          <w:r w:rsidR="00D6603D" w:rsidRPr="00C01B91">
            <w:fldChar w:fldCharType="end"/>
          </w:r>
        </w:sdtContent>
      </w:sdt>
    </w:p>
    <w:p w:rsidR="00C07B16" w:rsidRPr="00C01B91" w:rsidRDefault="00C07B16" w:rsidP="0079694A">
      <w:pPr>
        <w:tabs>
          <w:tab w:val="left" w:pos="1255"/>
        </w:tabs>
      </w:pPr>
      <w:r w:rsidRPr="00C01B91">
        <w:t>DSA02 (including in particular information contained within on Major Accident Control)</w:t>
      </w:r>
      <w:r w:rsidR="00203F1D">
        <w:t xml:space="preserve"> </w:t>
      </w:r>
      <w:sdt>
        <w:sdtPr>
          <w:id w:val="-221917405"/>
          <w:citation/>
        </w:sdtPr>
        <w:sdtEndPr/>
        <w:sdtContent>
          <w:r w:rsidR="00203F1D">
            <w:fldChar w:fldCharType="begin"/>
          </w:r>
          <w:r w:rsidR="00203F1D">
            <w:instrText xml:space="preserve"> CITATION Def20 \l 2057 </w:instrText>
          </w:r>
          <w:r w:rsidR="00203F1D">
            <w:fldChar w:fldCharType="separate"/>
          </w:r>
          <w:r w:rsidR="00E121DA" w:rsidRPr="00E121DA">
            <w:rPr>
              <w:noProof/>
            </w:rPr>
            <w:t>[8]</w:t>
          </w:r>
          <w:r w:rsidR="00203F1D">
            <w:fldChar w:fldCharType="end"/>
          </w:r>
        </w:sdtContent>
      </w:sdt>
    </w:p>
    <w:p w:rsidR="008A2D6C" w:rsidRPr="00C01B91" w:rsidRDefault="008A2D6C" w:rsidP="0079694A">
      <w:pPr>
        <w:tabs>
          <w:tab w:val="left" w:pos="1255"/>
        </w:tabs>
      </w:pPr>
      <w:r w:rsidRPr="00C01B91">
        <w:t>COSHH Regulations 2002</w:t>
      </w:r>
      <w:r w:rsidR="00AF33D1">
        <w:t xml:space="preserve"> </w:t>
      </w:r>
      <w:sdt>
        <w:sdtPr>
          <w:id w:val="655031057"/>
          <w:citation/>
        </w:sdtPr>
        <w:sdtEndPr/>
        <w:sdtContent>
          <w:r w:rsidR="00AF33D1">
            <w:fldChar w:fldCharType="begin"/>
          </w:r>
          <w:r w:rsidR="00AF33D1">
            <w:instrText xml:space="preserve"> CITATION UKG02 \l 2057 </w:instrText>
          </w:r>
          <w:r w:rsidR="00AF33D1">
            <w:fldChar w:fldCharType="separate"/>
          </w:r>
          <w:r w:rsidR="00E121DA" w:rsidRPr="00E121DA">
            <w:rPr>
              <w:noProof/>
            </w:rPr>
            <w:t>[9]</w:t>
          </w:r>
          <w:r w:rsidR="00AF33D1">
            <w:fldChar w:fldCharType="end"/>
          </w:r>
        </w:sdtContent>
      </w:sdt>
    </w:p>
    <w:p w:rsidR="00F90379" w:rsidRPr="00C01B91" w:rsidRDefault="00F90379" w:rsidP="0079694A">
      <w:pPr>
        <w:tabs>
          <w:tab w:val="left" w:pos="1255"/>
        </w:tabs>
      </w:pPr>
      <w:r w:rsidRPr="00C01B91">
        <w:t>COMAH Regulations 2015 (including ion particular the guidance on producing MAPP)</w:t>
      </w:r>
      <w:r w:rsidR="00AF33D1">
        <w:t xml:space="preserve"> </w:t>
      </w:r>
      <w:sdt>
        <w:sdtPr>
          <w:id w:val="2052883569"/>
          <w:citation/>
        </w:sdtPr>
        <w:sdtEndPr/>
        <w:sdtContent>
          <w:r w:rsidR="00AF33D1">
            <w:fldChar w:fldCharType="begin"/>
          </w:r>
          <w:r w:rsidR="00AF33D1">
            <w:instrText xml:space="preserve"> CITATION UKG \l 2057 </w:instrText>
          </w:r>
          <w:r w:rsidR="00AF33D1">
            <w:fldChar w:fldCharType="separate"/>
          </w:r>
          <w:r w:rsidR="00E121DA" w:rsidRPr="00E121DA">
            <w:rPr>
              <w:noProof/>
            </w:rPr>
            <w:t>[10]</w:t>
          </w:r>
          <w:r w:rsidR="00AF33D1">
            <w:fldChar w:fldCharType="end"/>
          </w:r>
        </w:sdtContent>
      </w:sdt>
    </w:p>
    <w:p w:rsidR="00070217" w:rsidRPr="00C01B91" w:rsidRDefault="00070217" w:rsidP="0079694A">
      <w:pPr>
        <w:tabs>
          <w:tab w:val="left" w:pos="1255"/>
        </w:tabs>
      </w:pPr>
      <w:r w:rsidRPr="00C01B91">
        <w:t>LOLER Regulations 1998 &amp; Safe use of lifting equipment: Approved Code of Practice</w:t>
      </w:r>
      <w:r w:rsidR="00AF33D1">
        <w:t xml:space="preserve"> </w:t>
      </w:r>
      <w:sdt>
        <w:sdtPr>
          <w:id w:val="1572389739"/>
          <w:citation/>
        </w:sdtPr>
        <w:sdtEndPr/>
        <w:sdtContent>
          <w:r w:rsidR="00AF33D1">
            <w:fldChar w:fldCharType="begin"/>
          </w:r>
          <w:r w:rsidR="00AF33D1">
            <w:instrText xml:space="preserve"> CITATION UKG98 \l 2057 </w:instrText>
          </w:r>
          <w:r w:rsidR="00AF33D1">
            <w:fldChar w:fldCharType="separate"/>
          </w:r>
          <w:r w:rsidR="00E121DA" w:rsidRPr="00E121DA">
            <w:rPr>
              <w:noProof/>
            </w:rPr>
            <w:t>[11]</w:t>
          </w:r>
          <w:r w:rsidR="00AF33D1">
            <w:fldChar w:fldCharType="end"/>
          </w:r>
        </w:sdtContent>
      </w:sdt>
      <w:r w:rsidR="00AF33D1">
        <w:t xml:space="preserve"> </w:t>
      </w:r>
      <w:sdt>
        <w:sdtPr>
          <w:id w:val="455918003"/>
          <w:citation/>
        </w:sdtPr>
        <w:sdtEndPr/>
        <w:sdtContent>
          <w:r w:rsidR="00AF33D1">
            <w:fldChar w:fldCharType="begin"/>
          </w:r>
          <w:r w:rsidR="00AF33D1">
            <w:instrText xml:space="preserve"> CITATION HSE14 \l 2057 </w:instrText>
          </w:r>
          <w:r w:rsidR="00AF33D1">
            <w:fldChar w:fldCharType="separate"/>
          </w:r>
          <w:r w:rsidR="00E121DA" w:rsidRPr="00E121DA">
            <w:rPr>
              <w:noProof/>
            </w:rPr>
            <w:t>[12]</w:t>
          </w:r>
          <w:r w:rsidR="00AF33D1">
            <w:fldChar w:fldCharType="end"/>
          </w:r>
        </w:sdtContent>
      </w:sdt>
    </w:p>
    <w:p w:rsidR="007C277B" w:rsidRDefault="00070217" w:rsidP="0079694A">
      <w:pPr>
        <w:tabs>
          <w:tab w:val="left" w:pos="1255"/>
        </w:tabs>
      </w:pPr>
      <w:r w:rsidRPr="00C01B91">
        <w:t>RIDDOR Regulations 2013</w:t>
      </w:r>
      <w:r w:rsidR="00AF33D1">
        <w:t xml:space="preserve"> </w:t>
      </w:r>
      <w:sdt>
        <w:sdtPr>
          <w:id w:val="1815059722"/>
          <w:citation/>
        </w:sdtPr>
        <w:sdtEndPr/>
        <w:sdtContent>
          <w:r w:rsidR="00AF33D1">
            <w:fldChar w:fldCharType="begin"/>
          </w:r>
          <w:r w:rsidR="00AF33D1">
            <w:instrText xml:space="preserve"> CITATION UKG1 \l 2057 </w:instrText>
          </w:r>
          <w:r w:rsidR="00AF33D1">
            <w:fldChar w:fldCharType="separate"/>
          </w:r>
          <w:r w:rsidR="00E121DA" w:rsidRPr="00E121DA">
            <w:rPr>
              <w:noProof/>
            </w:rPr>
            <w:t>[13]</w:t>
          </w:r>
          <w:r w:rsidR="00AF33D1">
            <w:fldChar w:fldCharType="end"/>
          </w:r>
        </w:sdtContent>
      </w:sdt>
    </w:p>
    <w:p w:rsidR="007C277B" w:rsidRDefault="007C277B" w:rsidP="007C277B">
      <w:r>
        <w:rPr>
          <w:noProof/>
          <w:lang w:eastAsia="en-GB"/>
        </w:rPr>
        <mc:AlternateContent>
          <mc:Choice Requires="wps">
            <w:drawing>
              <wp:anchor distT="0" distB="0" distL="114300" distR="114300" simplePos="0" relativeHeight="251663360" behindDoc="0" locked="0" layoutInCell="1" allowOverlap="1" wp14:anchorId="7E781F64" wp14:editId="61592BE6">
                <wp:simplePos x="0" y="0"/>
                <wp:positionH relativeFrom="column">
                  <wp:posOffset>5508</wp:posOffset>
                </wp:positionH>
                <wp:positionV relativeFrom="paragraph">
                  <wp:posOffset>4382372</wp:posOffset>
                </wp:positionV>
                <wp:extent cx="6569075" cy="705080"/>
                <wp:effectExtent l="0" t="0" r="22225" b="19050"/>
                <wp:wrapNone/>
                <wp:docPr id="7" name="Text Box 7"/>
                <wp:cNvGraphicFramePr/>
                <a:graphic xmlns:a="http://schemas.openxmlformats.org/drawingml/2006/main">
                  <a:graphicData uri="http://schemas.microsoft.com/office/word/2010/wordprocessingShape">
                    <wps:wsp>
                      <wps:cNvSpPr txBox="1"/>
                      <wps:spPr>
                        <a:xfrm>
                          <a:off x="0" y="0"/>
                          <a:ext cx="6569075" cy="70508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7C277B" w:rsidRPr="007C277B" w:rsidRDefault="007C277B">
                            <w:r>
                              <w:rPr>
                                <w:b/>
                              </w:rPr>
                              <w:t xml:space="preserve">Fig.1 above: </w:t>
                            </w:r>
                            <w:r>
                              <w:t>Table showing the hazard matrix, with initial risk (green text) and residual risk (red text) plotted for each numbered hazard from the tabular risk assessment. Diagonal line shows the maximum level of acceptable risk. Key defines the descriptor for hazard severity.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781F64" id="Text Box 7" o:spid="_x0000_s1029" type="#_x0000_t202" style="position:absolute;margin-left:.45pt;margin-top:345.05pt;width:517.25pt;height:5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" fillcolor="white [3201]" strokeweight=".5pt">
                <v:textbox>
                  <w:txbxContent>
                    <w:p w:rsidR="007C277B" w:rsidRPr="007C277B" w:rsidRDefault="007C277B">
                      <w:r>
                        <w:rPr>
                          <w:b/>
                        </w:rPr>
                        <w:t xml:space="preserve">Fig.1 above: </w:t>
                      </w:r>
                      <w:r>
                        <w:t>Table showing the hazard matrix, with initial risk (green text) and residual risk (red text) plotted for each numbered hazard from the tabular risk assessment. Diagonal line shows the maximum level of acceptable risk. Key defines the descriptor for hazard severity.</w:t>
                      </w:r>
                    </w:p>
                  </w:txbxContent>
                </v:textbox>
              </v:shape>
            </w:pict>
          </mc:Fallback>
        </mc:AlternateContent>
      </w:r>
      <w:r w:rsidRPr="007C277B">
        <w:rPr>
          <w:noProof/>
          <w:lang w:eastAsia="en-GB"/>
        </w:rPr>
        <w:drawing>
          <wp:inline distT="0" distB="0" distL="0" distR="0" wp14:anchorId="1A52D09A" wp14:editId="76196A9A">
            <wp:extent cx="6569458" cy="4274544"/>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593740" cy="4290343"/>
                    </a:xfrm>
                    <a:prstGeom prst="rect">
                      <a:avLst/>
                    </a:prstGeom>
                    <a:noFill/>
                    <a:ln>
                      <a:noFill/>
                    </a:ln>
                  </pic:spPr>
                </pic:pic>
              </a:graphicData>
            </a:graphic>
          </wp:inline>
        </w:drawing>
      </w:r>
    </w:p>
    <w:p w:rsidR="000B63F9" w:rsidRDefault="000B63F9" w:rsidP="007C277B"/>
    <w:p w:rsidR="000B63F9" w:rsidRPr="000B63F9" w:rsidRDefault="000B63F9" w:rsidP="000B63F9"/>
    <w:p w:rsidR="000B63F9" w:rsidRDefault="000B63F9" w:rsidP="000B63F9"/>
    <w:p w:rsidR="00070217" w:rsidRDefault="00070217" w:rsidP="000B63F9">
      <w:pPr>
        <w:ind w:firstLine="720"/>
      </w:pPr>
    </w:p>
    <w:p w:rsidR="000B63F9" w:rsidRDefault="000B63F9" w:rsidP="000B63F9">
      <w:pPr>
        <w:ind w:firstLine="720"/>
      </w:pPr>
    </w:p>
    <w:p w:rsidR="000B63F9" w:rsidRPr="00B878EC" w:rsidRDefault="00B878EC" w:rsidP="004D0F95">
      <w:pPr>
        <w:jc w:val="center"/>
        <w:rPr>
          <w:b/>
          <w:sz w:val="28"/>
        </w:rPr>
      </w:pPr>
      <w:r w:rsidRPr="00B878EC">
        <w:rPr>
          <w:b/>
          <w:sz w:val="28"/>
        </w:rPr>
        <w:lastRenderedPageBreak/>
        <w:t>ALARP Justification</w:t>
      </w:r>
    </w:p>
    <w:p w:rsidR="00B878EC" w:rsidRDefault="00B878EC" w:rsidP="00B878EC">
      <w:pPr>
        <w:rPr>
          <w:sz w:val="28"/>
          <w:szCs w:val="24"/>
        </w:rPr>
      </w:pPr>
      <w:r>
        <w:rPr>
          <w:sz w:val="28"/>
        </w:rPr>
        <w:t xml:space="preserve">This safety case/ALARP justification covers the reasoning for the chosen controls and mitigations </w:t>
      </w:r>
      <w:r w:rsidR="000D3CBE">
        <w:rPr>
          <w:sz w:val="28"/>
        </w:rPr>
        <w:t xml:space="preserve">and the resultant residual risk </w:t>
      </w:r>
      <w:r>
        <w:rPr>
          <w:sz w:val="28"/>
        </w:rPr>
        <w:t>pertaining to Hazard 3 (in the above risk assessment):</w:t>
      </w:r>
      <w:r w:rsidRPr="00B878EC">
        <w:rPr>
          <w:sz w:val="32"/>
        </w:rPr>
        <w:t xml:space="preserve"> </w:t>
      </w:r>
      <w:r w:rsidRPr="00B878EC">
        <w:rPr>
          <w:sz w:val="28"/>
          <w:szCs w:val="24"/>
        </w:rPr>
        <w:t>Shock/impact or vibration to munition during loading, in storage or on-deck leading to inadvertent initiation and causing high order event. Damage to surrounding facilities, high chance of severe injury and death of operators.</w:t>
      </w:r>
    </w:p>
    <w:p w:rsidR="002205D2" w:rsidRDefault="00CD6A86" w:rsidP="00B878EC">
      <w:pPr>
        <w:rPr>
          <w:sz w:val="28"/>
          <w:szCs w:val="24"/>
        </w:rPr>
      </w:pPr>
      <w:r>
        <w:rPr>
          <w:sz w:val="28"/>
          <w:szCs w:val="24"/>
        </w:rPr>
        <w:t>Both initial and residual severity for Hazard 3 are rated catastrophic, since the effect of an inadvertent initiation leading to a high-order event cannot be easily mitigated. However the likelihood for residual risk has been downgraded to ‘improbable’ (10</w:t>
      </w:r>
      <w:r>
        <w:rPr>
          <w:sz w:val="28"/>
          <w:szCs w:val="24"/>
          <w:vertAlign w:val="superscript"/>
        </w:rPr>
        <w:t>-6</w:t>
      </w:r>
      <w:r>
        <w:rPr>
          <w:sz w:val="28"/>
          <w:szCs w:val="24"/>
        </w:rPr>
        <w:t xml:space="preserve"> probability) from ‘likely’ (10</w:t>
      </w:r>
      <w:r>
        <w:rPr>
          <w:sz w:val="28"/>
          <w:szCs w:val="24"/>
          <w:vertAlign w:val="superscript"/>
        </w:rPr>
        <w:t>-3</w:t>
      </w:r>
      <w:r>
        <w:rPr>
          <w:sz w:val="28"/>
          <w:szCs w:val="24"/>
        </w:rPr>
        <w:t>-10</w:t>
      </w:r>
      <w:r>
        <w:rPr>
          <w:sz w:val="28"/>
          <w:szCs w:val="24"/>
          <w:vertAlign w:val="superscript"/>
        </w:rPr>
        <w:t>-4</w:t>
      </w:r>
      <w:r>
        <w:rPr>
          <w:sz w:val="28"/>
          <w:szCs w:val="24"/>
        </w:rPr>
        <w:t xml:space="preserve"> probability), based on multiple controls and mitigations</w:t>
      </w:r>
      <w:r w:rsidR="00806A81">
        <w:rPr>
          <w:sz w:val="28"/>
          <w:szCs w:val="24"/>
        </w:rPr>
        <w:t>. These have reduced both the chances of the munition being exposed to shock, impact or vibration, and the chances of inadvertent initiation and high-order event occurring if/when the munition is exposed to shock, impact or vibration.</w:t>
      </w:r>
      <w:r w:rsidR="002205D2">
        <w:rPr>
          <w:sz w:val="28"/>
          <w:szCs w:val="24"/>
        </w:rPr>
        <w:t xml:space="preserve"> The below controls &amp; mitigations reduce the overall risk as low as reasonably practicable.</w:t>
      </w:r>
    </w:p>
    <w:p w:rsidR="002205D2" w:rsidRDefault="00806A81" w:rsidP="00B878EC">
      <w:pPr>
        <w:rPr>
          <w:sz w:val="28"/>
          <w:szCs w:val="24"/>
        </w:rPr>
      </w:pPr>
      <w:r>
        <w:rPr>
          <w:sz w:val="28"/>
          <w:szCs w:val="24"/>
        </w:rPr>
        <w:t xml:space="preserve">By following stringent protocols </w:t>
      </w:r>
      <w:r w:rsidR="002205D2">
        <w:rPr>
          <w:sz w:val="28"/>
          <w:szCs w:val="24"/>
        </w:rPr>
        <w:t>pertaining to</w:t>
      </w:r>
      <w:r>
        <w:rPr>
          <w:sz w:val="28"/>
          <w:szCs w:val="24"/>
        </w:rPr>
        <w:t xml:space="preserve"> each piece of lifting equipment used during dockside replenishment, as well </w:t>
      </w:r>
      <w:r w:rsidR="00A42562">
        <w:rPr>
          <w:sz w:val="28"/>
          <w:szCs w:val="24"/>
        </w:rPr>
        <w:t>on-ship moving</w:t>
      </w:r>
      <w:r>
        <w:rPr>
          <w:sz w:val="28"/>
          <w:szCs w:val="24"/>
        </w:rPr>
        <w:t xml:space="preserve"> of the munition between storage and deck, the chances of the munition being exposed to impact and shock are significantly reduced. Lifting equ</w:t>
      </w:r>
      <w:r w:rsidR="002205D2">
        <w:rPr>
          <w:sz w:val="28"/>
          <w:szCs w:val="24"/>
        </w:rPr>
        <w:t>ipment will be operated under a tailored</w:t>
      </w:r>
      <w:r>
        <w:rPr>
          <w:sz w:val="28"/>
          <w:szCs w:val="24"/>
        </w:rPr>
        <w:t xml:space="preserve"> ‘approved code of practice’ in line with that set out for use of lifting equipment in the LOLER (Lifting Operations and Lifting Equipment Regulations) 1998</w:t>
      </w:r>
      <w:r w:rsidR="002205D2">
        <w:rPr>
          <w:sz w:val="28"/>
          <w:szCs w:val="24"/>
        </w:rPr>
        <w:t xml:space="preserve"> </w:t>
      </w:r>
      <w:sdt>
        <w:sdtPr>
          <w:rPr>
            <w:sz w:val="28"/>
            <w:szCs w:val="24"/>
          </w:rPr>
          <w:id w:val="1300804508"/>
          <w:citation/>
        </w:sdtPr>
        <w:sdtEndPr/>
        <w:sdtContent>
          <w:r w:rsidR="002205D2">
            <w:rPr>
              <w:sz w:val="28"/>
              <w:szCs w:val="24"/>
            </w:rPr>
            <w:fldChar w:fldCharType="begin"/>
          </w:r>
          <w:r w:rsidR="002205D2">
            <w:rPr>
              <w:sz w:val="28"/>
              <w:szCs w:val="24"/>
            </w:rPr>
            <w:instrText xml:space="preserve"> CITATION UKG98 \l 2057 </w:instrText>
          </w:r>
          <w:r w:rsidR="002205D2">
            <w:rPr>
              <w:sz w:val="28"/>
              <w:szCs w:val="24"/>
            </w:rPr>
            <w:fldChar w:fldCharType="separate"/>
          </w:r>
          <w:r w:rsidR="00E121DA" w:rsidRPr="00E121DA">
            <w:rPr>
              <w:noProof/>
              <w:sz w:val="28"/>
              <w:szCs w:val="24"/>
            </w:rPr>
            <w:t>[11]</w:t>
          </w:r>
          <w:r w:rsidR="002205D2">
            <w:rPr>
              <w:sz w:val="28"/>
              <w:szCs w:val="24"/>
            </w:rPr>
            <w:fldChar w:fldCharType="end"/>
          </w:r>
        </w:sdtContent>
      </w:sdt>
      <w:sdt>
        <w:sdtPr>
          <w:rPr>
            <w:sz w:val="28"/>
            <w:szCs w:val="24"/>
          </w:rPr>
          <w:id w:val="-350959493"/>
          <w:citation/>
        </w:sdtPr>
        <w:sdtEndPr/>
        <w:sdtContent>
          <w:r w:rsidR="002205D2">
            <w:rPr>
              <w:sz w:val="28"/>
              <w:szCs w:val="24"/>
            </w:rPr>
            <w:fldChar w:fldCharType="begin"/>
          </w:r>
          <w:r w:rsidR="002205D2">
            <w:rPr>
              <w:sz w:val="28"/>
              <w:szCs w:val="24"/>
            </w:rPr>
            <w:instrText xml:space="preserve"> CITATION HSE14 \l 2057 </w:instrText>
          </w:r>
          <w:r w:rsidR="002205D2">
            <w:rPr>
              <w:sz w:val="28"/>
              <w:szCs w:val="24"/>
            </w:rPr>
            <w:fldChar w:fldCharType="separate"/>
          </w:r>
          <w:r w:rsidR="00E121DA">
            <w:rPr>
              <w:noProof/>
              <w:sz w:val="28"/>
              <w:szCs w:val="24"/>
            </w:rPr>
            <w:t xml:space="preserve"> </w:t>
          </w:r>
          <w:r w:rsidR="00E121DA" w:rsidRPr="00E121DA">
            <w:rPr>
              <w:noProof/>
              <w:sz w:val="28"/>
              <w:szCs w:val="24"/>
            </w:rPr>
            <w:t>[12]</w:t>
          </w:r>
          <w:r w:rsidR="002205D2">
            <w:rPr>
              <w:sz w:val="28"/>
              <w:szCs w:val="24"/>
            </w:rPr>
            <w:fldChar w:fldCharType="end"/>
          </w:r>
        </w:sdtContent>
      </w:sdt>
      <w:r>
        <w:rPr>
          <w:sz w:val="28"/>
          <w:szCs w:val="24"/>
        </w:rPr>
        <w:t>.</w:t>
      </w:r>
      <w:r w:rsidR="00A42562">
        <w:rPr>
          <w:sz w:val="28"/>
          <w:szCs w:val="24"/>
        </w:rPr>
        <w:t xml:space="preserve"> This will set out regular maintenance schedules for and inspections of the equipment, ensuring significantly lowered probability of equipment failure. It will also set out designations for operator competency, ensuring that only experienced and competent operators who have undergone a formally recorded training process are tasked with lifting munitions, significantly reducing the probability of operator error during </w:t>
      </w:r>
      <w:r w:rsidR="002205D2">
        <w:rPr>
          <w:sz w:val="28"/>
          <w:szCs w:val="24"/>
        </w:rPr>
        <w:t xml:space="preserve">operations. Further to the above point, the lifting protocols will state the munition is only lifted to and from positions where it is secured against the pitch and roll of the ship when on board (in storage, on-deck and in-launcher, so that probability of impact, shock and vibration to the munition when placed is reduced to close to zero. </w:t>
      </w:r>
      <w:r w:rsidR="00E926CA">
        <w:rPr>
          <w:sz w:val="28"/>
          <w:szCs w:val="24"/>
        </w:rPr>
        <w:t xml:space="preserve">At present, automated handling system technology </w:t>
      </w:r>
      <w:r w:rsidR="00C74448">
        <w:rPr>
          <w:sz w:val="28"/>
          <w:szCs w:val="24"/>
        </w:rPr>
        <w:t xml:space="preserve">(such as BAE Systems AHS ) </w:t>
      </w:r>
      <w:r w:rsidR="00E926CA">
        <w:rPr>
          <w:sz w:val="28"/>
          <w:szCs w:val="24"/>
        </w:rPr>
        <w:t>provides the lowest risk when lifting, moving and handling munitions on board, however these systems have not been developed for all calibres.</w:t>
      </w:r>
      <w:r w:rsidR="00067646">
        <w:rPr>
          <w:sz w:val="28"/>
          <w:szCs w:val="24"/>
        </w:rPr>
        <w:t xml:space="preserve"> By mandating</w:t>
      </w:r>
      <w:r w:rsidR="00E926CA">
        <w:rPr>
          <w:sz w:val="28"/>
          <w:szCs w:val="24"/>
        </w:rPr>
        <w:t xml:space="preserve"> </w:t>
      </w:r>
      <w:r w:rsidR="00067646">
        <w:rPr>
          <w:sz w:val="28"/>
          <w:szCs w:val="24"/>
        </w:rPr>
        <w:t>use of</w:t>
      </w:r>
      <w:r w:rsidR="00E926CA">
        <w:rPr>
          <w:sz w:val="28"/>
          <w:szCs w:val="24"/>
        </w:rPr>
        <w:t xml:space="preserve"> such systems </w:t>
      </w:r>
      <w:r w:rsidR="00067646">
        <w:rPr>
          <w:sz w:val="28"/>
          <w:szCs w:val="24"/>
        </w:rPr>
        <w:t>wherever</w:t>
      </w:r>
      <w:r w:rsidR="00E926CA">
        <w:rPr>
          <w:sz w:val="28"/>
          <w:szCs w:val="24"/>
        </w:rPr>
        <w:t xml:space="preserve"> available, and </w:t>
      </w:r>
      <w:r w:rsidR="00067646">
        <w:rPr>
          <w:sz w:val="28"/>
          <w:szCs w:val="24"/>
        </w:rPr>
        <w:t xml:space="preserve">where they </w:t>
      </w:r>
      <w:r w:rsidR="00E926CA">
        <w:rPr>
          <w:sz w:val="28"/>
          <w:szCs w:val="24"/>
        </w:rPr>
        <w:t xml:space="preserve">do not themselves pose </w:t>
      </w:r>
      <w:r w:rsidR="00C74448">
        <w:rPr>
          <w:sz w:val="28"/>
          <w:szCs w:val="24"/>
        </w:rPr>
        <w:t>further</w:t>
      </w:r>
      <w:r w:rsidR="00E926CA">
        <w:rPr>
          <w:sz w:val="28"/>
          <w:szCs w:val="24"/>
        </w:rPr>
        <w:t xml:space="preserve"> hazards to operations aboard the ship, </w:t>
      </w:r>
      <w:r w:rsidR="00067646">
        <w:rPr>
          <w:sz w:val="28"/>
          <w:szCs w:val="24"/>
        </w:rPr>
        <w:t xml:space="preserve">the risk of exposure of munitions to impact, shock and vibration is reduced to as low as possible. Use of automated handling systems could also allow for </w:t>
      </w:r>
      <w:r w:rsidR="00217F33">
        <w:rPr>
          <w:sz w:val="28"/>
          <w:szCs w:val="24"/>
        </w:rPr>
        <w:t xml:space="preserve">a small </w:t>
      </w:r>
      <w:r w:rsidR="00067646">
        <w:rPr>
          <w:sz w:val="28"/>
          <w:szCs w:val="24"/>
        </w:rPr>
        <w:t>reduction in the number of operators required to be within close proximity to the munit</w:t>
      </w:r>
      <w:r w:rsidR="00217F33">
        <w:rPr>
          <w:sz w:val="28"/>
          <w:szCs w:val="24"/>
        </w:rPr>
        <w:t xml:space="preserve">ion, therefore providing a mitigation through very slight potential reduction in the severity of inadvertent initiation &amp; high order event, through lower chances of a high number of fatalities. </w:t>
      </w:r>
    </w:p>
    <w:p w:rsidR="001C4A0F" w:rsidRDefault="00217F33" w:rsidP="001C4A0F">
      <w:pPr>
        <w:rPr>
          <w:sz w:val="28"/>
          <w:szCs w:val="24"/>
        </w:rPr>
      </w:pPr>
      <w:r>
        <w:rPr>
          <w:sz w:val="28"/>
          <w:szCs w:val="24"/>
        </w:rPr>
        <w:t xml:space="preserve">Use of safety led design of munition provides significant mitigation against the occurrence of inadvertent initiation &amp; high order event, if/when the munition is exposed to the impact, </w:t>
      </w:r>
      <w:r>
        <w:rPr>
          <w:sz w:val="28"/>
          <w:szCs w:val="24"/>
        </w:rPr>
        <w:lastRenderedPageBreak/>
        <w:t xml:space="preserve">shock or vibration. Significant developments in production of IM (insensitive munitions) </w:t>
      </w:r>
      <w:sdt>
        <w:sdtPr>
          <w:rPr>
            <w:sz w:val="28"/>
            <w:szCs w:val="24"/>
          </w:rPr>
          <w:id w:val="-1988619547"/>
          <w:citation/>
        </w:sdtPr>
        <w:sdtEndPr/>
        <w:sdtContent>
          <w:r w:rsidR="00482B2B">
            <w:rPr>
              <w:sz w:val="28"/>
              <w:szCs w:val="24"/>
            </w:rPr>
            <w:fldChar w:fldCharType="begin"/>
          </w:r>
          <w:r w:rsidR="00482B2B">
            <w:rPr>
              <w:sz w:val="28"/>
              <w:szCs w:val="24"/>
            </w:rPr>
            <w:instrText xml:space="preserve"> CITATION Pow16 \l 2057 </w:instrText>
          </w:r>
          <w:r w:rsidR="00482B2B">
            <w:rPr>
              <w:sz w:val="28"/>
              <w:szCs w:val="24"/>
            </w:rPr>
            <w:fldChar w:fldCharType="separate"/>
          </w:r>
          <w:r w:rsidR="00E121DA" w:rsidRPr="00E121DA">
            <w:rPr>
              <w:noProof/>
              <w:sz w:val="28"/>
              <w:szCs w:val="24"/>
            </w:rPr>
            <w:t>[14]</w:t>
          </w:r>
          <w:r w:rsidR="00482B2B">
            <w:rPr>
              <w:sz w:val="28"/>
              <w:szCs w:val="24"/>
            </w:rPr>
            <w:fldChar w:fldCharType="end"/>
          </w:r>
        </w:sdtContent>
      </w:sdt>
      <w:sdt>
        <w:sdtPr>
          <w:rPr>
            <w:sz w:val="28"/>
            <w:szCs w:val="24"/>
          </w:rPr>
          <w:id w:val="1875803762"/>
          <w:citation/>
        </w:sdtPr>
        <w:sdtEndPr/>
        <w:sdtContent>
          <w:r w:rsidR="00510684">
            <w:rPr>
              <w:sz w:val="28"/>
              <w:szCs w:val="24"/>
            </w:rPr>
            <w:fldChar w:fldCharType="begin"/>
          </w:r>
          <w:r w:rsidR="00510684">
            <w:rPr>
              <w:sz w:val="28"/>
              <w:szCs w:val="24"/>
            </w:rPr>
            <w:instrText xml:space="preserve"> CITATION Isl98 \l 2057 </w:instrText>
          </w:r>
          <w:r w:rsidR="00510684">
            <w:rPr>
              <w:sz w:val="28"/>
              <w:szCs w:val="24"/>
            </w:rPr>
            <w:fldChar w:fldCharType="separate"/>
          </w:r>
          <w:r w:rsidR="00E121DA">
            <w:rPr>
              <w:noProof/>
              <w:sz w:val="28"/>
              <w:szCs w:val="24"/>
            </w:rPr>
            <w:t xml:space="preserve"> </w:t>
          </w:r>
          <w:r w:rsidR="00E121DA" w:rsidRPr="00E121DA">
            <w:rPr>
              <w:noProof/>
              <w:sz w:val="28"/>
              <w:szCs w:val="24"/>
            </w:rPr>
            <w:t>[15]</w:t>
          </w:r>
          <w:r w:rsidR="00510684">
            <w:rPr>
              <w:sz w:val="28"/>
              <w:szCs w:val="24"/>
            </w:rPr>
            <w:fldChar w:fldCharType="end"/>
          </w:r>
        </w:sdtContent>
      </w:sdt>
      <w:r>
        <w:rPr>
          <w:sz w:val="28"/>
          <w:szCs w:val="24"/>
        </w:rPr>
        <w:t xml:space="preserve"> and their wide availability, by using explosive fills which obtain more favourable insensitivity ratings under the UN IMAP tests </w:t>
      </w:r>
      <w:sdt>
        <w:sdtPr>
          <w:rPr>
            <w:sz w:val="28"/>
            <w:szCs w:val="24"/>
          </w:rPr>
          <w:id w:val="-1129770688"/>
          <w:citation/>
        </w:sdtPr>
        <w:sdtEndPr/>
        <w:sdtContent>
          <w:r>
            <w:rPr>
              <w:sz w:val="28"/>
              <w:szCs w:val="24"/>
            </w:rPr>
            <w:fldChar w:fldCharType="begin"/>
          </w:r>
          <w:r>
            <w:rPr>
              <w:sz w:val="28"/>
              <w:szCs w:val="24"/>
            </w:rPr>
            <w:instrText xml:space="preserve"> CITATION Uni19 \l 2057 </w:instrText>
          </w:r>
          <w:r>
            <w:rPr>
              <w:sz w:val="28"/>
              <w:szCs w:val="24"/>
            </w:rPr>
            <w:fldChar w:fldCharType="separate"/>
          </w:r>
          <w:r w:rsidR="00E121DA" w:rsidRPr="00E121DA">
            <w:rPr>
              <w:noProof/>
              <w:sz w:val="28"/>
              <w:szCs w:val="24"/>
            </w:rPr>
            <w:t>[5]</w:t>
          </w:r>
          <w:r>
            <w:rPr>
              <w:sz w:val="28"/>
              <w:szCs w:val="24"/>
            </w:rPr>
            <w:fldChar w:fldCharType="end"/>
          </w:r>
        </w:sdtContent>
      </w:sdt>
      <w:r>
        <w:rPr>
          <w:sz w:val="28"/>
          <w:szCs w:val="24"/>
        </w:rPr>
        <w:t xml:space="preserve"> and under EMTAP </w:t>
      </w:r>
      <w:sdt>
        <w:sdtPr>
          <w:rPr>
            <w:sz w:val="28"/>
            <w:szCs w:val="24"/>
          </w:rPr>
          <w:id w:val="1905340824"/>
          <w:citation/>
        </w:sdtPr>
        <w:sdtEndPr/>
        <w:sdtContent>
          <w:r>
            <w:rPr>
              <w:sz w:val="28"/>
              <w:szCs w:val="24"/>
            </w:rPr>
            <w:fldChar w:fldCharType="begin"/>
          </w:r>
          <w:r>
            <w:rPr>
              <w:sz w:val="28"/>
              <w:szCs w:val="24"/>
            </w:rPr>
            <w:instrText xml:space="preserve"> CITATION HSE23 \l 2057 </w:instrText>
          </w:r>
          <w:r>
            <w:rPr>
              <w:sz w:val="28"/>
              <w:szCs w:val="24"/>
            </w:rPr>
            <w:fldChar w:fldCharType="separate"/>
          </w:r>
          <w:r w:rsidR="00E121DA" w:rsidRPr="00E121DA">
            <w:rPr>
              <w:noProof/>
              <w:sz w:val="28"/>
              <w:szCs w:val="24"/>
            </w:rPr>
            <w:t>[4]</w:t>
          </w:r>
          <w:r>
            <w:rPr>
              <w:sz w:val="28"/>
              <w:szCs w:val="24"/>
            </w:rPr>
            <w:fldChar w:fldCharType="end"/>
          </w:r>
        </w:sdtContent>
      </w:sdt>
      <w:r>
        <w:rPr>
          <w:sz w:val="28"/>
          <w:szCs w:val="24"/>
        </w:rPr>
        <w:t xml:space="preserve"> tests, and according to STANAG 4439 </w:t>
      </w:r>
      <w:sdt>
        <w:sdtPr>
          <w:rPr>
            <w:sz w:val="28"/>
            <w:szCs w:val="24"/>
          </w:rPr>
          <w:id w:val="1659109250"/>
          <w:citation/>
        </w:sdtPr>
        <w:sdtEndPr/>
        <w:sdtContent>
          <w:r>
            <w:rPr>
              <w:sz w:val="28"/>
              <w:szCs w:val="24"/>
            </w:rPr>
            <w:fldChar w:fldCharType="begin"/>
          </w:r>
          <w:r>
            <w:rPr>
              <w:sz w:val="28"/>
              <w:szCs w:val="24"/>
            </w:rPr>
            <w:instrText xml:space="preserve"> CITATION NAT18 \l 2057 </w:instrText>
          </w:r>
          <w:r>
            <w:rPr>
              <w:sz w:val="28"/>
              <w:szCs w:val="24"/>
            </w:rPr>
            <w:fldChar w:fldCharType="separate"/>
          </w:r>
          <w:r w:rsidR="00E121DA" w:rsidRPr="00E121DA">
            <w:rPr>
              <w:noProof/>
              <w:sz w:val="28"/>
              <w:szCs w:val="24"/>
            </w:rPr>
            <w:t>[3]</w:t>
          </w:r>
          <w:r>
            <w:rPr>
              <w:sz w:val="28"/>
              <w:szCs w:val="24"/>
            </w:rPr>
            <w:fldChar w:fldCharType="end"/>
          </w:r>
        </w:sdtContent>
      </w:sdt>
      <w:r>
        <w:rPr>
          <w:sz w:val="28"/>
          <w:szCs w:val="24"/>
        </w:rPr>
        <w:t xml:space="preserve">, means that this is now widely a requirement in ensuring risk is mitigated to an ALARP position. </w:t>
      </w:r>
      <w:r w:rsidR="001C4A0F">
        <w:rPr>
          <w:sz w:val="28"/>
          <w:szCs w:val="24"/>
        </w:rPr>
        <w:t xml:space="preserve">The MOD’s assessment of the cost of IM in general, is that ‘the additional cost of using IM-compliant energetic materials (EM) in production of new munitions is often minimal compared to whole-life cost’ – JSP 520, Chapter 11 </w:t>
      </w:r>
      <w:sdt>
        <w:sdtPr>
          <w:rPr>
            <w:sz w:val="28"/>
            <w:szCs w:val="24"/>
          </w:rPr>
          <w:id w:val="-378478009"/>
          <w:citation/>
        </w:sdtPr>
        <w:sdtEndPr/>
        <w:sdtContent>
          <w:r w:rsidR="001C4A0F">
            <w:rPr>
              <w:sz w:val="28"/>
              <w:szCs w:val="24"/>
            </w:rPr>
            <w:fldChar w:fldCharType="begin"/>
          </w:r>
          <w:r w:rsidR="001C4A0F">
            <w:rPr>
              <w:sz w:val="28"/>
              <w:szCs w:val="24"/>
            </w:rPr>
            <w:instrText xml:space="preserve"> CITATION MOD151 \l 2057 </w:instrText>
          </w:r>
          <w:r w:rsidR="001C4A0F">
            <w:rPr>
              <w:sz w:val="28"/>
              <w:szCs w:val="24"/>
            </w:rPr>
            <w:fldChar w:fldCharType="separate"/>
          </w:r>
          <w:r w:rsidR="00E121DA" w:rsidRPr="00E121DA">
            <w:rPr>
              <w:noProof/>
              <w:sz w:val="28"/>
              <w:szCs w:val="24"/>
            </w:rPr>
            <w:t>[2]</w:t>
          </w:r>
          <w:r w:rsidR="001C4A0F">
            <w:rPr>
              <w:sz w:val="28"/>
              <w:szCs w:val="24"/>
            </w:rPr>
            <w:fldChar w:fldCharType="end"/>
          </w:r>
        </w:sdtContent>
      </w:sdt>
      <w:r w:rsidR="001C4A0F">
        <w:rPr>
          <w:sz w:val="28"/>
          <w:szCs w:val="24"/>
        </w:rPr>
        <w:t xml:space="preserve">. </w:t>
      </w:r>
    </w:p>
    <w:p w:rsidR="008F5E40" w:rsidRDefault="001C4A0F" w:rsidP="008F5E40">
      <w:pPr>
        <w:rPr>
          <w:sz w:val="28"/>
          <w:szCs w:val="24"/>
        </w:rPr>
      </w:pPr>
      <w:r>
        <w:rPr>
          <w:sz w:val="28"/>
          <w:szCs w:val="24"/>
        </w:rPr>
        <w:t>Available IM-compliant materials include</w:t>
      </w:r>
      <w:r w:rsidR="0063233B">
        <w:rPr>
          <w:sz w:val="28"/>
          <w:szCs w:val="24"/>
        </w:rPr>
        <w:t xml:space="preserve"> CL-20 and BAE’s </w:t>
      </w:r>
      <w:r w:rsidR="00510684">
        <w:rPr>
          <w:sz w:val="28"/>
          <w:szCs w:val="24"/>
        </w:rPr>
        <w:t xml:space="preserve">IMX </w:t>
      </w:r>
      <w:r w:rsidR="0063233B">
        <w:rPr>
          <w:sz w:val="28"/>
          <w:szCs w:val="24"/>
        </w:rPr>
        <w:t>101</w:t>
      </w:r>
      <w:r w:rsidR="00510684">
        <w:rPr>
          <w:sz w:val="28"/>
          <w:szCs w:val="24"/>
        </w:rPr>
        <w:t xml:space="preserve"> </w:t>
      </w:r>
      <w:sdt>
        <w:sdtPr>
          <w:rPr>
            <w:sz w:val="28"/>
            <w:szCs w:val="24"/>
          </w:rPr>
          <w:id w:val="-1764688677"/>
          <w:citation/>
        </w:sdtPr>
        <w:sdtEndPr/>
        <w:sdtContent>
          <w:r w:rsidR="00510684">
            <w:rPr>
              <w:sz w:val="28"/>
              <w:szCs w:val="24"/>
            </w:rPr>
            <w:fldChar w:fldCharType="begin"/>
          </w:r>
          <w:r w:rsidR="00510684">
            <w:rPr>
              <w:sz w:val="28"/>
              <w:szCs w:val="24"/>
            </w:rPr>
            <w:instrText xml:space="preserve"> CITATION BAE23 \l 2057 </w:instrText>
          </w:r>
          <w:r w:rsidR="00510684">
            <w:rPr>
              <w:sz w:val="28"/>
              <w:szCs w:val="24"/>
            </w:rPr>
            <w:fldChar w:fldCharType="separate"/>
          </w:r>
          <w:r w:rsidR="00E121DA" w:rsidRPr="00E121DA">
            <w:rPr>
              <w:noProof/>
              <w:sz w:val="28"/>
              <w:szCs w:val="24"/>
            </w:rPr>
            <w:t>[16]</w:t>
          </w:r>
          <w:r w:rsidR="00510684">
            <w:rPr>
              <w:sz w:val="28"/>
              <w:szCs w:val="24"/>
            </w:rPr>
            <w:fldChar w:fldCharType="end"/>
          </w:r>
        </w:sdtContent>
      </w:sdt>
      <w:r w:rsidR="00510684">
        <w:rPr>
          <w:sz w:val="28"/>
          <w:szCs w:val="24"/>
        </w:rPr>
        <w:t xml:space="preserve">. There is some wide variability in the relative insensitivity of different IMs, but </w:t>
      </w:r>
      <w:r w:rsidR="005F0EAA">
        <w:rPr>
          <w:sz w:val="28"/>
          <w:szCs w:val="24"/>
        </w:rPr>
        <w:t>selection of an explosive</w:t>
      </w:r>
      <w:r w:rsidR="00510684">
        <w:rPr>
          <w:sz w:val="28"/>
          <w:szCs w:val="24"/>
        </w:rPr>
        <w:t xml:space="preserve"> fill</w:t>
      </w:r>
      <w:r>
        <w:rPr>
          <w:sz w:val="28"/>
          <w:szCs w:val="24"/>
        </w:rPr>
        <w:t>,</w:t>
      </w:r>
      <w:r w:rsidR="00510684">
        <w:rPr>
          <w:sz w:val="28"/>
          <w:szCs w:val="24"/>
        </w:rPr>
        <w:t xml:space="preserve"> </w:t>
      </w:r>
      <w:r w:rsidR="005F0EAA">
        <w:rPr>
          <w:sz w:val="28"/>
          <w:szCs w:val="24"/>
        </w:rPr>
        <w:t xml:space="preserve">subject to rigorous cost benefit analysis from any of the IM-compliant materials, is here deemed to be sufficient to justify an ALARP risk mitigation. Cost benefit analysis tools for this process are available </w:t>
      </w:r>
      <w:sdt>
        <w:sdtPr>
          <w:rPr>
            <w:sz w:val="28"/>
            <w:szCs w:val="24"/>
          </w:rPr>
          <w:id w:val="-1868977556"/>
          <w:citation/>
        </w:sdtPr>
        <w:sdtEndPr/>
        <w:sdtContent>
          <w:r w:rsidR="005F0EAA">
            <w:rPr>
              <w:sz w:val="28"/>
              <w:szCs w:val="24"/>
            </w:rPr>
            <w:fldChar w:fldCharType="begin"/>
          </w:r>
          <w:r w:rsidR="005F0EAA">
            <w:rPr>
              <w:sz w:val="28"/>
              <w:szCs w:val="24"/>
            </w:rPr>
            <w:instrText xml:space="preserve"> CITATION MOD151 \l 2057 </w:instrText>
          </w:r>
          <w:r w:rsidR="005F0EAA">
            <w:rPr>
              <w:sz w:val="28"/>
              <w:szCs w:val="24"/>
            </w:rPr>
            <w:fldChar w:fldCharType="separate"/>
          </w:r>
          <w:r w:rsidR="00E121DA" w:rsidRPr="00E121DA">
            <w:rPr>
              <w:noProof/>
              <w:sz w:val="28"/>
              <w:szCs w:val="24"/>
            </w:rPr>
            <w:t>[2]</w:t>
          </w:r>
          <w:r w:rsidR="005F0EAA">
            <w:rPr>
              <w:sz w:val="28"/>
              <w:szCs w:val="24"/>
            </w:rPr>
            <w:fldChar w:fldCharType="end"/>
          </w:r>
        </w:sdtContent>
      </w:sdt>
      <w:sdt>
        <w:sdtPr>
          <w:rPr>
            <w:sz w:val="28"/>
            <w:szCs w:val="24"/>
          </w:rPr>
          <w:id w:val="-1277404066"/>
          <w:citation/>
        </w:sdtPr>
        <w:sdtEndPr/>
        <w:sdtContent>
          <w:r w:rsidR="005F0EAA">
            <w:rPr>
              <w:sz w:val="28"/>
              <w:szCs w:val="24"/>
            </w:rPr>
            <w:fldChar w:fldCharType="begin"/>
          </w:r>
          <w:r w:rsidR="005F0EAA">
            <w:rPr>
              <w:sz w:val="28"/>
              <w:szCs w:val="24"/>
            </w:rPr>
            <w:instrText xml:space="preserve"> CITATION Par99 \l 2057 </w:instrText>
          </w:r>
          <w:r w:rsidR="005F0EAA">
            <w:rPr>
              <w:sz w:val="28"/>
              <w:szCs w:val="24"/>
            </w:rPr>
            <w:fldChar w:fldCharType="separate"/>
          </w:r>
          <w:r w:rsidR="00E121DA">
            <w:rPr>
              <w:noProof/>
              <w:sz w:val="28"/>
              <w:szCs w:val="24"/>
            </w:rPr>
            <w:t xml:space="preserve"> </w:t>
          </w:r>
          <w:r w:rsidR="00E121DA" w:rsidRPr="00E121DA">
            <w:rPr>
              <w:noProof/>
              <w:sz w:val="28"/>
              <w:szCs w:val="24"/>
            </w:rPr>
            <w:t>[17]</w:t>
          </w:r>
          <w:r w:rsidR="005F0EAA">
            <w:rPr>
              <w:sz w:val="28"/>
              <w:szCs w:val="24"/>
            </w:rPr>
            <w:fldChar w:fldCharType="end"/>
          </w:r>
        </w:sdtContent>
      </w:sdt>
      <w:r w:rsidR="005F0EAA">
        <w:rPr>
          <w:sz w:val="28"/>
          <w:szCs w:val="24"/>
        </w:rPr>
        <w:t xml:space="preserve">. </w:t>
      </w:r>
      <w:r>
        <w:rPr>
          <w:sz w:val="28"/>
          <w:szCs w:val="24"/>
        </w:rPr>
        <w:t xml:space="preserve"> This is in contrast to a implementing a </w:t>
      </w:r>
      <w:r w:rsidR="00510684">
        <w:rPr>
          <w:sz w:val="28"/>
          <w:szCs w:val="24"/>
        </w:rPr>
        <w:t xml:space="preserve">policy for using only the </w:t>
      </w:r>
      <w:r>
        <w:rPr>
          <w:sz w:val="28"/>
          <w:szCs w:val="24"/>
        </w:rPr>
        <w:t xml:space="preserve">very most insensitive material which </w:t>
      </w:r>
      <w:r w:rsidR="00510684">
        <w:rPr>
          <w:sz w:val="28"/>
          <w:szCs w:val="24"/>
        </w:rPr>
        <w:t>would prove to be both more costly and r</w:t>
      </w:r>
      <w:r w:rsidR="005F0EAA">
        <w:rPr>
          <w:sz w:val="28"/>
          <w:szCs w:val="24"/>
        </w:rPr>
        <w:t>educe availability of materials</w:t>
      </w:r>
      <w:r w:rsidR="00392A11">
        <w:rPr>
          <w:sz w:val="28"/>
          <w:szCs w:val="24"/>
        </w:rPr>
        <w:t xml:space="preserve"> for production</w:t>
      </w:r>
      <w:r>
        <w:rPr>
          <w:sz w:val="28"/>
          <w:szCs w:val="24"/>
        </w:rPr>
        <w:t>.</w:t>
      </w:r>
      <w:r w:rsidR="005F0EAA">
        <w:rPr>
          <w:sz w:val="28"/>
          <w:szCs w:val="24"/>
        </w:rPr>
        <w:t xml:space="preserve"> </w:t>
      </w:r>
      <w:r>
        <w:rPr>
          <w:sz w:val="28"/>
          <w:szCs w:val="24"/>
        </w:rPr>
        <w:t>For example the cost of a kilogram of CL-20 is over ten times more expensive than HMX</w:t>
      </w:r>
      <w:sdt>
        <w:sdtPr>
          <w:rPr>
            <w:sz w:val="28"/>
            <w:szCs w:val="24"/>
          </w:rPr>
          <w:id w:val="93063832"/>
          <w:citation/>
        </w:sdtPr>
        <w:sdtEndPr/>
        <w:sdtContent>
          <w:r w:rsidR="00A74CFC">
            <w:rPr>
              <w:sz w:val="28"/>
              <w:szCs w:val="24"/>
            </w:rPr>
            <w:fldChar w:fldCharType="begin"/>
          </w:r>
          <w:r w:rsidR="00A74CFC">
            <w:rPr>
              <w:sz w:val="28"/>
              <w:szCs w:val="24"/>
            </w:rPr>
            <w:instrText xml:space="preserve"> CITATION Pre10 \l 2057 </w:instrText>
          </w:r>
          <w:r w:rsidR="00A74CFC">
            <w:rPr>
              <w:sz w:val="28"/>
              <w:szCs w:val="24"/>
            </w:rPr>
            <w:fldChar w:fldCharType="separate"/>
          </w:r>
          <w:r w:rsidR="00E121DA">
            <w:rPr>
              <w:noProof/>
              <w:sz w:val="28"/>
              <w:szCs w:val="24"/>
            </w:rPr>
            <w:t xml:space="preserve"> </w:t>
          </w:r>
          <w:r w:rsidR="00E121DA" w:rsidRPr="00E121DA">
            <w:rPr>
              <w:noProof/>
              <w:sz w:val="28"/>
              <w:szCs w:val="24"/>
            </w:rPr>
            <w:t>[18]</w:t>
          </w:r>
          <w:r w:rsidR="00A74CFC">
            <w:rPr>
              <w:sz w:val="28"/>
              <w:szCs w:val="24"/>
            </w:rPr>
            <w:fldChar w:fldCharType="end"/>
          </w:r>
        </w:sdtContent>
      </w:sdt>
      <w:r>
        <w:rPr>
          <w:sz w:val="28"/>
          <w:szCs w:val="24"/>
        </w:rPr>
        <w:t>.</w:t>
      </w:r>
      <w:r w:rsidR="008F5E40">
        <w:rPr>
          <w:sz w:val="28"/>
          <w:szCs w:val="24"/>
        </w:rPr>
        <w:t xml:space="preserve"> </w:t>
      </w:r>
      <w:r w:rsidR="008F5E40">
        <w:rPr>
          <w:sz w:val="28"/>
          <w:szCs w:val="24"/>
        </w:rPr>
        <w:t>However, as future progression in explosive materials occurs, it is likely that standards for insensitivity which are considered to reduce risk to an ALARP position will become more stringent</w:t>
      </w:r>
      <w:r w:rsidR="008F5E40">
        <w:rPr>
          <w:sz w:val="28"/>
          <w:szCs w:val="24"/>
        </w:rPr>
        <w:t>, requiring updates to this risk assessment in order to keep track of best practice and changing/new standards.</w:t>
      </w:r>
    </w:p>
    <w:p w:rsidR="00A111BE" w:rsidRDefault="00392A11" w:rsidP="00B878EC">
      <w:pPr>
        <w:rPr>
          <w:sz w:val="28"/>
          <w:szCs w:val="24"/>
        </w:rPr>
      </w:pPr>
      <w:r>
        <w:rPr>
          <w:sz w:val="28"/>
          <w:szCs w:val="24"/>
        </w:rPr>
        <w:t xml:space="preserve">At present, liner materials for sea-launched munitions generally tend to </w:t>
      </w:r>
      <w:r w:rsidR="00A111BE">
        <w:rPr>
          <w:sz w:val="28"/>
          <w:szCs w:val="24"/>
        </w:rPr>
        <w:t>focus on controlling adhesion to the explosive fill to the munition casing</w:t>
      </w:r>
      <w:r w:rsidR="005C6187">
        <w:rPr>
          <w:sz w:val="28"/>
          <w:szCs w:val="24"/>
        </w:rPr>
        <w:t xml:space="preserve"> and coping with thermal expansion</w:t>
      </w:r>
      <w:r w:rsidR="00A111BE">
        <w:rPr>
          <w:sz w:val="28"/>
          <w:szCs w:val="24"/>
        </w:rPr>
        <w:t xml:space="preserve">, whilst offering only some protection against inadvertent </w:t>
      </w:r>
      <w:r w:rsidR="005C6187">
        <w:rPr>
          <w:sz w:val="28"/>
          <w:szCs w:val="24"/>
        </w:rPr>
        <w:t xml:space="preserve">initiation. </w:t>
      </w:r>
    </w:p>
    <w:p w:rsidR="001C4A0F" w:rsidRDefault="00392A11" w:rsidP="00B878EC">
      <w:pPr>
        <w:rPr>
          <w:sz w:val="28"/>
          <w:szCs w:val="24"/>
        </w:rPr>
      </w:pPr>
      <w:r>
        <w:rPr>
          <w:sz w:val="28"/>
          <w:szCs w:val="24"/>
        </w:rPr>
        <w:t>However recent developments in PIMS (</w:t>
      </w:r>
      <w:r w:rsidR="00A111BE">
        <w:rPr>
          <w:sz w:val="28"/>
          <w:szCs w:val="24"/>
        </w:rPr>
        <w:t xml:space="preserve">particle impact mitigation sleeves) applied to the munitions case, through modelling simulations has shown promise in further improving insensitive munitions </w:t>
      </w:r>
      <w:sdt>
        <w:sdtPr>
          <w:rPr>
            <w:sz w:val="28"/>
            <w:szCs w:val="24"/>
          </w:rPr>
          <w:id w:val="-1122992023"/>
          <w:citation/>
        </w:sdtPr>
        <w:sdtContent>
          <w:r w:rsidR="00A111BE">
            <w:rPr>
              <w:sz w:val="28"/>
              <w:szCs w:val="24"/>
            </w:rPr>
            <w:fldChar w:fldCharType="begin"/>
          </w:r>
          <w:r w:rsidR="00A111BE">
            <w:rPr>
              <w:sz w:val="28"/>
              <w:szCs w:val="24"/>
            </w:rPr>
            <w:instrText xml:space="preserve"> CITATION Mie \l 2057 </w:instrText>
          </w:r>
          <w:r w:rsidR="00A111BE">
            <w:rPr>
              <w:sz w:val="28"/>
              <w:szCs w:val="24"/>
            </w:rPr>
            <w:fldChar w:fldCharType="separate"/>
          </w:r>
          <w:r w:rsidR="00E121DA" w:rsidRPr="00E121DA">
            <w:rPr>
              <w:noProof/>
              <w:sz w:val="28"/>
              <w:szCs w:val="24"/>
            </w:rPr>
            <w:t>[19]</w:t>
          </w:r>
          <w:r w:rsidR="00A111BE">
            <w:rPr>
              <w:sz w:val="28"/>
              <w:szCs w:val="24"/>
            </w:rPr>
            <w:fldChar w:fldCharType="end"/>
          </w:r>
        </w:sdtContent>
      </w:sdt>
      <w:r w:rsidR="005C6187">
        <w:rPr>
          <w:sz w:val="28"/>
          <w:szCs w:val="24"/>
        </w:rPr>
        <w:t xml:space="preserve">, and patents for polymer-based casings have been filed </w:t>
      </w:r>
      <w:sdt>
        <w:sdtPr>
          <w:rPr>
            <w:sz w:val="28"/>
            <w:szCs w:val="24"/>
          </w:rPr>
          <w:id w:val="-2057542255"/>
          <w:citation/>
        </w:sdtPr>
        <w:sdtContent>
          <w:r w:rsidR="005C6187">
            <w:rPr>
              <w:sz w:val="28"/>
              <w:szCs w:val="24"/>
            </w:rPr>
            <w:fldChar w:fldCharType="begin"/>
          </w:r>
          <w:r w:rsidR="005C6187">
            <w:rPr>
              <w:sz w:val="28"/>
              <w:szCs w:val="24"/>
            </w:rPr>
            <w:instrText xml:space="preserve">CITATION Ins19 \l 2057 </w:instrText>
          </w:r>
          <w:r w:rsidR="005C6187">
            <w:rPr>
              <w:sz w:val="28"/>
              <w:szCs w:val="24"/>
            </w:rPr>
            <w:fldChar w:fldCharType="separate"/>
          </w:r>
          <w:r w:rsidR="00E121DA" w:rsidRPr="00E121DA">
            <w:rPr>
              <w:noProof/>
              <w:sz w:val="28"/>
              <w:szCs w:val="24"/>
            </w:rPr>
            <w:t>[20]</w:t>
          </w:r>
          <w:r w:rsidR="005C6187">
            <w:rPr>
              <w:sz w:val="28"/>
              <w:szCs w:val="24"/>
            </w:rPr>
            <w:fldChar w:fldCharType="end"/>
          </w:r>
        </w:sdtContent>
      </w:sdt>
      <w:r w:rsidR="005C6187">
        <w:rPr>
          <w:sz w:val="28"/>
          <w:szCs w:val="24"/>
        </w:rPr>
        <w:t xml:space="preserve">. </w:t>
      </w:r>
      <w:r w:rsidR="00A111BE">
        <w:rPr>
          <w:sz w:val="28"/>
          <w:szCs w:val="24"/>
        </w:rPr>
        <w:t>As products stemming from these developments begin to reach the market, it seems likely that these too will become a requirement for justifying that risk of inadvertent initiation of sea-launched munitions has been reduced to ALA</w:t>
      </w:r>
      <w:r w:rsidR="005C6187">
        <w:rPr>
          <w:sz w:val="28"/>
          <w:szCs w:val="24"/>
        </w:rPr>
        <w:t xml:space="preserve">RP in future iterations of this risk assessment. </w:t>
      </w:r>
    </w:p>
    <w:p w:rsidR="00DD7838" w:rsidRDefault="00DD7838" w:rsidP="00690180">
      <w:pPr>
        <w:rPr>
          <w:sz w:val="28"/>
        </w:rPr>
      </w:pPr>
    </w:p>
    <w:p w:rsidR="00E121DA" w:rsidRDefault="00E121DA" w:rsidP="00690180">
      <w:pPr>
        <w:rPr>
          <w:sz w:val="28"/>
        </w:rPr>
      </w:pPr>
      <w:bookmarkStart w:id="0" w:name="_GoBack"/>
      <w:bookmarkEnd w:id="0"/>
    </w:p>
    <w:p w:rsidR="00E121DA" w:rsidRDefault="00E121DA" w:rsidP="00690180">
      <w:pPr>
        <w:rPr>
          <w:sz w:val="28"/>
        </w:rPr>
      </w:pPr>
    </w:p>
    <w:p w:rsidR="00E121DA" w:rsidRDefault="00E121DA" w:rsidP="00690180">
      <w:pPr>
        <w:rPr>
          <w:sz w:val="28"/>
        </w:rPr>
      </w:pPr>
    </w:p>
    <w:p w:rsidR="00E121DA" w:rsidRDefault="00E121DA" w:rsidP="00690180">
      <w:pPr>
        <w:rPr>
          <w:sz w:val="28"/>
        </w:rPr>
      </w:pPr>
    </w:p>
    <w:p w:rsidR="00E121DA" w:rsidRDefault="00E121DA" w:rsidP="00690180">
      <w:pPr>
        <w:rPr>
          <w:sz w:val="28"/>
        </w:rPr>
      </w:pPr>
    </w:p>
    <w:p w:rsidR="00E121DA" w:rsidRDefault="00E121DA" w:rsidP="00690180">
      <w:pPr>
        <w:rPr>
          <w:sz w:val="28"/>
        </w:rPr>
      </w:pPr>
    </w:p>
    <w:p w:rsidR="00E121DA" w:rsidRDefault="00E121DA" w:rsidP="00690180">
      <w:pPr>
        <w:rPr>
          <w:sz w:val="28"/>
        </w:rPr>
      </w:pPr>
    </w:p>
    <w:p w:rsidR="00E121DA" w:rsidRDefault="00E121DA" w:rsidP="00690180">
      <w:pPr>
        <w:rPr>
          <w:noProof/>
        </w:rPr>
      </w:pPr>
      <w:r>
        <w:rPr>
          <w:sz w:val="28"/>
        </w:rPr>
        <w:lastRenderedPageBreak/>
        <w:fldChar w:fldCharType="begin"/>
      </w:r>
      <w:r>
        <w:rPr>
          <w:sz w:val="28"/>
        </w:rPr>
        <w:instrText xml:space="preserve"> BIBLIOGRAPHY  \l 2057 </w:instrText>
      </w:r>
      <w:r>
        <w:rPr>
          <w:sz w:val="28"/>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1"/>
        <w:gridCol w:w="10065"/>
      </w:tblGrid>
      <w:tr w:rsidR="00E121DA" w:rsidRPr="00DC4722">
        <w:trPr>
          <w:divId w:val="1828864112"/>
          <w:tblCellSpacing w:w="15" w:type="dxa"/>
        </w:trPr>
        <w:tc>
          <w:tcPr>
            <w:tcW w:w="50" w:type="pct"/>
            <w:hideMark/>
          </w:tcPr>
          <w:p w:rsidR="00E121DA" w:rsidRPr="00DC4722" w:rsidRDefault="00E121DA">
            <w:pPr>
              <w:pStyle w:val="Bibliography"/>
              <w:rPr>
                <w:noProof/>
                <w:sz w:val="20"/>
                <w:szCs w:val="24"/>
              </w:rPr>
            </w:pPr>
            <w:r w:rsidRPr="00DC4722">
              <w:rPr>
                <w:noProof/>
                <w:sz w:val="20"/>
              </w:rPr>
              <w:t xml:space="preserve">[1] </w:t>
            </w:r>
          </w:p>
        </w:tc>
        <w:tc>
          <w:tcPr>
            <w:tcW w:w="0" w:type="auto"/>
            <w:hideMark/>
          </w:tcPr>
          <w:p w:rsidR="00E121DA" w:rsidRPr="00DC4722" w:rsidRDefault="00E121DA">
            <w:pPr>
              <w:pStyle w:val="Bibliography"/>
              <w:rPr>
                <w:noProof/>
                <w:sz w:val="20"/>
              </w:rPr>
            </w:pPr>
            <w:r w:rsidRPr="00DC4722">
              <w:rPr>
                <w:noProof/>
                <w:sz w:val="20"/>
              </w:rPr>
              <w:t>MOD, “JSP 520: Safety and Environmental Management of Ordnance, Munitions and Explosives over the Equipment Acquisition Cycle. Part 1: Directive,” 2015.</w:t>
            </w:r>
          </w:p>
        </w:tc>
      </w:tr>
      <w:tr w:rsidR="00E121DA" w:rsidRPr="00DC4722">
        <w:trPr>
          <w:divId w:val="1828864112"/>
          <w:tblCellSpacing w:w="15" w:type="dxa"/>
        </w:trPr>
        <w:tc>
          <w:tcPr>
            <w:tcW w:w="50" w:type="pct"/>
            <w:hideMark/>
          </w:tcPr>
          <w:p w:rsidR="00E121DA" w:rsidRPr="00DC4722" w:rsidRDefault="00E121DA">
            <w:pPr>
              <w:pStyle w:val="Bibliography"/>
              <w:rPr>
                <w:noProof/>
                <w:sz w:val="20"/>
              </w:rPr>
            </w:pPr>
            <w:r w:rsidRPr="00DC4722">
              <w:rPr>
                <w:noProof/>
                <w:sz w:val="20"/>
              </w:rPr>
              <w:t xml:space="preserve">[2] </w:t>
            </w:r>
          </w:p>
        </w:tc>
        <w:tc>
          <w:tcPr>
            <w:tcW w:w="0" w:type="auto"/>
            <w:hideMark/>
          </w:tcPr>
          <w:p w:rsidR="00E121DA" w:rsidRPr="00DC4722" w:rsidRDefault="00E121DA">
            <w:pPr>
              <w:pStyle w:val="Bibliography"/>
              <w:rPr>
                <w:noProof/>
                <w:sz w:val="20"/>
              </w:rPr>
            </w:pPr>
            <w:r w:rsidRPr="00DC4722">
              <w:rPr>
                <w:noProof/>
                <w:sz w:val="20"/>
              </w:rPr>
              <w:t>MOD, “JSP 520: Safety and Environmental Management of Ordnance, Munitions and Explosives over the Equipment Acquisition Cycle. Part 2: Guidance, Vol 11: Insensitive Munitions,” 2015.</w:t>
            </w:r>
          </w:p>
        </w:tc>
      </w:tr>
      <w:tr w:rsidR="00E121DA" w:rsidRPr="00DC4722">
        <w:trPr>
          <w:divId w:val="1828864112"/>
          <w:tblCellSpacing w:w="15" w:type="dxa"/>
        </w:trPr>
        <w:tc>
          <w:tcPr>
            <w:tcW w:w="50" w:type="pct"/>
            <w:hideMark/>
          </w:tcPr>
          <w:p w:rsidR="00E121DA" w:rsidRPr="00DC4722" w:rsidRDefault="00E121DA">
            <w:pPr>
              <w:pStyle w:val="Bibliography"/>
              <w:rPr>
                <w:noProof/>
                <w:sz w:val="20"/>
              </w:rPr>
            </w:pPr>
            <w:r w:rsidRPr="00DC4722">
              <w:rPr>
                <w:noProof/>
                <w:sz w:val="20"/>
              </w:rPr>
              <w:t xml:space="preserve">[3] </w:t>
            </w:r>
          </w:p>
        </w:tc>
        <w:tc>
          <w:tcPr>
            <w:tcW w:w="0" w:type="auto"/>
            <w:hideMark/>
          </w:tcPr>
          <w:p w:rsidR="00E121DA" w:rsidRPr="00DC4722" w:rsidRDefault="00E121DA">
            <w:pPr>
              <w:pStyle w:val="Bibliography"/>
              <w:rPr>
                <w:noProof/>
                <w:sz w:val="20"/>
              </w:rPr>
            </w:pPr>
            <w:r w:rsidRPr="00DC4722">
              <w:rPr>
                <w:noProof/>
                <w:sz w:val="20"/>
              </w:rPr>
              <w:t>NATO, “STANAG 4439: Policy for Introduction &amp; Assessment of Insensitive Munitions (IM),” 2018.</w:t>
            </w:r>
          </w:p>
        </w:tc>
      </w:tr>
      <w:tr w:rsidR="00E121DA" w:rsidRPr="00DC4722">
        <w:trPr>
          <w:divId w:val="1828864112"/>
          <w:tblCellSpacing w:w="15" w:type="dxa"/>
        </w:trPr>
        <w:tc>
          <w:tcPr>
            <w:tcW w:w="50" w:type="pct"/>
            <w:hideMark/>
          </w:tcPr>
          <w:p w:rsidR="00E121DA" w:rsidRPr="00DC4722" w:rsidRDefault="00E121DA">
            <w:pPr>
              <w:pStyle w:val="Bibliography"/>
              <w:rPr>
                <w:noProof/>
                <w:sz w:val="20"/>
              </w:rPr>
            </w:pPr>
            <w:r w:rsidRPr="00DC4722">
              <w:rPr>
                <w:noProof/>
                <w:sz w:val="20"/>
              </w:rPr>
              <w:t xml:space="preserve">[4] </w:t>
            </w:r>
          </w:p>
        </w:tc>
        <w:tc>
          <w:tcPr>
            <w:tcW w:w="0" w:type="auto"/>
            <w:hideMark/>
          </w:tcPr>
          <w:p w:rsidR="00E121DA" w:rsidRPr="00DC4722" w:rsidRDefault="00E121DA">
            <w:pPr>
              <w:pStyle w:val="Bibliography"/>
              <w:rPr>
                <w:noProof/>
                <w:sz w:val="20"/>
              </w:rPr>
            </w:pPr>
            <w:r w:rsidRPr="00DC4722">
              <w:rPr>
                <w:noProof/>
                <w:sz w:val="20"/>
              </w:rPr>
              <w:t>HSE, “Explosives Testing: EMTAP,” 2023. [Online]. Available: https://www.hsl.gov.uk/product-and-process-validation-testing/explosives-testing. [Accessed 07 2023].</w:t>
            </w:r>
          </w:p>
        </w:tc>
      </w:tr>
      <w:tr w:rsidR="00E121DA" w:rsidRPr="00DC4722">
        <w:trPr>
          <w:divId w:val="1828864112"/>
          <w:tblCellSpacing w:w="15" w:type="dxa"/>
        </w:trPr>
        <w:tc>
          <w:tcPr>
            <w:tcW w:w="50" w:type="pct"/>
            <w:hideMark/>
          </w:tcPr>
          <w:p w:rsidR="00E121DA" w:rsidRPr="00DC4722" w:rsidRDefault="00E121DA">
            <w:pPr>
              <w:pStyle w:val="Bibliography"/>
              <w:rPr>
                <w:noProof/>
                <w:sz w:val="20"/>
              </w:rPr>
            </w:pPr>
            <w:r w:rsidRPr="00DC4722">
              <w:rPr>
                <w:noProof/>
                <w:sz w:val="20"/>
              </w:rPr>
              <w:t xml:space="preserve">[5] </w:t>
            </w:r>
          </w:p>
        </w:tc>
        <w:tc>
          <w:tcPr>
            <w:tcW w:w="0" w:type="auto"/>
            <w:hideMark/>
          </w:tcPr>
          <w:p w:rsidR="00E121DA" w:rsidRPr="00DC4722" w:rsidRDefault="00E121DA">
            <w:pPr>
              <w:pStyle w:val="Bibliography"/>
              <w:rPr>
                <w:noProof/>
                <w:sz w:val="20"/>
              </w:rPr>
            </w:pPr>
            <w:r w:rsidRPr="00DC4722">
              <w:rPr>
                <w:noProof/>
                <w:sz w:val="20"/>
              </w:rPr>
              <w:t>United Nations, “Manual of Tests and Criteria: Seventh Revised Edition,” 2019.</w:t>
            </w:r>
          </w:p>
        </w:tc>
      </w:tr>
      <w:tr w:rsidR="00E121DA" w:rsidRPr="00DC4722">
        <w:trPr>
          <w:divId w:val="1828864112"/>
          <w:tblCellSpacing w:w="15" w:type="dxa"/>
        </w:trPr>
        <w:tc>
          <w:tcPr>
            <w:tcW w:w="50" w:type="pct"/>
            <w:hideMark/>
          </w:tcPr>
          <w:p w:rsidR="00E121DA" w:rsidRPr="00DC4722" w:rsidRDefault="00E121DA">
            <w:pPr>
              <w:pStyle w:val="Bibliography"/>
              <w:rPr>
                <w:noProof/>
                <w:sz w:val="20"/>
              </w:rPr>
            </w:pPr>
            <w:r w:rsidRPr="00DC4722">
              <w:rPr>
                <w:noProof/>
                <w:sz w:val="20"/>
              </w:rPr>
              <w:t xml:space="preserve">[6] </w:t>
            </w:r>
          </w:p>
        </w:tc>
        <w:tc>
          <w:tcPr>
            <w:tcW w:w="0" w:type="auto"/>
            <w:hideMark/>
          </w:tcPr>
          <w:p w:rsidR="00E121DA" w:rsidRPr="00DC4722" w:rsidRDefault="00E121DA">
            <w:pPr>
              <w:pStyle w:val="Bibliography"/>
              <w:rPr>
                <w:noProof/>
                <w:sz w:val="20"/>
              </w:rPr>
            </w:pPr>
            <w:r w:rsidRPr="00DC4722">
              <w:rPr>
                <w:noProof/>
                <w:sz w:val="20"/>
              </w:rPr>
              <w:t>MOD, “JSP 333: Services Textbook of Explosives,” 1972.</w:t>
            </w:r>
          </w:p>
        </w:tc>
      </w:tr>
      <w:tr w:rsidR="00E121DA" w:rsidRPr="00DC4722">
        <w:trPr>
          <w:divId w:val="1828864112"/>
          <w:tblCellSpacing w:w="15" w:type="dxa"/>
        </w:trPr>
        <w:tc>
          <w:tcPr>
            <w:tcW w:w="50" w:type="pct"/>
            <w:hideMark/>
          </w:tcPr>
          <w:p w:rsidR="00E121DA" w:rsidRPr="00DC4722" w:rsidRDefault="00E121DA">
            <w:pPr>
              <w:pStyle w:val="Bibliography"/>
              <w:rPr>
                <w:noProof/>
                <w:sz w:val="20"/>
              </w:rPr>
            </w:pPr>
            <w:r w:rsidRPr="00DC4722">
              <w:rPr>
                <w:noProof/>
                <w:sz w:val="20"/>
              </w:rPr>
              <w:t xml:space="preserve">[7] </w:t>
            </w:r>
          </w:p>
        </w:tc>
        <w:tc>
          <w:tcPr>
            <w:tcW w:w="0" w:type="auto"/>
            <w:hideMark/>
          </w:tcPr>
          <w:p w:rsidR="00E121DA" w:rsidRPr="00DC4722" w:rsidRDefault="00E121DA">
            <w:pPr>
              <w:pStyle w:val="Bibliography"/>
              <w:rPr>
                <w:noProof/>
                <w:sz w:val="20"/>
              </w:rPr>
            </w:pPr>
            <w:r w:rsidRPr="00DC4722">
              <w:rPr>
                <w:noProof/>
                <w:sz w:val="20"/>
              </w:rPr>
              <w:t xml:space="preserve">MOD, “Chapter 9: Policy and Procedures for Munitions Disposal,” in </w:t>
            </w:r>
            <w:r w:rsidRPr="00DC4722">
              <w:rPr>
                <w:i/>
                <w:iCs/>
                <w:noProof/>
                <w:sz w:val="20"/>
              </w:rPr>
              <w:t>JSP 762</w:t>
            </w:r>
            <w:r w:rsidRPr="00DC4722">
              <w:rPr>
                <w:noProof/>
                <w:sz w:val="20"/>
              </w:rPr>
              <w:t xml:space="preserve">, 2014. </w:t>
            </w:r>
          </w:p>
        </w:tc>
      </w:tr>
      <w:tr w:rsidR="00E121DA" w:rsidRPr="00DC4722">
        <w:trPr>
          <w:divId w:val="1828864112"/>
          <w:tblCellSpacing w:w="15" w:type="dxa"/>
        </w:trPr>
        <w:tc>
          <w:tcPr>
            <w:tcW w:w="50" w:type="pct"/>
            <w:hideMark/>
          </w:tcPr>
          <w:p w:rsidR="00E121DA" w:rsidRPr="00DC4722" w:rsidRDefault="00E121DA">
            <w:pPr>
              <w:pStyle w:val="Bibliography"/>
              <w:rPr>
                <w:noProof/>
                <w:sz w:val="20"/>
              </w:rPr>
            </w:pPr>
            <w:r w:rsidRPr="00DC4722">
              <w:rPr>
                <w:noProof/>
                <w:sz w:val="20"/>
              </w:rPr>
              <w:t xml:space="preserve">[8] </w:t>
            </w:r>
          </w:p>
        </w:tc>
        <w:tc>
          <w:tcPr>
            <w:tcW w:w="0" w:type="auto"/>
            <w:hideMark/>
          </w:tcPr>
          <w:p w:rsidR="00E121DA" w:rsidRPr="00DC4722" w:rsidRDefault="00E121DA">
            <w:pPr>
              <w:pStyle w:val="Bibliography"/>
              <w:rPr>
                <w:noProof/>
                <w:sz w:val="20"/>
              </w:rPr>
            </w:pPr>
            <w:r w:rsidRPr="00DC4722">
              <w:rPr>
                <w:noProof/>
                <w:sz w:val="20"/>
              </w:rPr>
              <w:t>Defence Safety Authority, “DSA 02: Defence Ordnance Munitions and Explosvies (OME) Regulations V1.1,” 2020.</w:t>
            </w:r>
          </w:p>
        </w:tc>
      </w:tr>
      <w:tr w:rsidR="00E121DA" w:rsidRPr="00DC4722">
        <w:trPr>
          <w:divId w:val="1828864112"/>
          <w:tblCellSpacing w:w="15" w:type="dxa"/>
        </w:trPr>
        <w:tc>
          <w:tcPr>
            <w:tcW w:w="50" w:type="pct"/>
            <w:hideMark/>
          </w:tcPr>
          <w:p w:rsidR="00E121DA" w:rsidRPr="00DC4722" w:rsidRDefault="00E121DA">
            <w:pPr>
              <w:pStyle w:val="Bibliography"/>
              <w:rPr>
                <w:noProof/>
                <w:sz w:val="20"/>
              </w:rPr>
            </w:pPr>
            <w:r w:rsidRPr="00DC4722">
              <w:rPr>
                <w:noProof/>
                <w:sz w:val="20"/>
              </w:rPr>
              <w:t xml:space="preserve">[9] </w:t>
            </w:r>
          </w:p>
        </w:tc>
        <w:tc>
          <w:tcPr>
            <w:tcW w:w="0" w:type="auto"/>
            <w:hideMark/>
          </w:tcPr>
          <w:p w:rsidR="00E121DA" w:rsidRPr="00DC4722" w:rsidRDefault="00E121DA">
            <w:pPr>
              <w:pStyle w:val="Bibliography"/>
              <w:rPr>
                <w:noProof/>
                <w:sz w:val="20"/>
              </w:rPr>
            </w:pPr>
            <w:r w:rsidRPr="00DC4722">
              <w:rPr>
                <w:noProof/>
                <w:sz w:val="20"/>
              </w:rPr>
              <w:t>UK Government, “The Control of Substances Hazardous to Health 2002,” 2002. [Online]. Available: https://www.legislation.gov.uk/uksi/2002/2677/regulation/7/made.</w:t>
            </w:r>
          </w:p>
        </w:tc>
      </w:tr>
      <w:tr w:rsidR="00E121DA" w:rsidRPr="00DC4722">
        <w:trPr>
          <w:divId w:val="1828864112"/>
          <w:tblCellSpacing w:w="15" w:type="dxa"/>
        </w:trPr>
        <w:tc>
          <w:tcPr>
            <w:tcW w:w="50" w:type="pct"/>
            <w:hideMark/>
          </w:tcPr>
          <w:p w:rsidR="00E121DA" w:rsidRPr="00DC4722" w:rsidRDefault="00E121DA">
            <w:pPr>
              <w:pStyle w:val="Bibliography"/>
              <w:rPr>
                <w:noProof/>
                <w:sz w:val="20"/>
              </w:rPr>
            </w:pPr>
            <w:r w:rsidRPr="00DC4722">
              <w:rPr>
                <w:noProof/>
                <w:sz w:val="20"/>
              </w:rPr>
              <w:t xml:space="preserve">[10] </w:t>
            </w:r>
          </w:p>
        </w:tc>
        <w:tc>
          <w:tcPr>
            <w:tcW w:w="0" w:type="auto"/>
            <w:hideMark/>
          </w:tcPr>
          <w:p w:rsidR="00E121DA" w:rsidRPr="00DC4722" w:rsidRDefault="00E121DA">
            <w:pPr>
              <w:pStyle w:val="Bibliography"/>
              <w:rPr>
                <w:noProof/>
                <w:sz w:val="20"/>
              </w:rPr>
            </w:pPr>
            <w:r w:rsidRPr="00DC4722">
              <w:rPr>
                <w:noProof/>
                <w:sz w:val="20"/>
              </w:rPr>
              <w:t>UK Government, “The Control of Major Accidents Hazards Regulations 2015,” [Online]. Available: https://www.legislation.gov.uk/uksi/2015/483/contents/made.</w:t>
            </w:r>
          </w:p>
        </w:tc>
      </w:tr>
      <w:tr w:rsidR="00E121DA" w:rsidRPr="00DC4722">
        <w:trPr>
          <w:divId w:val="1828864112"/>
          <w:tblCellSpacing w:w="15" w:type="dxa"/>
        </w:trPr>
        <w:tc>
          <w:tcPr>
            <w:tcW w:w="50" w:type="pct"/>
            <w:hideMark/>
          </w:tcPr>
          <w:p w:rsidR="00E121DA" w:rsidRPr="00DC4722" w:rsidRDefault="00E121DA">
            <w:pPr>
              <w:pStyle w:val="Bibliography"/>
              <w:rPr>
                <w:noProof/>
                <w:sz w:val="20"/>
              </w:rPr>
            </w:pPr>
            <w:r w:rsidRPr="00DC4722">
              <w:rPr>
                <w:noProof/>
                <w:sz w:val="20"/>
              </w:rPr>
              <w:t xml:space="preserve">[11] </w:t>
            </w:r>
          </w:p>
        </w:tc>
        <w:tc>
          <w:tcPr>
            <w:tcW w:w="0" w:type="auto"/>
            <w:hideMark/>
          </w:tcPr>
          <w:p w:rsidR="00E121DA" w:rsidRPr="00DC4722" w:rsidRDefault="00E121DA">
            <w:pPr>
              <w:pStyle w:val="Bibliography"/>
              <w:rPr>
                <w:noProof/>
                <w:sz w:val="20"/>
              </w:rPr>
            </w:pPr>
            <w:r w:rsidRPr="00DC4722">
              <w:rPr>
                <w:noProof/>
                <w:sz w:val="20"/>
              </w:rPr>
              <w:t>UK Government, “The Lifting Operations and Lifting Equipment Regulations 1998,” 1998. [Online]. Available: https://www.legislation.gov.uk/uksi/1998/2307/contents/made.</w:t>
            </w:r>
          </w:p>
        </w:tc>
      </w:tr>
      <w:tr w:rsidR="00E121DA" w:rsidRPr="00DC4722">
        <w:trPr>
          <w:divId w:val="1828864112"/>
          <w:tblCellSpacing w:w="15" w:type="dxa"/>
        </w:trPr>
        <w:tc>
          <w:tcPr>
            <w:tcW w:w="50" w:type="pct"/>
            <w:hideMark/>
          </w:tcPr>
          <w:p w:rsidR="00E121DA" w:rsidRPr="00DC4722" w:rsidRDefault="00E121DA">
            <w:pPr>
              <w:pStyle w:val="Bibliography"/>
              <w:rPr>
                <w:noProof/>
                <w:sz w:val="20"/>
              </w:rPr>
            </w:pPr>
            <w:r w:rsidRPr="00DC4722">
              <w:rPr>
                <w:noProof/>
                <w:sz w:val="20"/>
              </w:rPr>
              <w:t xml:space="preserve">[12] </w:t>
            </w:r>
          </w:p>
        </w:tc>
        <w:tc>
          <w:tcPr>
            <w:tcW w:w="0" w:type="auto"/>
            <w:hideMark/>
          </w:tcPr>
          <w:p w:rsidR="00E121DA" w:rsidRPr="00DC4722" w:rsidRDefault="00E121DA">
            <w:pPr>
              <w:pStyle w:val="Bibliography"/>
              <w:rPr>
                <w:noProof/>
                <w:sz w:val="20"/>
              </w:rPr>
            </w:pPr>
            <w:r w:rsidRPr="00DC4722">
              <w:rPr>
                <w:noProof/>
                <w:sz w:val="20"/>
              </w:rPr>
              <w:t>HSE, “Safe Use of Lifting Equipment,” InsepctNet, 2014. [Online]. Available: https://www.inspectnet.co.uk/Safe%20Use%20of%20Lifting%20Equipment.pdf.</w:t>
            </w:r>
          </w:p>
        </w:tc>
      </w:tr>
      <w:tr w:rsidR="00E121DA" w:rsidRPr="00DC4722">
        <w:trPr>
          <w:divId w:val="1828864112"/>
          <w:tblCellSpacing w:w="15" w:type="dxa"/>
        </w:trPr>
        <w:tc>
          <w:tcPr>
            <w:tcW w:w="50" w:type="pct"/>
            <w:hideMark/>
          </w:tcPr>
          <w:p w:rsidR="00E121DA" w:rsidRPr="00DC4722" w:rsidRDefault="00E121DA">
            <w:pPr>
              <w:pStyle w:val="Bibliography"/>
              <w:rPr>
                <w:noProof/>
                <w:sz w:val="20"/>
              </w:rPr>
            </w:pPr>
            <w:r w:rsidRPr="00DC4722">
              <w:rPr>
                <w:noProof/>
                <w:sz w:val="20"/>
              </w:rPr>
              <w:t xml:space="preserve">[13] </w:t>
            </w:r>
          </w:p>
        </w:tc>
        <w:tc>
          <w:tcPr>
            <w:tcW w:w="0" w:type="auto"/>
            <w:hideMark/>
          </w:tcPr>
          <w:p w:rsidR="00E121DA" w:rsidRPr="00DC4722" w:rsidRDefault="00E121DA">
            <w:pPr>
              <w:pStyle w:val="Bibliography"/>
              <w:rPr>
                <w:noProof/>
                <w:sz w:val="20"/>
              </w:rPr>
            </w:pPr>
            <w:r w:rsidRPr="00DC4722">
              <w:rPr>
                <w:noProof/>
                <w:sz w:val="20"/>
              </w:rPr>
              <w:t>UK Government, “The Reporting of Injuries, Diseases and Dangerous Occurences Regulations 2013,” [Online]. Available: https://www.legislation.gov.uk/uksi/2013/1471/contents/made.</w:t>
            </w:r>
          </w:p>
        </w:tc>
      </w:tr>
      <w:tr w:rsidR="00E121DA" w:rsidRPr="00DC4722">
        <w:trPr>
          <w:divId w:val="1828864112"/>
          <w:tblCellSpacing w:w="15" w:type="dxa"/>
        </w:trPr>
        <w:tc>
          <w:tcPr>
            <w:tcW w:w="50" w:type="pct"/>
            <w:hideMark/>
          </w:tcPr>
          <w:p w:rsidR="00E121DA" w:rsidRPr="00DC4722" w:rsidRDefault="00E121DA">
            <w:pPr>
              <w:pStyle w:val="Bibliography"/>
              <w:rPr>
                <w:noProof/>
                <w:sz w:val="20"/>
              </w:rPr>
            </w:pPr>
            <w:r w:rsidRPr="00DC4722">
              <w:rPr>
                <w:noProof/>
                <w:sz w:val="20"/>
              </w:rPr>
              <w:t xml:space="preserve">[14] </w:t>
            </w:r>
          </w:p>
        </w:tc>
        <w:tc>
          <w:tcPr>
            <w:tcW w:w="0" w:type="auto"/>
            <w:hideMark/>
          </w:tcPr>
          <w:p w:rsidR="00E121DA" w:rsidRPr="00DC4722" w:rsidRDefault="00E121DA">
            <w:pPr>
              <w:pStyle w:val="Bibliography"/>
              <w:rPr>
                <w:noProof/>
                <w:sz w:val="20"/>
              </w:rPr>
            </w:pPr>
            <w:r w:rsidRPr="00DC4722">
              <w:rPr>
                <w:noProof/>
                <w:sz w:val="20"/>
              </w:rPr>
              <w:t xml:space="preserve">I. J. Powell, “Insensitive Munitions - Design Principles and Technlology Developments,” </w:t>
            </w:r>
            <w:r w:rsidRPr="00DC4722">
              <w:rPr>
                <w:i/>
                <w:iCs/>
                <w:noProof/>
                <w:sz w:val="20"/>
              </w:rPr>
              <w:t xml:space="preserve">Propellants, Explosives, Pyrotechnics, </w:t>
            </w:r>
            <w:r w:rsidRPr="00DC4722">
              <w:rPr>
                <w:noProof/>
                <w:sz w:val="20"/>
              </w:rPr>
              <w:t xml:space="preserve">vol. 41, pp. 409-413, 2016. </w:t>
            </w:r>
          </w:p>
        </w:tc>
      </w:tr>
      <w:tr w:rsidR="00E121DA" w:rsidRPr="00DC4722">
        <w:trPr>
          <w:divId w:val="1828864112"/>
          <w:tblCellSpacing w:w="15" w:type="dxa"/>
        </w:trPr>
        <w:tc>
          <w:tcPr>
            <w:tcW w:w="50" w:type="pct"/>
            <w:hideMark/>
          </w:tcPr>
          <w:p w:rsidR="00E121DA" w:rsidRPr="00DC4722" w:rsidRDefault="00E121DA">
            <w:pPr>
              <w:pStyle w:val="Bibliography"/>
              <w:rPr>
                <w:noProof/>
                <w:sz w:val="20"/>
              </w:rPr>
            </w:pPr>
            <w:r w:rsidRPr="00DC4722">
              <w:rPr>
                <w:noProof/>
                <w:sz w:val="20"/>
              </w:rPr>
              <w:t xml:space="preserve">[15] </w:t>
            </w:r>
          </w:p>
        </w:tc>
        <w:tc>
          <w:tcPr>
            <w:tcW w:w="0" w:type="auto"/>
            <w:hideMark/>
          </w:tcPr>
          <w:p w:rsidR="00E121DA" w:rsidRPr="00DC4722" w:rsidRDefault="00E121DA">
            <w:pPr>
              <w:pStyle w:val="Bibliography"/>
              <w:rPr>
                <w:noProof/>
                <w:sz w:val="20"/>
              </w:rPr>
            </w:pPr>
            <w:r w:rsidRPr="00DC4722">
              <w:rPr>
                <w:noProof/>
                <w:sz w:val="20"/>
              </w:rPr>
              <w:t xml:space="preserve">J. Isler and SNPE, “The Transition to Insensitive Munitions,” </w:t>
            </w:r>
            <w:r w:rsidRPr="00DC4722">
              <w:rPr>
                <w:i/>
                <w:iCs/>
                <w:noProof/>
                <w:sz w:val="20"/>
              </w:rPr>
              <w:t xml:space="preserve">Propellants, Explosives, Pyrotechnics, </w:t>
            </w:r>
            <w:r w:rsidRPr="00DC4722">
              <w:rPr>
                <w:noProof/>
                <w:sz w:val="20"/>
              </w:rPr>
              <w:t xml:space="preserve">vol. 23, pp. 283-291, 1998. </w:t>
            </w:r>
          </w:p>
        </w:tc>
      </w:tr>
      <w:tr w:rsidR="00E121DA" w:rsidRPr="00DC4722">
        <w:trPr>
          <w:divId w:val="1828864112"/>
          <w:tblCellSpacing w:w="15" w:type="dxa"/>
        </w:trPr>
        <w:tc>
          <w:tcPr>
            <w:tcW w:w="50" w:type="pct"/>
            <w:hideMark/>
          </w:tcPr>
          <w:p w:rsidR="00E121DA" w:rsidRPr="00DC4722" w:rsidRDefault="00E121DA">
            <w:pPr>
              <w:pStyle w:val="Bibliography"/>
              <w:rPr>
                <w:noProof/>
                <w:sz w:val="20"/>
              </w:rPr>
            </w:pPr>
            <w:r w:rsidRPr="00DC4722">
              <w:rPr>
                <w:noProof/>
                <w:sz w:val="20"/>
              </w:rPr>
              <w:t xml:space="preserve">[16] </w:t>
            </w:r>
          </w:p>
        </w:tc>
        <w:tc>
          <w:tcPr>
            <w:tcW w:w="0" w:type="auto"/>
            <w:hideMark/>
          </w:tcPr>
          <w:p w:rsidR="00E121DA" w:rsidRPr="00DC4722" w:rsidRDefault="00E121DA">
            <w:pPr>
              <w:pStyle w:val="Bibliography"/>
              <w:rPr>
                <w:noProof/>
                <w:sz w:val="20"/>
              </w:rPr>
            </w:pPr>
            <w:r w:rsidRPr="00DC4722">
              <w:rPr>
                <w:noProof/>
                <w:sz w:val="20"/>
              </w:rPr>
              <w:t>BAE, “Making Explosives Safer: The Path to IMX 101,” 2023. [Online]. Available: https://www.baesystems.com/en-uk/feature/making-explosives-safer. [Accessed 07 2023].</w:t>
            </w:r>
          </w:p>
        </w:tc>
      </w:tr>
      <w:tr w:rsidR="00E121DA" w:rsidRPr="00DC4722">
        <w:trPr>
          <w:divId w:val="1828864112"/>
          <w:tblCellSpacing w:w="15" w:type="dxa"/>
        </w:trPr>
        <w:tc>
          <w:tcPr>
            <w:tcW w:w="50" w:type="pct"/>
            <w:hideMark/>
          </w:tcPr>
          <w:p w:rsidR="00E121DA" w:rsidRPr="00DC4722" w:rsidRDefault="00E121DA">
            <w:pPr>
              <w:pStyle w:val="Bibliography"/>
              <w:rPr>
                <w:noProof/>
                <w:sz w:val="20"/>
              </w:rPr>
            </w:pPr>
            <w:r w:rsidRPr="00DC4722">
              <w:rPr>
                <w:noProof/>
                <w:sz w:val="20"/>
              </w:rPr>
              <w:t xml:space="preserve">[17] </w:t>
            </w:r>
          </w:p>
        </w:tc>
        <w:tc>
          <w:tcPr>
            <w:tcW w:w="0" w:type="auto"/>
            <w:hideMark/>
          </w:tcPr>
          <w:p w:rsidR="00E121DA" w:rsidRPr="00DC4722" w:rsidRDefault="00E121DA">
            <w:pPr>
              <w:pStyle w:val="Bibliography"/>
              <w:rPr>
                <w:noProof/>
                <w:sz w:val="20"/>
              </w:rPr>
            </w:pPr>
            <w:r w:rsidRPr="00DC4722">
              <w:rPr>
                <w:noProof/>
                <w:sz w:val="20"/>
              </w:rPr>
              <w:t>R. P. Parker and A. White, “Cost-Benefit Analysis Concepts for Insensitive Munitions Policy Implementation,” DSTO, Melbourne, 1999.</w:t>
            </w:r>
          </w:p>
        </w:tc>
      </w:tr>
      <w:tr w:rsidR="00E121DA" w:rsidRPr="00DC4722">
        <w:trPr>
          <w:divId w:val="1828864112"/>
          <w:tblCellSpacing w:w="15" w:type="dxa"/>
        </w:trPr>
        <w:tc>
          <w:tcPr>
            <w:tcW w:w="50" w:type="pct"/>
            <w:hideMark/>
          </w:tcPr>
          <w:p w:rsidR="00E121DA" w:rsidRPr="00DC4722" w:rsidRDefault="00E121DA">
            <w:pPr>
              <w:pStyle w:val="Bibliography"/>
              <w:rPr>
                <w:noProof/>
                <w:sz w:val="20"/>
              </w:rPr>
            </w:pPr>
            <w:r w:rsidRPr="00DC4722">
              <w:rPr>
                <w:noProof/>
                <w:sz w:val="20"/>
              </w:rPr>
              <w:t xml:space="preserve">[18] </w:t>
            </w:r>
          </w:p>
        </w:tc>
        <w:tc>
          <w:tcPr>
            <w:tcW w:w="0" w:type="auto"/>
            <w:hideMark/>
          </w:tcPr>
          <w:p w:rsidR="00E121DA" w:rsidRPr="00DC4722" w:rsidRDefault="00E121DA">
            <w:pPr>
              <w:pStyle w:val="Bibliography"/>
              <w:rPr>
                <w:noProof/>
                <w:sz w:val="20"/>
              </w:rPr>
            </w:pPr>
            <w:r w:rsidRPr="00DC4722">
              <w:rPr>
                <w:noProof/>
                <w:sz w:val="20"/>
              </w:rPr>
              <w:t>Press Information Bureau of India: Ministry of Defence, “Pune Based DRDO Lab Makes Most Powerful Coneventional Explosive,” 2010.</w:t>
            </w:r>
          </w:p>
        </w:tc>
      </w:tr>
      <w:tr w:rsidR="00E121DA" w:rsidRPr="00DC4722">
        <w:trPr>
          <w:divId w:val="1828864112"/>
          <w:tblCellSpacing w:w="15" w:type="dxa"/>
        </w:trPr>
        <w:tc>
          <w:tcPr>
            <w:tcW w:w="50" w:type="pct"/>
            <w:hideMark/>
          </w:tcPr>
          <w:p w:rsidR="00E121DA" w:rsidRPr="00DC4722" w:rsidRDefault="00E121DA">
            <w:pPr>
              <w:pStyle w:val="Bibliography"/>
              <w:rPr>
                <w:noProof/>
                <w:sz w:val="20"/>
              </w:rPr>
            </w:pPr>
            <w:r w:rsidRPr="00DC4722">
              <w:rPr>
                <w:noProof/>
                <w:sz w:val="20"/>
              </w:rPr>
              <w:t xml:space="preserve">[19] </w:t>
            </w:r>
          </w:p>
        </w:tc>
        <w:tc>
          <w:tcPr>
            <w:tcW w:w="0" w:type="auto"/>
            <w:hideMark/>
          </w:tcPr>
          <w:p w:rsidR="00E121DA" w:rsidRPr="00DC4722" w:rsidRDefault="00E121DA">
            <w:pPr>
              <w:pStyle w:val="Bibliography"/>
              <w:rPr>
                <w:noProof/>
                <w:sz w:val="20"/>
              </w:rPr>
            </w:pPr>
            <w:r w:rsidRPr="00DC4722">
              <w:rPr>
                <w:noProof/>
                <w:sz w:val="20"/>
              </w:rPr>
              <w:t xml:space="preserve">K. T. Miers, D. L. Prillaman and N. M. Al-Shehab, “Optimized Mitigation Barriers for Insensitive Munitions Compliance of a 120mm Warhead,” in </w:t>
            </w:r>
            <w:r w:rsidRPr="00DC4722">
              <w:rPr>
                <w:i/>
                <w:iCs/>
                <w:noProof/>
                <w:sz w:val="20"/>
              </w:rPr>
              <w:t>Proceedings of the 2019 Hypervelocity Impact Symposium (HVIS 2019)</w:t>
            </w:r>
            <w:r w:rsidRPr="00DC4722">
              <w:rPr>
                <w:noProof/>
                <w:sz w:val="20"/>
              </w:rPr>
              <w:t xml:space="preserve">. </w:t>
            </w:r>
          </w:p>
        </w:tc>
      </w:tr>
      <w:tr w:rsidR="00E121DA" w:rsidRPr="00DC4722">
        <w:trPr>
          <w:divId w:val="1828864112"/>
          <w:tblCellSpacing w:w="15" w:type="dxa"/>
        </w:trPr>
        <w:tc>
          <w:tcPr>
            <w:tcW w:w="50" w:type="pct"/>
            <w:hideMark/>
          </w:tcPr>
          <w:p w:rsidR="00E121DA" w:rsidRPr="00DC4722" w:rsidRDefault="00E121DA">
            <w:pPr>
              <w:pStyle w:val="Bibliography"/>
              <w:rPr>
                <w:noProof/>
                <w:sz w:val="20"/>
              </w:rPr>
            </w:pPr>
            <w:r w:rsidRPr="00DC4722">
              <w:rPr>
                <w:noProof/>
                <w:sz w:val="20"/>
              </w:rPr>
              <w:t xml:space="preserve">[20] </w:t>
            </w:r>
          </w:p>
        </w:tc>
        <w:tc>
          <w:tcPr>
            <w:tcW w:w="0" w:type="auto"/>
            <w:hideMark/>
          </w:tcPr>
          <w:p w:rsidR="00E121DA" w:rsidRPr="00DC4722" w:rsidRDefault="00E121DA">
            <w:pPr>
              <w:pStyle w:val="Bibliography"/>
              <w:rPr>
                <w:noProof/>
                <w:sz w:val="20"/>
              </w:rPr>
            </w:pPr>
            <w:r w:rsidRPr="00DC4722">
              <w:rPr>
                <w:noProof/>
                <w:sz w:val="20"/>
              </w:rPr>
              <w:t>“Insensitive Munitions Liner”. United States Patent US 10,184,764 B1, 2019.</w:t>
            </w:r>
          </w:p>
        </w:tc>
      </w:tr>
    </w:tbl>
    <w:p w:rsidR="00E121DA" w:rsidRDefault="00E121DA">
      <w:pPr>
        <w:divId w:val="1828864112"/>
        <w:rPr>
          <w:rFonts w:eastAsia="Times New Roman"/>
          <w:noProof/>
        </w:rPr>
      </w:pPr>
    </w:p>
    <w:p w:rsidR="00E121DA" w:rsidRPr="00690180" w:rsidRDefault="00E121DA" w:rsidP="00690180">
      <w:pPr>
        <w:rPr>
          <w:sz w:val="28"/>
        </w:rPr>
      </w:pPr>
      <w:r>
        <w:rPr>
          <w:sz w:val="28"/>
        </w:rPr>
        <w:fldChar w:fldCharType="end"/>
      </w:r>
    </w:p>
    <w:sectPr w:rsidR="00E121DA" w:rsidRPr="00690180" w:rsidSect="00646A03">
      <w:headerReference w:type="default" r:id="rId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F6464" w:rsidRDefault="008F6464" w:rsidP="000844AA">
      <w:pPr>
        <w:spacing w:after="0" w:line="240" w:lineRule="auto"/>
      </w:pPr>
      <w:r>
        <w:separator/>
      </w:r>
    </w:p>
  </w:endnote>
  <w:endnote w:type="continuationSeparator" w:id="0">
    <w:p w:rsidR="008F6464" w:rsidRDefault="008F6464" w:rsidP="000844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F6464" w:rsidRDefault="008F6464" w:rsidP="000844AA">
      <w:pPr>
        <w:spacing w:after="0" w:line="240" w:lineRule="auto"/>
      </w:pPr>
      <w:r>
        <w:separator/>
      </w:r>
    </w:p>
  </w:footnote>
  <w:footnote w:type="continuationSeparator" w:id="0">
    <w:p w:rsidR="008F6464" w:rsidRDefault="008F6464" w:rsidP="000844A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50F0E" w:rsidRDefault="00050F0E" w:rsidP="00B07CB6">
    <w:pPr>
      <w:pStyle w:val="Header"/>
      <w:jc w:val="right"/>
    </w:pPr>
    <w:r>
      <w:t>William Noakes</w:t>
    </w:r>
    <w:r w:rsidR="00B07CB6">
      <w:t xml:space="preserve"> </w:t>
    </w:r>
    <w:r>
      <w:t>2019255</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A752B54"/>
    <w:multiLevelType w:val="hybridMultilevel"/>
    <w:tmpl w:val="9F982090"/>
    <w:lvl w:ilvl="0" w:tplc="039E3E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8D06B18"/>
    <w:multiLevelType w:val="hybridMultilevel"/>
    <w:tmpl w:val="6F1C22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5D2530F"/>
    <w:multiLevelType w:val="hybridMultilevel"/>
    <w:tmpl w:val="16309358"/>
    <w:lvl w:ilvl="0" w:tplc="3F1EAB8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44AA"/>
    <w:rsid w:val="00004622"/>
    <w:rsid w:val="000271B2"/>
    <w:rsid w:val="00050F0E"/>
    <w:rsid w:val="00062344"/>
    <w:rsid w:val="000624F9"/>
    <w:rsid w:val="000635F2"/>
    <w:rsid w:val="00067646"/>
    <w:rsid w:val="00070217"/>
    <w:rsid w:val="00074692"/>
    <w:rsid w:val="000844AA"/>
    <w:rsid w:val="000A4E25"/>
    <w:rsid w:val="000B05B7"/>
    <w:rsid w:val="000B63F9"/>
    <w:rsid w:val="000C558A"/>
    <w:rsid w:val="000C7657"/>
    <w:rsid w:val="000D3CBE"/>
    <w:rsid w:val="000F5FFD"/>
    <w:rsid w:val="00113D13"/>
    <w:rsid w:val="00130715"/>
    <w:rsid w:val="001C4A0F"/>
    <w:rsid w:val="001F21C1"/>
    <w:rsid w:val="00203F1D"/>
    <w:rsid w:val="00207917"/>
    <w:rsid w:val="00217F33"/>
    <w:rsid w:val="002205D2"/>
    <w:rsid w:val="002341F6"/>
    <w:rsid w:val="00262DBB"/>
    <w:rsid w:val="002B202A"/>
    <w:rsid w:val="00300F73"/>
    <w:rsid w:val="00334C31"/>
    <w:rsid w:val="00364EAF"/>
    <w:rsid w:val="0039209C"/>
    <w:rsid w:val="00392A11"/>
    <w:rsid w:val="003A5E39"/>
    <w:rsid w:val="003B6E5A"/>
    <w:rsid w:val="003C0E27"/>
    <w:rsid w:val="003F1336"/>
    <w:rsid w:val="003F1E0B"/>
    <w:rsid w:val="003F3F13"/>
    <w:rsid w:val="00403F46"/>
    <w:rsid w:val="00406B97"/>
    <w:rsid w:val="00413301"/>
    <w:rsid w:val="00442EF7"/>
    <w:rsid w:val="00446781"/>
    <w:rsid w:val="00482B2B"/>
    <w:rsid w:val="0049608D"/>
    <w:rsid w:val="004D0F95"/>
    <w:rsid w:val="00510684"/>
    <w:rsid w:val="00512A12"/>
    <w:rsid w:val="00582227"/>
    <w:rsid w:val="005C1195"/>
    <w:rsid w:val="005C6187"/>
    <w:rsid w:val="005F0EAA"/>
    <w:rsid w:val="00611C31"/>
    <w:rsid w:val="00614C92"/>
    <w:rsid w:val="00625D0A"/>
    <w:rsid w:val="0062685E"/>
    <w:rsid w:val="0063233B"/>
    <w:rsid w:val="006433CA"/>
    <w:rsid w:val="00646A03"/>
    <w:rsid w:val="006633FB"/>
    <w:rsid w:val="00666CD0"/>
    <w:rsid w:val="006766EA"/>
    <w:rsid w:val="0068540B"/>
    <w:rsid w:val="00690180"/>
    <w:rsid w:val="006A19A2"/>
    <w:rsid w:val="006B34E4"/>
    <w:rsid w:val="006C2E1B"/>
    <w:rsid w:val="006E213B"/>
    <w:rsid w:val="00732D3A"/>
    <w:rsid w:val="00742151"/>
    <w:rsid w:val="007518BF"/>
    <w:rsid w:val="00751FDD"/>
    <w:rsid w:val="00756494"/>
    <w:rsid w:val="007663E9"/>
    <w:rsid w:val="0077034B"/>
    <w:rsid w:val="0078538E"/>
    <w:rsid w:val="0079694A"/>
    <w:rsid w:val="007A5261"/>
    <w:rsid w:val="007C277B"/>
    <w:rsid w:val="007E52C3"/>
    <w:rsid w:val="007E57F8"/>
    <w:rsid w:val="00806A81"/>
    <w:rsid w:val="008309FB"/>
    <w:rsid w:val="008A2D6C"/>
    <w:rsid w:val="008C03E6"/>
    <w:rsid w:val="008C7F19"/>
    <w:rsid w:val="008F492C"/>
    <w:rsid w:val="008F5E40"/>
    <w:rsid w:val="008F6464"/>
    <w:rsid w:val="00917E9E"/>
    <w:rsid w:val="00924035"/>
    <w:rsid w:val="00947B97"/>
    <w:rsid w:val="009640C2"/>
    <w:rsid w:val="009B78F3"/>
    <w:rsid w:val="009C316B"/>
    <w:rsid w:val="00A111BE"/>
    <w:rsid w:val="00A42562"/>
    <w:rsid w:val="00A70CE0"/>
    <w:rsid w:val="00A74CFC"/>
    <w:rsid w:val="00AA1E56"/>
    <w:rsid w:val="00AA5E84"/>
    <w:rsid w:val="00AA5FFA"/>
    <w:rsid w:val="00AC4519"/>
    <w:rsid w:val="00AD43C7"/>
    <w:rsid w:val="00AF33D1"/>
    <w:rsid w:val="00B012DF"/>
    <w:rsid w:val="00B01864"/>
    <w:rsid w:val="00B07CB6"/>
    <w:rsid w:val="00B14E14"/>
    <w:rsid w:val="00B66C43"/>
    <w:rsid w:val="00B70F51"/>
    <w:rsid w:val="00B878EC"/>
    <w:rsid w:val="00BC4CF3"/>
    <w:rsid w:val="00BC7751"/>
    <w:rsid w:val="00BD173F"/>
    <w:rsid w:val="00C01B91"/>
    <w:rsid w:val="00C07B16"/>
    <w:rsid w:val="00C37C61"/>
    <w:rsid w:val="00C74448"/>
    <w:rsid w:val="00C96067"/>
    <w:rsid w:val="00CB1F92"/>
    <w:rsid w:val="00CD6A86"/>
    <w:rsid w:val="00D04A2E"/>
    <w:rsid w:val="00D44BF6"/>
    <w:rsid w:val="00D6603D"/>
    <w:rsid w:val="00D71CEF"/>
    <w:rsid w:val="00DC4722"/>
    <w:rsid w:val="00DD0CDC"/>
    <w:rsid w:val="00DD7838"/>
    <w:rsid w:val="00DE04D5"/>
    <w:rsid w:val="00DE471F"/>
    <w:rsid w:val="00E0594A"/>
    <w:rsid w:val="00E121DA"/>
    <w:rsid w:val="00E33CBA"/>
    <w:rsid w:val="00E36E21"/>
    <w:rsid w:val="00E65F0A"/>
    <w:rsid w:val="00E74AB9"/>
    <w:rsid w:val="00E77D38"/>
    <w:rsid w:val="00E926CA"/>
    <w:rsid w:val="00E94F81"/>
    <w:rsid w:val="00E97920"/>
    <w:rsid w:val="00EC7170"/>
    <w:rsid w:val="00F27524"/>
    <w:rsid w:val="00F90379"/>
    <w:rsid w:val="00FE0F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1E90604-F347-41A5-BF0A-90B2BF7120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DD783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44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44AA"/>
  </w:style>
  <w:style w:type="paragraph" w:styleId="Footer">
    <w:name w:val="footer"/>
    <w:basedOn w:val="Normal"/>
    <w:link w:val="FooterChar"/>
    <w:uiPriority w:val="99"/>
    <w:unhideWhenUsed/>
    <w:rsid w:val="000844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44AA"/>
  </w:style>
  <w:style w:type="paragraph" w:styleId="ListParagraph">
    <w:name w:val="List Paragraph"/>
    <w:basedOn w:val="Normal"/>
    <w:uiPriority w:val="34"/>
    <w:qFormat/>
    <w:rsid w:val="000844AA"/>
    <w:pPr>
      <w:ind w:left="720"/>
      <w:contextualSpacing/>
    </w:pPr>
  </w:style>
  <w:style w:type="table" w:styleId="TableGrid">
    <w:name w:val="Table Grid"/>
    <w:basedOn w:val="TableNormal"/>
    <w:uiPriority w:val="39"/>
    <w:rsid w:val="00E77D3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uiPriority w:val="1"/>
    <w:qFormat/>
    <w:rsid w:val="009C316B"/>
    <w:pPr>
      <w:spacing w:after="0" w:line="240" w:lineRule="auto"/>
    </w:pPr>
  </w:style>
  <w:style w:type="character" w:styleId="Hyperlink">
    <w:name w:val="Hyperlink"/>
    <w:basedOn w:val="DefaultParagraphFont"/>
    <w:uiPriority w:val="99"/>
    <w:unhideWhenUsed/>
    <w:rsid w:val="00F27524"/>
    <w:rPr>
      <w:color w:val="0563C1" w:themeColor="hyperlink"/>
      <w:u w:val="single"/>
    </w:rPr>
  </w:style>
  <w:style w:type="paragraph" w:styleId="NormalWeb">
    <w:name w:val="Normal (Web)"/>
    <w:basedOn w:val="Normal"/>
    <w:uiPriority w:val="99"/>
    <w:semiHidden/>
    <w:unhideWhenUsed/>
    <w:rsid w:val="00DD78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DD7838"/>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DD7838"/>
    <w:rPr>
      <w:b/>
      <w:bCs/>
    </w:rPr>
  </w:style>
  <w:style w:type="character" w:styleId="FollowedHyperlink">
    <w:name w:val="FollowedHyperlink"/>
    <w:basedOn w:val="DefaultParagraphFont"/>
    <w:uiPriority w:val="99"/>
    <w:semiHidden/>
    <w:unhideWhenUsed/>
    <w:rsid w:val="005C6187"/>
    <w:rPr>
      <w:color w:val="954F72" w:themeColor="followedHyperlink"/>
      <w:u w:val="single"/>
    </w:rPr>
  </w:style>
  <w:style w:type="paragraph" w:styleId="Bibliography">
    <w:name w:val="Bibliography"/>
    <w:basedOn w:val="Normal"/>
    <w:next w:val="Normal"/>
    <w:uiPriority w:val="37"/>
    <w:unhideWhenUsed/>
    <w:rsid w:val="00E121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510067">
      <w:bodyDiv w:val="1"/>
      <w:marLeft w:val="0"/>
      <w:marRight w:val="0"/>
      <w:marTop w:val="0"/>
      <w:marBottom w:val="0"/>
      <w:divBdr>
        <w:top w:val="none" w:sz="0" w:space="0" w:color="auto"/>
        <w:left w:val="none" w:sz="0" w:space="0" w:color="auto"/>
        <w:bottom w:val="none" w:sz="0" w:space="0" w:color="auto"/>
        <w:right w:val="none" w:sz="0" w:space="0" w:color="auto"/>
      </w:divBdr>
    </w:div>
    <w:div w:id="44063536">
      <w:bodyDiv w:val="1"/>
      <w:marLeft w:val="0"/>
      <w:marRight w:val="0"/>
      <w:marTop w:val="0"/>
      <w:marBottom w:val="0"/>
      <w:divBdr>
        <w:top w:val="none" w:sz="0" w:space="0" w:color="auto"/>
        <w:left w:val="none" w:sz="0" w:space="0" w:color="auto"/>
        <w:bottom w:val="none" w:sz="0" w:space="0" w:color="auto"/>
        <w:right w:val="none" w:sz="0" w:space="0" w:color="auto"/>
      </w:divBdr>
    </w:div>
    <w:div w:id="44724598">
      <w:bodyDiv w:val="1"/>
      <w:marLeft w:val="0"/>
      <w:marRight w:val="0"/>
      <w:marTop w:val="0"/>
      <w:marBottom w:val="0"/>
      <w:divBdr>
        <w:top w:val="none" w:sz="0" w:space="0" w:color="auto"/>
        <w:left w:val="none" w:sz="0" w:space="0" w:color="auto"/>
        <w:bottom w:val="none" w:sz="0" w:space="0" w:color="auto"/>
        <w:right w:val="none" w:sz="0" w:space="0" w:color="auto"/>
      </w:divBdr>
    </w:div>
    <w:div w:id="48846318">
      <w:bodyDiv w:val="1"/>
      <w:marLeft w:val="0"/>
      <w:marRight w:val="0"/>
      <w:marTop w:val="0"/>
      <w:marBottom w:val="0"/>
      <w:divBdr>
        <w:top w:val="none" w:sz="0" w:space="0" w:color="auto"/>
        <w:left w:val="none" w:sz="0" w:space="0" w:color="auto"/>
        <w:bottom w:val="none" w:sz="0" w:space="0" w:color="auto"/>
        <w:right w:val="none" w:sz="0" w:space="0" w:color="auto"/>
      </w:divBdr>
    </w:div>
    <w:div w:id="54159348">
      <w:bodyDiv w:val="1"/>
      <w:marLeft w:val="0"/>
      <w:marRight w:val="0"/>
      <w:marTop w:val="0"/>
      <w:marBottom w:val="0"/>
      <w:divBdr>
        <w:top w:val="none" w:sz="0" w:space="0" w:color="auto"/>
        <w:left w:val="none" w:sz="0" w:space="0" w:color="auto"/>
        <w:bottom w:val="none" w:sz="0" w:space="0" w:color="auto"/>
        <w:right w:val="none" w:sz="0" w:space="0" w:color="auto"/>
      </w:divBdr>
    </w:div>
    <w:div w:id="72968916">
      <w:bodyDiv w:val="1"/>
      <w:marLeft w:val="0"/>
      <w:marRight w:val="0"/>
      <w:marTop w:val="0"/>
      <w:marBottom w:val="0"/>
      <w:divBdr>
        <w:top w:val="none" w:sz="0" w:space="0" w:color="auto"/>
        <w:left w:val="none" w:sz="0" w:space="0" w:color="auto"/>
        <w:bottom w:val="none" w:sz="0" w:space="0" w:color="auto"/>
        <w:right w:val="none" w:sz="0" w:space="0" w:color="auto"/>
      </w:divBdr>
    </w:div>
    <w:div w:id="98918900">
      <w:bodyDiv w:val="1"/>
      <w:marLeft w:val="0"/>
      <w:marRight w:val="0"/>
      <w:marTop w:val="0"/>
      <w:marBottom w:val="0"/>
      <w:divBdr>
        <w:top w:val="none" w:sz="0" w:space="0" w:color="auto"/>
        <w:left w:val="none" w:sz="0" w:space="0" w:color="auto"/>
        <w:bottom w:val="none" w:sz="0" w:space="0" w:color="auto"/>
        <w:right w:val="none" w:sz="0" w:space="0" w:color="auto"/>
      </w:divBdr>
    </w:div>
    <w:div w:id="106896520">
      <w:bodyDiv w:val="1"/>
      <w:marLeft w:val="0"/>
      <w:marRight w:val="0"/>
      <w:marTop w:val="0"/>
      <w:marBottom w:val="0"/>
      <w:divBdr>
        <w:top w:val="none" w:sz="0" w:space="0" w:color="auto"/>
        <w:left w:val="none" w:sz="0" w:space="0" w:color="auto"/>
        <w:bottom w:val="none" w:sz="0" w:space="0" w:color="auto"/>
        <w:right w:val="none" w:sz="0" w:space="0" w:color="auto"/>
      </w:divBdr>
    </w:div>
    <w:div w:id="273054180">
      <w:bodyDiv w:val="1"/>
      <w:marLeft w:val="0"/>
      <w:marRight w:val="0"/>
      <w:marTop w:val="0"/>
      <w:marBottom w:val="0"/>
      <w:divBdr>
        <w:top w:val="none" w:sz="0" w:space="0" w:color="auto"/>
        <w:left w:val="none" w:sz="0" w:space="0" w:color="auto"/>
        <w:bottom w:val="none" w:sz="0" w:space="0" w:color="auto"/>
        <w:right w:val="none" w:sz="0" w:space="0" w:color="auto"/>
      </w:divBdr>
    </w:div>
    <w:div w:id="277034988">
      <w:bodyDiv w:val="1"/>
      <w:marLeft w:val="0"/>
      <w:marRight w:val="0"/>
      <w:marTop w:val="0"/>
      <w:marBottom w:val="0"/>
      <w:divBdr>
        <w:top w:val="none" w:sz="0" w:space="0" w:color="auto"/>
        <w:left w:val="none" w:sz="0" w:space="0" w:color="auto"/>
        <w:bottom w:val="none" w:sz="0" w:space="0" w:color="auto"/>
        <w:right w:val="none" w:sz="0" w:space="0" w:color="auto"/>
      </w:divBdr>
    </w:div>
    <w:div w:id="314185064">
      <w:bodyDiv w:val="1"/>
      <w:marLeft w:val="0"/>
      <w:marRight w:val="0"/>
      <w:marTop w:val="0"/>
      <w:marBottom w:val="0"/>
      <w:divBdr>
        <w:top w:val="none" w:sz="0" w:space="0" w:color="auto"/>
        <w:left w:val="none" w:sz="0" w:space="0" w:color="auto"/>
        <w:bottom w:val="none" w:sz="0" w:space="0" w:color="auto"/>
        <w:right w:val="none" w:sz="0" w:space="0" w:color="auto"/>
      </w:divBdr>
    </w:div>
    <w:div w:id="381565025">
      <w:bodyDiv w:val="1"/>
      <w:marLeft w:val="0"/>
      <w:marRight w:val="0"/>
      <w:marTop w:val="0"/>
      <w:marBottom w:val="0"/>
      <w:divBdr>
        <w:top w:val="none" w:sz="0" w:space="0" w:color="auto"/>
        <w:left w:val="none" w:sz="0" w:space="0" w:color="auto"/>
        <w:bottom w:val="none" w:sz="0" w:space="0" w:color="auto"/>
        <w:right w:val="none" w:sz="0" w:space="0" w:color="auto"/>
      </w:divBdr>
    </w:div>
    <w:div w:id="385952559">
      <w:bodyDiv w:val="1"/>
      <w:marLeft w:val="0"/>
      <w:marRight w:val="0"/>
      <w:marTop w:val="0"/>
      <w:marBottom w:val="0"/>
      <w:divBdr>
        <w:top w:val="none" w:sz="0" w:space="0" w:color="auto"/>
        <w:left w:val="none" w:sz="0" w:space="0" w:color="auto"/>
        <w:bottom w:val="none" w:sz="0" w:space="0" w:color="auto"/>
        <w:right w:val="none" w:sz="0" w:space="0" w:color="auto"/>
      </w:divBdr>
    </w:div>
    <w:div w:id="401220205">
      <w:bodyDiv w:val="1"/>
      <w:marLeft w:val="0"/>
      <w:marRight w:val="0"/>
      <w:marTop w:val="0"/>
      <w:marBottom w:val="0"/>
      <w:divBdr>
        <w:top w:val="none" w:sz="0" w:space="0" w:color="auto"/>
        <w:left w:val="none" w:sz="0" w:space="0" w:color="auto"/>
        <w:bottom w:val="none" w:sz="0" w:space="0" w:color="auto"/>
        <w:right w:val="none" w:sz="0" w:space="0" w:color="auto"/>
      </w:divBdr>
    </w:div>
    <w:div w:id="403795812">
      <w:bodyDiv w:val="1"/>
      <w:marLeft w:val="0"/>
      <w:marRight w:val="0"/>
      <w:marTop w:val="0"/>
      <w:marBottom w:val="0"/>
      <w:divBdr>
        <w:top w:val="none" w:sz="0" w:space="0" w:color="auto"/>
        <w:left w:val="none" w:sz="0" w:space="0" w:color="auto"/>
        <w:bottom w:val="none" w:sz="0" w:space="0" w:color="auto"/>
        <w:right w:val="none" w:sz="0" w:space="0" w:color="auto"/>
      </w:divBdr>
    </w:div>
    <w:div w:id="423455729">
      <w:bodyDiv w:val="1"/>
      <w:marLeft w:val="0"/>
      <w:marRight w:val="0"/>
      <w:marTop w:val="0"/>
      <w:marBottom w:val="0"/>
      <w:divBdr>
        <w:top w:val="none" w:sz="0" w:space="0" w:color="auto"/>
        <w:left w:val="none" w:sz="0" w:space="0" w:color="auto"/>
        <w:bottom w:val="none" w:sz="0" w:space="0" w:color="auto"/>
        <w:right w:val="none" w:sz="0" w:space="0" w:color="auto"/>
      </w:divBdr>
    </w:div>
    <w:div w:id="428819936">
      <w:bodyDiv w:val="1"/>
      <w:marLeft w:val="0"/>
      <w:marRight w:val="0"/>
      <w:marTop w:val="0"/>
      <w:marBottom w:val="0"/>
      <w:divBdr>
        <w:top w:val="none" w:sz="0" w:space="0" w:color="auto"/>
        <w:left w:val="none" w:sz="0" w:space="0" w:color="auto"/>
        <w:bottom w:val="none" w:sz="0" w:space="0" w:color="auto"/>
        <w:right w:val="none" w:sz="0" w:space="0" w:color="auto"/>
      </w:divBdr>
    </w:div>
    <w:div w:id="436146289">
      <w:bodyDiv w:val="1"/>
      <w:marLeft w:val="0"/>
      <w:marRight w:val="0"/>
      <w:marTop w:val="0"/>
      <w:marBottom w:val="0"/>
      <w:divBdr>
        <w:top w:val="none" w:sz="0" w:space="0" w:color="auto"/>
        <w:left w:val="none" w:sz="0" w:space="0" w:color="auto"/>
        <w:bottom w:val="none" w:sz="0" w:space="0" w:color="auto"/>
        <w:right w:val="none" w:sz="0" w:space="0" w:color="auto"/>
      </w:divBdr>
    </w:div>
    <w:div w:id="451898346">
      <w:bodyDiv w:val="1"/>
      <w:marLeft w:val="0"/>
      <w:marRight w:val="0"/>
      <w:marTop w:val="0"/>
      <w:marBottom w:val="0"/>
      <w:divBdr>
        <w:top w:val="none" w:sz="0" w:space="0" w:color="auto"/>
        <w:left w:val="none" w:sz="0" w:space="0" w:color="auto"/>
        <w:bottom w:val="none" w:sz="0" w:space="0" w:color="auto"/>
        <w:right w:val="none" w:sz="0" w:space="0" w:color="auto"/>
      </w:divBdr>
    </w:div>
    <w:div w:id="470292954">
      <w:bodyDiv w:val="1"/>
      <w:marLeft w:val="0"/>
      <w:marRight w:val="0"/>
      <w:marTop w:val="0"/>
      <w:marBottom w:val="0"/>
      <w:divBdr>
        <w:top w:val="none" w:sz="0" w:space="0" w:color="auto"/>
        <w:left w:val="none" w:sz="0" w:space="0" w:color="auto"/>
        <w:bottom w:val="none" w:sz="0" w:space="0" w:color="auto"/>
        <w:right w:val="none" w:sz="0" w:space="0" w:color="auto"/>
      </w:divBdr>
    </w:div>
    <w:div w:id="537860395">
      <w:bodyDiv w:val="1"/>
      <w:marLeft w:val="0"/>
      <w:marRight w:val="0"/>
      <w:marTop w:val="0"/>
      <w:marBottom w:val="0"/>
      <w:divBdr>
        <w:top w:val="none" w:sz="0" w:space="0" w:color="auto"/>
        <w:left w:val="none" w:sz="0" w:space="0" w:color="auto"/>
        <w:bottom w:val="none" w:sz="0" w:space="0" w:color="auto"/>
        <w:right w:val="none" w:sz="0" w:space="0" w:color="auto"/>
      </w:divBdr>
    </w:div>
    <w:div w:id="538594294">
      <w:bodyDiv w:val="1"/>
      <w:marLeft w:val="0"/>
      <w:marRight w:val="0"/>
      <w:marTop w:val="0"/>
      <w:marBottom w:val="0"/>
      <w:divBdr>
        <w:top w:val="none" w:sz="0" w:space="0" w:color="auto"/>
        <w:left w:val="none" w:sz="0" w:space="0" w:color="auto"/>
        <w:bottom w:val="none" w:sz="0" w:space="0" w:color="auto"/>
        <w:right w:val="none" w:sz="0" w:space="0" w:color="auto"/>
      </w:divBdr>
    </w:div>
    <w:div w:id="572550146">
      <w:bodyDiv w:val="1"/>
      <w:marLeft w:val="0"/>
      <w:marRight w:val="0"/>
      <w:marTop w:val="0"/>
      <w:marBottom w:val="0"/>
      <w:divBdr>
        <w:top w:val="none" w:sz="0" w:space="0" w:color="auto"/>
        <w:left w:val="none" w:sz="0" w:space="0" w:color="auto"/>
        <w:bottom w:val="none" w:sz="0" w:space="0" w:color="auto"/>
        <w:right w:val="none" w:sz="0" w:space="0" w:color="auto"/>
      </w:divBdr>
    </w:div>
    <w:div w:id="600651121">
      <w:bodyDiv w:val="1"/>
      <w:marLeft w:val="0"/>
      <w:marRight w:val="0"/>
      <w:marTop w:val="0"/>
      <w:marBottom w:val="0"/>
      <w:divBdr>
        <w:top w:val="none" w:sz="0" w:space="0" w:color="auto"/>
        <w:left w:val="none" w:sz="0" w:space="0" w:color="auto"/>
        <w:bottom w:val="none" w:sz="0" w:space="0" w:color="auto"/>
        <w:right w:val="none" w:sz="0" w:space="0" w:color="auto"/>
      </w:divBdr>
    </w:div>
    <w:div w:id="617487731">
      <w:bodyDiv w:val="1"/>
      <w:marLeft w:val="0"/>
      <w:marRight w:val="0"/>
      <w:marTop w:val="0"/>
      <w:marBottom w:val="0"/>
      <w:divBdr>
        <w:top w:val="none" w:sz="0" w:space="0" w:color="auto"/>
        <w:left w:val="none" w:sz="0" w:space="0" w:color="auto"/>
        <w:bottom w:val="none" w:sz="0" w:space="0" w:color="auto"/>
        <w:right w:val="none" w:sz="0" w:space="0" w:color="auto"/>
      </w:divBdr>
    </w:div>
    <w:div w:id="642394146">
      <w:bodyDiv w:val="1"/>
      <w:marLeft w:val="0"/>
      <w:marRight w:val="0"/>
      <w:marTop w:val="0"/>
      <w:marBottom w:val="0"/>
      <w:divBdr>
        <w:top w:val="none" w:sz="0" w:space="0" w:color="auto"/>
        <w:left w:val="none" w:sz="0" w:space="0" w:color="auto"/>
        <w:bottom w:val="none" w:sz="0" w:space="0" w:color="auto"/>
        <w:right w:val="none" w:sz="0" w:space="0" w:color="auto"/>
      </w:divBdr>
    </w:div>
    <w:div w:id="654338808">
      <w:bodyDiv w:val="1"/>
      <w:marLeft w:val="0"/>
      <w:marRight w:val="0"/>
      <w:marTop w:val="0"/>
      <w:marBottom w:val="0"/>
      <w:divBdr>
        <w:top w:val="none" w:sz="0" w:space="0" w:color="auto"/>
        <w:left w:val="none" w:sz="0" w:space="0" w:color="auto"/>
        <w:bottom w:val="none" w:sz="0" w:space="0" w:color="auto"/>
        <w:right w:val="none" w:sz="0" w:space="0" w:color="auto"/>
      </w:divBdr>
    </w:div>
    <w:div w:id="655492686">
      <w:bodyDiv w:val="1"/>
      <w:marLeft w:val="0"/>
      <w:marRight w:val="0"/>
      <w:marTop w:val="0"/>
      <w:marBottom w:val="0"/>
      <w:divBdr>
        <w:top w:val="none" w:sz="0" w:space="0" w:color="auto"/>
        <w:left w:val="none" w:sz="0" w:space="0" w:color="auto"/>
        <w:bottom w:val="none" w:sz="0" w:space="0" w:color="auto"/>
        <w:right w:val="none" w:sz="0" w:space="0" w:color="auto"/>
      </w:divBdr>
    </w:div>
    <w:div w:id="663748924">
      <w:bodyDiv w:val="1"/>
      <w:marLeft w:val="0"/>
      <w:marRight w:val="0"/>
      <w:marTop w:val="0"/>
      <w:marBottom w:val="0"/>
      <w:divBdr>
        <w:top w:val="none" w:sz="0" w:space="0" w:color="auto"/>
        <w:left w:val="none" w:sz="0" w:space="0" w:color="auto"/>
        <w:bottom w:val="none" w:sz="0" w:space="0" w:color="auto"/>
        <w:right w:val="none" w:sz="0" w:space="0" w:color="auto"/>
      </w:divBdr>
    </w:div>
    <w:div w:id="693655052">
      <w:bodyDiv w:val="1"/>
      <w:marLeft w:val="0"/>
      <w:marRight w:val="0"/>
      <w:marTop w:val="0"/>
      <w:marBottom w:val="0"/>
      <w:divBdr>
        <w:top w:val="none" w:sz="0" w:space="0" w:color="auto"/>
        <w:left w:val="none" w:sz="0" w:space="0" w:color="auto"/>
        <w:bottom w:val="none" w:sz="0" w:space="0" w:color="auto"/>
        <w:right w:val="none" w:sz="0" w:space="0" w:color="auto"/>
      </w:divBdr>
    </w:div>
    <w:div w:id="775059497">
      <w:bodyDiv w:val="1"/>
      <w:marLeft w:val="0"/>
      <w:marRight w:val="0"/>
      <w:marTop w:val="0"/>
      <w:marBottom w:val="0"/>
      <w:divBdr>
        <w:top w:val="none" w:sz="0" w:space="0" w:color="auto"/>
        <w:left w:val="none" w:sz="0" w:space="0" w:color="auto"/>
        <w:bottom w:val="none" w:sz="0" w:space="0" w:color="auto"/>
        <w:right w:val="none" w:sz="0" w:space="0" w:color="auto"/>
      </w:divBdr>
    </w:div>
    <w:div w:id="790978251">
      <w:bodyDiv w:val="1"/>
      <w:marLeft w:val="0"/>
      <w:marRight w:val="0"/>
      <w:marTop w:val="0"/>
      <w:marBottom w:val="0"/>
      <w:divBdr>
        <w:top w:val="none" w:sz="0" w:space="0" w:color="auto"/>
        <w:left w:val="none" w:sz="0" w:space="0" w:color="auto"/>
        <w:bottom w:val="none" w:sz="0" w:space="0" w:color="auto"/>
        <w:right w:val="none" w:sz="0" w:space="0" w:color="auto"/>
      </w:divBdr>
    </w:div>
    <w:div w:id="792141795">
      <w:bodyDiv w:val="1"/>
      <w:marLeft w:val="0"/>
      <w:marRight w:val="0"/>
      <w:marTop w:val="0"/>
      <w:marBottom w:val="0"/>
      <w:divBdr>
        <w:top w:val="none" w:sz="0" w:space="0" w:color="auto"/>
        <w:left w:val="none" w:sz="0" w:space="0" w:color="auto"/>
        <w:bottom w:val="none" w:sz="0" w:space="0" w:color="auto"/>
        <w:right w:val="none" w:sz="0" w:space="0" w:color="auto"/>
      </w:divBdr>
    </w:div>
    <w:div w:id="810516265">
      <w:bodyDiv w:val="1"/>
      <w:marLeft w:val="0"/>
      <w:marRight w:val="0"/>
      <w:marTop w:val="0"/>
      <w:marBottom w:val="0"/>
      <w:divBdr>
        <w:top w:val="none" w:sz="0" w:space="0" w:color="auto"/>
        <w:left w:val="none" w:sz="0" w:space="0" w:color="auto"/>
        <w:bottom w:val="none" w:sz="0" w:space="0" w:color="auto"/>
        <w:right w:val="none" w:sz="0" w:space="0" w:color="auto"/>
      </w:divBdr>
    </w:div>
    <w:div w:id="829520012">
      <w:bodyDiv w:val="1"/>
      <w:marLeft w:val="0"/>
      <w:marRight w:val="0"/>
      <w:marTop w:val="0"/>
      <w:marBottom w:val="0"/>
      <w:divBdr>
        <w:top w:val="none" w:sz="0" w:space="0" w:color="auto"/>
        <w:left w:val="none" w:sz="0" w:space="0" w:color="auto"/>
        <w:bottom w:val="none" w:sz="0" w:space="0" w:color="auto"/>
        <w:right w:val="none" w:sz="0" w:space="0" w:color="auto"/>
      </w:divBdr>
    </w:div>
    <w:div w:id="833643979">
      <w:bodyDiv w:val="1"/>
      <w:marLeft w:val="0"/>
      <w:marRight w:val="0"/>
      <w:marTop w:val="0"/>
      <w:marBottom w:val="0"/>
      <w:divBdr>
        <w:top w:val="none" w:sz="0" w:space="0" w:color="auto"/>
        <w:left w:val="none" w:sz="0" w:space="0" w:color="auto"/>
        <w:bottom w:val="none" w:sz="0" w:space="0" w:color="auto"/>
        <w:right w:val="none" w:sz="0" w:space="0" w:color="auto"/>
      </w:divBdr>
    </w:div>
    <w:div w:id="866219704">
      <w:bodyDiv w:val="1"/>
      <w:marLeft w:val="0"/>
      <w:marRight w:val="0"/>
      <w:marTop w:val="0"/>
      <w:marBottom w:val="0"/>
      <w:divBdr>
        <w:top w:val="none" w:sz="0" w:space="0" w:color="auto"/>
        <w:left w:val="none" w:sz="0" w:space="0" w:color="auto"/>
        <w:bottom w:val="none" w:sz="0" w:space="0" w:color="auto"/>
        <w:right w:val="none" w:sz="0" w:space="0" w:color="auto"/>
      </w:divBdr>
    </w:div>
    <w:div w:id="880483708">
      <w:bodyDiv w:val="1"/>
      <w:marLeft w:val="0"/>
      <w:marRight w:val="0"/>
      <w:marTop w:val="0"/>
      <w:marBottom w:val="0"/>
      <w:divBdr>
        <w:top w:val="none" w:sz="0" w:space="0" w:color="auto"/>
        <w:left w:val="none" w:sz="0" w:space="0" w:color="auto"/>
        <w:bottom w:val="none" w:sz="0" w:space="0" w:color="auto"/>
        <w:right w:val="none" w:sz="0" w:space="0" w:color="auto"/>
      </w:divBdr>
    </w:div>
    <w:div w:id="894002132">
      <w:bodyDiv w:val="1"/>
      <w:marLeft w:val="0"/>
      <w:marRight w:val="0"/>
      <w:marTop w:val="0"/>
      <w:marBottom w:val="0"/>
      <w:divBdr>
        <w:top w:val="none" w:sz="0" w:space="0" w:color="auto"/>
        <w:left w:val="none" w:sz="0" w:space="0" w:color="auto"/>
        <w:bottom w:val="none" w:sz="0" w:space="0" w:color="auto"/>
        <w:right w:val="none" w:sz="0" w:space="0" w:color="auto"/>
      </w:divBdr>
    </w:div>
    <w:div w:id="897781450">
      <w:bodyDiv w:val="1"/>
      <w:marLeft w:val="0"/>
      <w:marRight w:val="0"/>
      <w:marTop w:val="0"/>
      <w:marBottom w:val="0"/>
      <w:divBdr>
        <w:top w:val="none" w:sz="0" w:space="0" w:color="auto"/>
        <w:left w:val="none" w:sz="0" w:space="0" w:color="auto"/>
        <w:bottom w:val="none" w:sz="0" w:space="0" w:color="auto"/>
        <w:right w:val="none" w:sz="0" w:space="0" w:color="auto"/>
      </w:divBdr>
    </w:div>
    <w:div w:id="922951906">
      <w:bodyDiv w:val="1"/>
      <w:marLeft w:val="0"/>
      <w:marRight w:val="0"/>
      <w:marTop w:val="0"/>
      <w:marBottom w:val="0"/>
      <w:divBdr>
        <w:top w:val="none" w:sz="0" w:space="0" w:color="auto"/>
        <w:left w:val="none" w:sz="0" w:space="0" w:color="auto"/>
        <w:bottom w:val="none" w:sz="0" w:space="0" w:color="auto"/>
        <w:right w:val="none" w:sz="0" w:space="0" w:color="auto"/>
      </w:divBdr>
    </w:div>
    <w:div w:id="948900516">
      <w:bodyDiv w:val="1"/>
      <w:marLeft w:val="0"/>
      <w:marRight w:val="0"/>
      <w:marTop w:val="0"/>
      <w:marBottom w:val="0"/>
      <w:divBdr>
        <w:top w:val="none" w:sz="0" w:space="0" w:color="auto"/>
        <w:left w:val="none" w:sz="0" w:space="0" w:color="auto"/>
        <w:bottom w:val="none" w:sz="0" w:space="0" w:color="auto"/>
        <w:right w:val="none" w:sz="0" w:space="0" w:color="auto"/>
      </w:divBdr>
    </w:div>
    <w:div w:id="998001839">
      <w:bodyDiv w:val="1"/>
      <w:marLeft w:val="0"/>
      <w:marRight w:val="0"/>
      <w:marTop w:val="0"/>
      <w:marBottom w:val="0"/>
      <w:divBdr>
        <w:top w:val="none" w:sz="0" w:space="0" w:color="auto"/>
        <w:left w:val="none" w:sz="0" w:space="0" w:color="auto"/>
        <w:bottom w:val="none" w:sz="0" w:space="0" w:color="auto"/>
        <w:right w:val="none" w:sz="0" w:space="0" w:color="auto"/>
      </w:divBdr>
    </w:div>
    <w:div w:id="1000963794">
      <w:bodyDiv w:val="1"/>
      <w:marLeft w:val="0"/>
      <w:marRight w:val="0"/>
      <w:marTop w:val="0"/>
      <w:marBottom w:val="0"/>
      <w:divBdr>
        <w:top w:val="none" w:sz="0" w:space="0" w:color="auto"/>
        <w:left w:val="none" w:sz="0" w:space="0" w:color="auto"/>
        <w:bottom w:val="none" w:sz="0" w:space="0" w:color="auto"/>
        <w:right w:val="none" w:sz="0" w:space="0" w:color="auto"/>
      </w:divBdr>
    </w:div>
    <w:div w:id="1006595617">
      <w:bodyDiv w:val="1"/>
      <w:marLeft w:val="0"/>
      <w:marRight w:val="0"/>
      <w:marTop w:val="0"/>
      <w:marBottom w:val="0"/>
      <w:divBdr>
        <w:top w:val="none" w:sz="0" w:space="0" w:color="auto"/>
        <w:left w:val="none" w:sz="0" w:space="0" w:color="auto"/>
        <w:bottom w:val="none" w:sz="0" w:space="0" w:color="auto"/>
        <w:right w:val="none" w:sz="0" w:space="0" w:color="auto"/>
      </w:divBdr>
    </w:div>
    <w:div w:id="1055081087">
      <w:bodyDiv w:val="1"/>
      <w:marLeft w:val="0"/>
      <w:marRight w:val="0"/>
      <w:marTop w:val="0"/>
      <w:marBottom w:val="0"/>
      <w:divBdr>
        <w:top w:val="none" w:sz="0" w:space="0" w:color="auto"/>
        <w:left w:val="none" w:sz="0" w:space="0" w:color="auto"/>
        <w:bottom w:val="none" w:sz="0" w:space="0" w:color="auto"/>
        <w:right w:val="none" w:sz="0" w:space="0" w:color="auto"/>
      </w:divBdr>
    </w:div>
    <w:div w:id="1055082233">
      <w:bodyDiv w:val="1"/>
      <w:marLeft w:val="0"/>
      <w:marRight w:val="0"/>
      <w:marTop w:val="0"/>
      <w:marBottom w:val="0"/>
      <w:divBdr>
        <w:top w:val="none" w:sz="0" w:space="0" w:color="auto"/>
        <w:left w:val="none" w:sz="0" w:space="0" w:color="auto"/>
        <w:bottom w:val="none" w:sz="0" w:space="0" w:color="auto"/>
        <w:right w:val="none" w:sz="0" w:space="0" w:color="auto"/>
      </w:divBdr>
    </w:div>
    <w:div w:id="1078820133">
      <w:bodyDiv w:val="1"/>
      <w:marLeft w:val="0"/>
      <w:marRight w:val="0"/>
      <w:marTop w:val="0"/>
      <w:marBottom w:val="0"/>
      <w:divBdr>
        <w:top w:val="none" w:sz="0" w:space="0" w:color="auto"/>
        <w:left w:val="none" w:sz="0" w:space="0" w:color="auto"/>
        <w:bottom w:val="none" w:sz="0" w:space="0" w:color="auto"/>
        <w:right w:val="none" w:sz="0" w:space="0" w:color="auto"/>
      </w:divBdr>
    </w:div>
    <w:div w:id="1098672780">
      <w:bodyDiv w:val="1"/>
      <w:marLeft w:val="0"/>
      <w:marRight w:val="0"/>
      <w:marTop w:val="0"/>
      <w:marBottom w:val="0"/>
      <w:divBdr>
        <w:top w:val="none" w:sz="0" w:space="0" w:color="auto"/>
        <w:left w:val="none" w:sz="0" w:space="0" w:color="auto"/>
        <w:bottom w:val="none" w:sz="0" w:space="0" w:color="auto"/>
        <w:right w:val="none" w:sz="0" w:space="0" w:color="auto"/>
      </w:divBdr>
    </w:div>
    <w:div w:id="1136293453">
      <w:bodyDiv w:val="1"/>
      <w:marLeft w:val="0"/>
      <w:marRight w:val="0"/>
      <w:marTop w:val="0"/>
      <w:marBottom w:val="0"/>
      <w:divBdr>
        <w:top w:val="none" w:sz="0" w:space="0" w:color="auto"/>
        <w:left w:val="none" w:sz="0" w:space="0" w:color="auto"/>
        <w:bottom w:val="none" w:sz="0" w:space="0" w:color="auto"/>
        <w:right w:val="none" w:sz="0" w:space="0" w:color="auto"/>
      </w:divBdr>
    </w:div>
    <w:div w:id="1147430101">
      <w:bodyDiv w:val="1"/>
      <w:marLeft w:val="0"/>
      <w:marRight w:val="0"/>
      <w:marTop w:val="0"/>
      <w:marBottom w:val="0"/>
      <w:divBdr>
        <w:top w:val="none" w:sz="0" w:space="0" w:color="auto"/>
        <w:left w:val="none" w:sz="0" w:space="0" w:color="auto"/>
        <w:bottom w:val="none" w:sz="0" w:space="0" w:color="auto"/>
        <w:right w:val="none" w:sz="0" w:space="0" w:color="auto"/>
      </w:divBdr>
    </w:div>
    <w:div w:id="1162238331">
      <w:bodyDiv w:val="1"/>
      <w:marLeft w:val="0"/>
      <w:marRight w:val="0"/>
      <w:marTop w:val="0"/>
      <w:marBottom w:val="0"/>
      <w:divBdr>
        <w:top w:val="none" w:sz="0" w:space="0" w:color="auto"/>
        <w:left w:val="none" w:sz="0" w:space="0" w:color="auto"/>
        <w:bottom w:val="none" w:sz="0" w:space="0" w:color="auto"/>
        <w:right w:val="none" w:sz="0" w:space="0" w:color="auto"/>
      </w:divBdr>
    </w:div>
    <w:div w:id="1163668783">
      <w:bodyDiv w:val="1"/>
      <w:marLeft w:val="0"/>
      <w:marRight w:val="0"/>
      <w:marTop w:val="0"/>
      <w:marBottom w:val="0"/>
      <w:divBdr>
        <w:top w:val="none" w:sz="0" w:space="0" w:color="auto"/>
        <w:left w:val="none" w:sz="0" w:space="0" w:color="auto"/>
        <w:bottom w:val="none" w:sz="0" w:space="0" w:color="auto"/>
        <w:right w:val="none" w:sz="0" w:space="0" w:color="auto"/>
      </w:divBdr>
    </w:div>
    <w:div w:id="1206525153">
      <w:bodyDiv w:val="1"/>
      <w:marLeft w:val="0"/>
      <w:marRight w:val="0"/>
      <w:marTop w:val="0"/>
      <w:marBottom w:val="0"/>
      <w:divBdr>
        <w:top w:val="none" w:sz="0" w:space="0" w:color="auto"/>
        <w:left w:val="none" w:sz="0" w:space="0" w:color="auto"/>
        <w:bottom w:val="none" w:sz="0" w:space="0" w:color="auto"/>
        <w:right w:val="none" w:sz="0" w:space="0" w:color="auto"/>
      </w:divBdr>
    </w:div>
    <w:div w:id="1220045821">
      <w:bodyDiv w:val="1"/>
      <w:marLeft w:val="0"/>
      <w:marRight w:val="0"/>
      <w:marTop w:val="0"/>
      <w:marBottom w:val="0"/>
      <w:divBdr>
        <w:top w:val="none" w:sz="0" w:space="0" w:color="auto"/>
        <w:left w:val="none" w:sz="0" w:space="0" w:color="auto"/>
        <w:bottom w:val="none" w:sz="0" w:space="0" w:color="auto"/>
        <w:right w:val="none" w:sz="0" w:space="0" w:color="auto"/>
      </w:divBdr>
    </w:div>
    <w:div w:id="1223101745">
      <w:bodyDiv w:val="1"/>
      <w:marLeft w:val="0"/>
      <w:marRight w:val="0"/>
      <w:marTop w:val="0"/>
      <w:marBottom w:val="0"/>
      <w:divBdr>
        <w:top w:val="none" w:sz="0" w:space="0" w:color="auto"/>
        <w:left w:val="none" w:sz="0" w:space="0" w:color="auto"/>
        <w:bottom w:val="none" w:sz="0" w:space="0" w:color="auto"/>
        <w:right w:val="none" w:sz="0" w:space="0" w:color="auto"/>
      </w:divBdr>
    </w:div>
    <w:div w:id="1237713486">
      <w:bodyDiv w:val="1"/>
      <w:marLeft w:val="0"/>
      <w:marRight w:val="0"/>
      <w:marTop w:val="0"/>
      <w:marBottom w:val="0"/>
      <w:divBdr>
        <w:top w:val="none" w:sz="0" w:space="0" w:color="auto"/>
        <w:left w:val="none" w:sz="0" w:space="0" w:color="auto"/>
        <w:bottom w:val="none" w:sz="0" w:space="0" w:color="auto"/>
        <w:right w:val="none" w:sz="0" w:space="0" w:color="auto"/>
      </w:divBdr>
    </w:div>
    <w:div w:id="1266159384">
      <w:bodyDiv w:val="1"/>
      <w:marLeft w:val="0"/>
      <w:marRight w:val="0"/>
      <w:marTop w:val="0"/>
      <w:marBottom w:val="0"/>
      <w:divBdr>
        <w:top w:val="none" w:sz="0" w:space="0" w:color="auto"/>
        <w:left w:val="none" w:sz="0" w:space="0" w:color="auto"/>
        <w:bottom w:val="none" w:sz="0" w:space="0" w:color="auto"/>
        <w:right w:val="none" w:sz="0" w:space="0" w:color="auto"/>
      </w:divBdr>
    </w:div>
    <w:div w:id="1323850204">
      <w:bodyDiv w:val="1"/>
      <w:marLeft w:val="0"/>
      <w:marRight w:val="0"/>
      <w:marTop w:val="0"/>
      <w:marBottom w:val="0"/>
      <w:divBdr>
        <w:top w:val="none" w:sz="0" w:space="0" w:color="auto"/>
        <w:left w:val="none" w:sz="0" w:space="0" w:color="auto"/>
        <w:bottom w:val="none" w:sz="0" w:space="0" w:color="auto"/>
        <w:right w:val="none" w:sz="0" w:space="0" w:color="auto"/>
      </w:divBdr>
    </w:div>
    <w:div w:id="1357658802">
      <w:bodyDiv w:val="1"/>
      <w:marLeft w:val="0"/>
      <w:marRight w:val="0"/>
      <w:marTop w:val="0"/>
      <w:marBottom w:val="0"/>
      <w:divBdr>
        <w:top w:val="none" w:sz="0" w:space="0" w:color="auto"/>
        <w:left w:val="none" w:sz="0" w:space="0" w:color="auto"/>
        <w:bottom w:val="none" w:sz="0" w:space="0" w:color="auto"/>
        <w:right w:val="none" w:sz="0" w:space="0" w:color="auto"/>
      </w:divBdr>
    </w:div>
    <w:div w:id="1364288453">
      <w:bodyDiv w:val="1"/>
      <w:marLeft w:val="0"/>
      <w:marRight w:val="0"/>
      <w:marTop w:val="0"/>
      <w:marBottom w:val="0"/>
      <w:divBdr>
        <w:top w:val="none" w:sz="0" w:space="0" w:color="auto"/>
        <w:left w:val="none" w:sz="0" w:space="0" w:color="auto"/>
        <w:bottom w:val="none" w:sz="0" w:space="0" w:color="auto"/>
        <w:right w:val="none" w:sz="0" w:space="0" w:color="auto"/>
      </w:divBdr>
    </w:div>
    <w:div w:id="1374158943">
      <w:bodyDiv w:val="1"/>
      <w:marLeft w:val="0"/>
      <w:marRight w:val="0"/>
      <w:marTop w:val="0"/>
      <w:marBottom w:val="0"/>
      <w:divBdr>
        <w:top w:val="none" w:sz="0" w:space="0" w:color="auto"/>
        <w:left w:val="none" w:sz="0" w:space="0" w:color="auto"/>
        <w:bottom w:val="none" w:sz="0" w:space="0" w:color="auto"/>
        <w:right w:val="none" w:sz="0" w:space="0" w:color="auto"/>
      </w:divBdr>
    </w:div>
    <w:div w:id="1401057765">
      <w:bodyDiv w:val="1"/>
      <w:marLeft w:val="0"/>
      <w:marRight w:val="0"/>
      <w:marTop w:val="0"/>
      <w:marBottom w:val="0"/>
      <w:divBdr>
        <w:top w:val="none" w:sz="0" w:space="0" w:color="auto"/>
        <w:left w:val="none" w:sz="0" w:space="0" w:color="auto"/>
        <w:bottom w:val="none" w:sz="0" w:space="0" w:color="auto"/>
        <w:right w:val="none" w:sz="0" w:space="0" w:color="auto"/>
      </w:divBdr>
    </w:div>
    <w:div w:id="1413888790">
      <w:bodyDiv w:val="1"/>
      <w:marLeft w:val="0"/>
      <w:marRight w:val="0"/>
      <w:marTop w:val="0"/>
      <w:marBottom w:val="0"/>
      <w:divBdr>
        <w:top w:val="none" w:sz="0" w:space="0" w:color="auto"/>
        <w:left w:val="none" w:sz="0" w:space="0" w:color="auto"/>
        <w:bottom w:val="none" w:sz="0" w:space="0" w:color="auto"/>
        <w:right w:val="none" w:sz="0" w:space="0" w:color="auto"/>
      </w:divBdr>
    </w:div>
    <w:div w:id="1442261045">
      <w:bodyDiv w:val="1"/>
      <w:marLeft w:val="0"/>
      <w:marRight w:val="0"/>
      <w:marTop w:val="0"/>
      <w:marBottom w:val="0"/>
      <w:divBdr>
        <w:top w:val="none" w:sz="0" w:space="0" w:color="auto"/>
        <w:left w:val="none" w:sz="0" w:space="0" w:color="auto"/>
        <w:bottom w:val="none" w:sz="0" w:space="0" w:color="auto"/>
        <w:right w:val="none" w:sz="0" w:space="0" w:color="auto"/>
      </w:divBdr>
    </w:div>
    <w:div w:id="1453665740">
      <w:bodyDiv w:val="1"/>
      <w:marLeft w:val="0"/>
      <w:marRight w:val="0"/>
      <w:marTop w:val="0"/>
      <w:marBottom w:val="0"/>
      <w:divBdr>
        <w:top w:val="none" w:sz="0" w:space="0" w:color="auto"/>
        <w:left w:val="none" w:sz="0" w:space="0" w:color="auto"/>
        <w:bottom w:val="none" w:sz="0" w:space="0" w:color="auto"/>
        <w:right w:val="none" w:sz="0" w:space="0" w:color="auto"/>
      </w:divBdr>
    </w:div>
    <w:div w:id="1483161572">
      <w:bodyDiv w:val="1"/>
      <w:marLeft w:val="0"/>
      <w:marRight w:val="0"/>
      <w:marTop w:val="0"/>
      <w:marBottom w:val="0"/>
      <w:divBdr>
        <w:top w:val="none" w:sz="0" w:space="0" w:color="auto"/>
        <w:left w:val="none" w:sz="0" w:space="0" w:color="auto"/>
        <w:bottom w:val="none" w:sz="0" w:space="0" w:color="auto"/>
        <w:right w:val="none" w:sz="0" w:space="0" w:color="auto"/>
      </w:divBdr>
    </w:div>
    <w:div w:id="1528835779">
      <w:bodyDiv w:val="1"/>
      <w:marLeft w:val="0"/>
      <w:marRight w:val="0"/>
      <w:marTop w:val="0"/>
      <w:marBottom w:val="0"/>
      <w:divBdr>
        <w:top w:val="none" w:sz="0" w:space="0" w:color="auto"/>
        <w:left w:val="none" w:sz="0" w:space="0" w:color="auto"/>
        <w:bottom w:val="none" w:sz="0" w:space="0" w:color="auto"/>
        <w:right w:val="none" w:sz="0" w:space="0" w:color="auto"/>
      </w:divBdr>
    </w:div>
    <w:div w:id="1533810392">
      <w:bodyDiv w:val="1"/>
      <w:marLeft w:val="0"/>
      <w:marRight w:val="0"/>
      <w:marTop w:val="0"/>
      <w:marBottom w:val="0"/>
      <w:divBdr>
        <w:top w:val="none" w:sz="0" w:space="0" w:color="auto"/>
        <w:left w:val="none" w:sz="0" w:space="0" w:color="auto"/>
        <w:bottom w:val="none" w:sz="0" w:space="0" w:color="auto"/>
        <w:right w:val="none" w:sz="0" w:space="0" w:color="auto"/>
      </w:divBdr>
    </w:div>
    <w:div w:id="1544294955">
      <w:bodyDiv w:val="1"/>
      <w:marLeft w:val="0"/>
      <w:marRight w:val="0"/>
      <w:marTop w:val="0"/>
      <w:marBottom w:val="0"/>
      <w:divBdr>
        <w:top w:val="none" w:sz="0" w:space="0" w:color="auto"/>
        <w:left w:val="none" w:sz="0" w:space="0" w:color="auto"/>
        <w:bottom w:val="none" w:sz="0" w:space="0" w:color="auto"/>
        <w:right w:val="none" w:sz="0" w:space="0" w:color="auto"/>
      </w:divBdr>
    </w:div>
    <w:div w:id="1565411515">
      <w:bodyDiv w:val="1"/>
      <w:marLeft w:val="0"/>
      <w:marRight w:val="0"/>
      <w:marTop w:val="0"/>
      <w:marBottom w:val="0"/>
      <w:divBdr>
        <w:top w:val="none" w:sz="0" w:space="0" w:color="auto"/>
        <w:left w:val="none" w:sz="0" w:space="0" w:color="auto"/>
        <w:bottom w:val="none" w:sz="0" w:space="0" w:color="auto"/>
        <w:right w:val="none" w:sz="0" w:space="0" w:color="auto"/>
      </w:divBdr>
    </w:div>
    <w:div w:id="1616256612">
      <w:bodyDiv w:val="1"/>
      <w:marLeft w:val="0"/>
      <w:marRight w:val="0"/>
      <w:marTop w:val="0"/>
      <w:marBottom w:val="0"/>
      <w:divBdr>
        <w:top w:val="none" w:sz="0" w:space="0" w:color="auto"/>
        <w:left w:val="none" w:sz="0" w:space="0" w:color="auto"/>
        <w:bottom w:val="none" w:sz="0" w:space="0" w:color="auto"/>
        <w:right w:val="none" w:sz="0" w:space="0" w:color="auto"/>
      </w:divBdr>
    </w:div>
    <w:div w:id="1627736857">
      <w:bodyDiv w:val="1"/>
      <w:marLeft w:val="0"/>
      <w:marRight w:val="0"/>
      <w:marTop w:val="0"/>
      <w:marBottom w:val="0"/>
      <w:divBdr>
        <w:top w:val="none" w:sz="0" w:space="0" w:color="auto"/>
        <w:left w:val="none" w:sz="0" w:space="0" w:color="auto"/>
        <w:bottom w:val="none" w:sz="0" w:space="0" w:color="auto"/>
        <w:right w:val="none" w:sz="0" w:space="0" w:color="auto"/>
      </w:divBdr>
    </w:div>
    <w:div w:id="1674448933">
      <w:bodyDiv w:val="1"/>
      <w:marLeft w:val="0"/>
      <w:marRight w:val="0"/>
      <w:marTop w:val="0"/>
      <w:marBottom w:val="0"/>
      <w:divBdr>
        <w:top w:val="none" w:sz="0" w:space="0" w:color="auto"/>
        <w:left w:val="none" w:sz="0" w:space="0" w:color="auto"/>
        <w:bottom w:val="none" w:sz="0" w:space="0" w:color="auto"/>
        <w:right w:val="none" w:sz="0" w:space="0" w:color="auto"/>
      </w:divBdr>
    </w:div>
    <w:div w:id="1688867624">
      <w:bodyDiv w:val="1"/>
      <w:marLeft w:val="0"/>
      <w:marRight w:val="0"/>
      <w:marTop w:val="0"/>
      <w:marBottom w:val="0"/>
      <w:divBdr>
        <w:top w:val="none" w:sz="0" w:space="0" w:color="auto"/>
        <w:left w:val="none" w:sz="0" w:space="0" w:color="auto"/>
        <w:bottom w:val="none" w:sz="0" w:space="0" w:color="auto"/>
        <w:right w:val="none" w:sz="0" w:space="0" w:color="auto"/>
      </w:divBdr>
    </w:div>
    <w:div w:id="1720322272">
      <w:bodyDiv w:val="1"/>
      <w:marLeft w:val="0"/>
      <w:marRight w:val="0"/>
      <w:marTop w:val="0"/>
      <w:marBottom w:val="0"/>
      <w:divBdr>
        <w:top w:val="none" w:sz="0" w:space="0" w:color="auto"/>
        <w:left w:val="none" w:sz="0" w:space="0" w:color="auto"/>
        <w:bottom w:val="none" w:sz="0" w:space="0" w:color="auto"/>
        <w:right w:val="none" w:sz="0" w:space="0" w:color="auto"/>
      </w:divBdr>
    </w:div>
    <w:div w:id="1743526954">
      <w:bodyDiv w:val="1"/>
      <w:marLeft w:val="0"/>
      <w:marRight w:val="0"/>
      <w:marTop w:val="0"/>
      <w:marBottom w:val="0"/>
      <w:divBdr>
        <w:top w:val="none" w:sz="0" w:space="0" w:color="auto"/>
        <w:left w:val="none" w:sz="0" w:space="0" w:color="auto"/>
        <w:bottom w:val="none" w:sz="0" w:space="0" w:color="auto"/>
        <w:right w:val="none" w:sz="0" w:space="0" w:color="auto"/>
      </w:divBdr>
    </w:div>
    <w:div w:id="1748767301">
      <w:bodyDiv w:val="1"/>
      <w:marLeft w:val="0"/>
      <w:marRight w:val="0"/>
      <w:marTop w:val="0"/>
      <w:marBottom w:val="0"/>
      <w:divBdr>
        <w:top w:val="none" w:sz="0" w:space="0" w:color="auto"/>
        <w:left w:val="none" w:sz="0" w:space="0" w:color="auto"/>
        <w:bottom w:val="none" w:sz="0" w:space="0" w:color="auto"/>
        <w:right w:val="none" w:sz="0" w:space="0" w:color="auto"/>
      </w:divBdr>
    </w:div>
    <w:div w:id="1786120325">
      <w:bodyDiv w:val="1"/>
      <w:marLeft w:val="0"/>
      <w:marRight w:val="0"/>
      <w:marTop w:val="0"/>
      <w:marBottom w:val="0"/>
      <w:divBdr>
        <w:top w:val="none" w:sz="0" w:space="0" w:color="auto"/>
        <w:left w:val="none" w:sz="0" w:space="0" w:color="auto"/>
        <w:bottom w:val="none" w:sz="0" w:space="0" w:color="auto"/>
        <w:right w:val="none" w:sz="0" w:space="0" w:color="auto"/>
      </w:divBdr>
    </w:div>
    <w:div w:id="1786120526">
      <w:bodyDiv w:val="1"/>
      <w:marLeft w:val="0"/>
      <w:marRight w:val="0"/>
      <w:marTop w:val="0"/>
      <w:marBottom w:val="0"/>
      <w:divBdr>
        <w:top w:val="none" w:sz="0" w:space="0" w:color="auto"/>
        <w:left w:val="none" w:sz="0" w:space="0" w:color="auto"/>
        <w:bottom w:val="none" w:sz="0" w:space="0" w:color="auto"/>
        <w:right w:val="none" w:sz="0" w:space="0" w:color="auto"/>
      </w:divBdr>
    </w:div>
    <w:div w:id="1786315191">
      <w:bodyDiv w:val="1"/>
      <w:marLeft w:val="0"/>
      <w:marRight w:val="0"/>
      <w:marTop w:val="0"/>
      <w:marBottom w:val="0"/>
      <w:divBdr>
        <w:top w:val="none" w:sz="0" w:space="0" w:color="auto"/>
        <w:left w:val="none" w:sz="0" w:space="0" w:color="auto"/>
        <w:bottom w:val="none" w:sz="0" w:space="0" w:color="auto"/>
        <w:right w:val="none" w:sz="0" w:space="0" w:color="auto"/>
      </w:divBdr>
    </w:div>
    <w:div w:id="1793985847">
      <w:bodyDiv w:val="1"/>
      <w:marLeft w:val="0"/>
      <w:marRight w:val="0"/>
      <w:marTop w:val="0"/>
      <w:marBottom w:val="0"/>
      <w:divBdr>
        <w:top w:val="none" w:sz="0" w:space="0" w:color="auto"/>
        <w:left w:val="none" w:sz="0" w:space="0" w:color="auto"/>
        <w:bottom w:val="none" w:sz="0" w:space="0" w:color="auto"/>
        <w:right w:val="none" w:sz="0" w:space="0" w:color="auto"/>
      </w:divBdr>
    </w:div>
    <w:div w:id="1828864112">
      <w:bodyDiv w:val="1"/>
      <w:marLeft w:val="0"/>
      <w:marRight w:val="0"/>
      <w:marTop w:val="0"/>
      <w:marBottom w:val="0"/>
      <w:divBdr>
        <w:top w:val="none" w:sz="0" w:space="0" w:color="auto"/>
        <w:left w:val="none" w:sz="0" w:space="0" w:color="auto"/>
        <w:bottom w:val="none" w:sz="0" w:space="0" w:color="auto"/>
        <w:right w:val="none" w:sz="0" w:space="0" w:color="auto"/>
      </w:divBdr>
    </w:div>
    <w:div w:id="1837918112">
      <w:bodyDiv w:val="1"/>
      <w:marLeft w:val="0"/>
      <w:marRight w:val="0"/>
      <w:marTop w:val="0"/>
      <w:marBottom w:val="0"/>
      <w:divBdr>
        <w:top w:val="none" w:sz="0" w:space="0" w:color="auto"/>
        <w:left w:val="none" w:sz="0" w:space="0" w:color="auto"/>
        <w:bottom w:val="none" w:sz="0" w:space="0" w:color="auto"/>
        <w:right w:val="none" w:sz="0" w:space="0" w:color="auto"/>
      </w:divBdr>
    </w:div>
    <w:div w:id="1898007799">
      <w:bodyDiv w:val="1"/>
      <w:marLeft w:val="0"/>
      <w:marRight w:val="0"/>
      <w:marTop w:val="0"/>
      <w:marBottom w:val="0"/>
      <w:divBdr>
        <w:top w:val="none" w:sz="0" w:space="0" w:color="auto"/>
        <w:left w:val="none" w:sz="0" w:space="0" w:color="auto"/>
        <w:bottom w:val="none" w:sz="0" w:space="0" w:color="auto"/>
        <w:right w:val="none" w:sz="0" w:space="0" w:color="auto"/>
      </w:divBdr>
    </w:div>
    <w:div w:id="1935356760">
      <w:bodyDiv w:val="1"/>
      <w:marLeft w:val="0"/>
      <w:marRight w:val="0"/>
      <w:marTop w:val="0"/>
      <w:marBottom w:val="0"/>
      <w:divBdr>
        <w:top w:val="none" w:sz="0" w:space="0" w:color="auto"/>
        <w:left w:val="none" w:sz="0" w:space="0" w:color="auto"/>
        <w:bottom w:val="none" w:sz="0" w:space="0" w:color="auto"/>
        <w:right w:val="none" w:sz="0" w:space="0" w:color="auto"/>
      </w:divBdr>
    </w:div>
    <w:div w:id="1936088555">
      <w:bodyDiv w:val="1"/>
      <w:marLeft w:val="0"/>
      <w:marRight w:val="0"/>
      <w:marTop w:val="0"/>
      <w:marBottom w:val="0"/>
      <w:divBdr>
        <w:top w:val="none" w:sz="0" w:space="0" w:color="auto"/>
        <w:left w:val="none" w:sz="0" w:space="0" w:color="auto"/>
        <w:bottom w:val="none" w:sz="0" w:space="0" w:color="auto"/>
        <w:right w:val="none" w:sz="0" w:space="0" w:color="auto"/>
      </w:divBdr>
    </w:div>
    <w:div w:id="2063288143">
      <w:bodyDiv w:val="1"/>
      <w:marLeft w:val="0"/>
      <w:marRight w:val="0"/>
      <w:marTop w:val="0"/>
      <w:marBottom w:val="0"/>
      <w:divBdr>
        <w:top w:val="none" w:sz="0" w:space="0" w:color="auto"/>
        <w:left w:val="none" w:sz="0" w:space="0" w:color="auto"/>
        <w:bottom w:val="none" w:sz="0" w:space="0" w:color="auto"/>
        <w:right w:val="none" w:sz="0" w:space="0" w:color="auto"/>
      </w:divBdr>
    </w:div>
    <w:div w:id="2092385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NAT18</b:Tag>
    <b:SourceType>Report</b:SourceType>
    <b:Guid>{A52E1971-D059-4842-9502-492AA47556EA}</b:Guid>
    <b:Author>
      <b:Author>
        <b:Corporate>NATO</b:Corporate>
      </b:Author>
    </b:Author>
    <b:Title>STANAG 4439: Policy for Introduction &amp; Assessment of Insensitive Munitions (IM)</b:Title>
    <b:Year>2018</b:Year>
    <b:URL>https://standards.globalspec.com/std/13107202/STANAG%204439</b:URL>
    <b:RefOrder>3</b:RefOrder>
  </b:Source>
  <b:Source>
    <b:Tag>MOD15</b:Tag>
    <b:SourceType>Report</b:SourceType>
    <b:Guid>{AEF8D504-D64C-4E39-B2B4-42EF0A871DF1}</b:Guid>
    <b:Author>
      <b:Author>
        <b:Corporate>MOD</b:Corporate>
      </b:Author>
    </b:Author>
    <b:Title>JSP 520: Safety and Environmental Management of Ordnance, Munitions and Explosives over the Equipment Acquisition Cycle. Part 1: Directive</b:Title>
    <b:Year>2015</b:Year>
    <b:URL>https://assets.publishing.service.gov.uk/government/uploads/system/uploads/attachment_data/file/481260/20150613-JSP520_Pt1_Directive_Issue4.2.pdf</b:URL>
    <b:RefOrder>1</b:RefOrder>
  </b:Source>
  <b:Source>
    <b:Tag>MOD151</b:Tag>
    <b:SourceType>Report</b:SourceType>
    <b:Guid>{49C21110-31CC-416D-B219-EFFE1FF1659D}</b:Guid>
    <b:Author>
      <b:Author>
        <b:Corporate>MOD</b:Corporate>
      </b:Author>
    </b:Author>
    <b:Title>JSP 520: Safety and Environmental Management of Ordnance, Munitions and Explosives over the Equipment Acquisition Cycle. Part 2: Guidance, Vol 11: Insensitive Munitions</b:Title>
    <b:Year>2015</b:Year>
    <b:URL>https://assets.publishing.service.gov.uk/government/uploads/system/uploads/attachment_data/file/481368/20150813-JSP520_Pt2_Vol11_IM_Issue4.2_Final-U.pdf</b:URL>
    <b:RefOrder>2</b:RefOrder>
  </b:Source>
  <b:Source>
    <b:Tag>Uni19</b:Tag>
    <b:SourceType>Report</b:SourceType>
    <b:Guid>{63EADE73-306A-4C1B-B1CB-2E14462E7E74}</b:Guid>
    <b:Author>
      <b:Author>
        <b:Corporate>United Nations</b:Corporate>
      </b:Author>
    </b:Author>
    <b:Title>Manual of Tests and Criteria: Seventh Revised Edition</b:Title>
    <b:Year>2019</b:Year>
    <b:URL>https://unece.org/fileadmin/DAM/trans/danger/publi/manual/Rev7/Manual_Rev7_E.pdf</b:URL>
    <b:RefOrder>5</b:RefOrder>
  </b:Source>
  <b:Source>
    <b:Tag>HSE23</b:Tag>
    <b:SourceType>InternetSite</b:SourceType>
    <b:Guid>{A28CD047-51CE-4D20-A00B-DFAF02AA3294}</b:Guid>
    <b:Author>
      <b:Author>
        <b:Corporate>HSE</b:Corporate>
      </b:Author>
    </b:Author>
    <b:Title>Explosives Testing: EMTAP</b:Title>
    <b:Year>2023</b:Year>
    <b:YearAccessed>2023</b:YearAccessed>
    <b:MonthAccessed>07</b:MonthAccessed>
    <b:URL>https://www.hsl.gov.uk/product-and-process-validation-testing/explosives-testing</b:URL>
    <b:RefOrder>4</b:RefOrder>
  </b:Source>
  <b:Source>
    <b:Tag>MOD72</b:Tag>
    <b:SourceType>Report</b:SourceType>
    <b:Guid>{C533B65B-0500-4157-8C82-3F5BBF6B698E}</b:Guid>
    <b:Title>JSP 333: Services Textbook of Explosives</b:Title>
    <b:Year>1972</b:Year>
    <b:Author>
      <b:Author>
        <b:Corporate>MOD</b:Corporate>
      </b:Author>
    </b:Author>
    <b:RefOrder>6</b:RefOrder>
  </b:Source>
  <b:Source>
    <b:Tag>MOD14</b:Tag>
    <b:SourceType>BookSection</b:SourceType>
    <b:Guid>{C33C1322-1A09-4A1F-A7EE-C02D0870B160}</b:Guid>
    <b:Author>
      <b:Author>
        <b:Corporate>MOD</b:Corporate>
      </b:Author>
    </b:Author>
    <b:Title>Chapter 9: Policy and Procedures for Munitions Disposal</b:Title>
    <b:Year>2014</b:Year>
    <b:BookTitle>JSP 762</b:BookTitle>
    <b:URL>https://assets.publishing.service.gov.uk/government/uploads/system/uploads/attachment_data/file/491739/20150427_FOI_03698_JSP762_Ch9_Annex-O.pdf</b:URL>
    <b:RefOrder>7</b:RefOrder>
  </b:Source>
  <b:Source>
    <b:Tag>Def20</b:Tag>
    <b:SourceType>Report</b:SourceType>
    <b:Guid>{20BA58E4-1942-45FB-B312-06BA683A19EA}</b:Guid>
    <b:Title>DSA 02: Defence Ordnance Munitions and Explosvies (OME) Regulations V1.1</b:Title>
    <b:Year>2020</b:Year>
    <b:Author>
      <b:Author>
        <b:Corporate>Defence Safety Authority</b:Corporate>
      </b:Author>
    </b:Author>
    <b:URL>https://assets.publishing.service.gov.uk/government/uploads/system/uploads/attachment_data/file/893419/DSA_02_OME_v1_1__Jun_20_.pdf</b:URL>
    <b:RefOrder>8</b:RefOrder>
  </b:Source>
  <b:Source>
    <b:Tag>UKG02</b:Tag>
    <b:SourceType>InternetSite</b:SourceType>
    <b:Guid>{F70A33DD-C3BF-4CFF-BC08-74E69AD312D0}</b:Guid>
    <b:Title>The Control of Substances Hazardous to Health 2002</b:Title>
    <b:Year>2002</b:Year>
    <b:Author>
      <b:Author>
        <b:Corporate>UK Government</b:Corporate>
      </b:Author>
    </b:Author>
    <b:URL>https://www.legislation.gov.uk/uksi/2002/2677/regulation/7/made</b:URL>
    <b:RefOrder>9</b:RefOrder>
  </b:Source>
  <b:Source>
    <b:Tag>UKG</b:Tag>
    <b:SourceType>InternetSite</b:SourceType>
    <b:Guid>{6A4D9CAB-4B62-4B0E-BCB1-3A5C4DDCE042}</b:Guid>
    <b:Author>
      <b:Author>
        <b:Corporate>UK Government</b:Corporate>
      </b:Author>
    </b:Author>
    <b:Title>The Control of Major Accidents Hazards Regulations 2015</b:Title>
    <b:URL>https://www.legislation.gov.uk/uksi/2015/483/contents/made</b:URL>
    <b:RefOrder>10</b:RefOrder>
  </b:Source>
  <b:Source>
    <b:Tag>UKG98</b:Tag>
    <b:SourceType>InternetSite</b:SourceType>
    <b:Guid>{6EFA7D9A-888A-4117-AFA6-A7EAB873F078}</b:Guid>
    <b:Author>
      <b:Author>
        <b:Corporate>UK Government</b:Corporate>
      </b:Author>
    </b:Author>
    <b:Title>The Lifting Operations and Lifting Equipment Regulations 1998</b:Title>
    <b:Year>1998</b:Year>
    <b:URL>https://www.legislation.gov.uk/uksi/1998/2307/contents/made</b:URL>
    <b:RefOrder>11</b:RefOrder>
  </b:Source>
  <b:Source>
    <b:Tag>HSE14</b:Tag>
    <b:SourceType>InternetSite</b:SourceType>
    <b:Guid>{5EE5CA3A-9FCC-4C16-AC69-1CE58AA8EC0D}</b:Guid>
    <b:Author>
      <b:Author>
        <b:Corporate>HSE</b:Corporate>
      </b:Author>
    </b:Author>
    <b:Title>Safe Use of Lifting Equipment</b:Title>
    <b:ProductionCompany>InsepctNet</b:ProductionCompany>
    <b:Year>2014</b:Year>
    <b:URL>https://www.inspectnet.co.uk/Safe%20Use%20of%20Lifting%20Equipment.pdf</b:URL>
    <b:RefOrder>12</b:RefOrder>
  </b:Source>
  <b:Source>
    <b:Tag>UKG1</b:Tag>
    <b:SourceType>InternetSite</b:SourceType>
    <b:Guid>{1AE800FE-0CCE-4ECE-9ABE-91852E14A3DA}</b:Guid>
    <b:Author>
      <b:Author>
        <b:Corporate>UK Government</b:Corporate>
      </b:Author>
    </b:Author>
    <b:Title>The Reporting of Injuries, Diseases and Dangerous Occurences Regulations 2013</b:Title>
    <b:URL>https://www.legislation.gov.uk/uksi/2013/1471/contents/made</b:URL>
    <b:RefOrder>13</b:RefOrder>
  </b:Source>
  <b:Source>
    <b:Tag>Isl98</b:Tag>
    <b:SourceType>JournalArticle</b:SourceType>
    <b:Guid>{CFDE1E0D-9539-4644-8AD0-892AC16DECFB}</b:Guid>
    <b:Title>The Transition to Insensitive Munitions</b:Title>
    <b:Year>1998</b:Year>
    <b:Author>
      <b:Author>
        <b:NameList>
          <b:Person>
            <b:Last>Isler</b:Last>
            <b:First>Jean</b:First>
          </b:Person>
          <b:Person>
            <b:Last>SNPE</b:Last>
          </b:Person>
        </b:NameList>
      </b:Author>
    </b:Author>
    <b:JournalName>Propellants, Explosives, Pyrotechnics</b:JournalName>
    <b:Pages>283-291</b:Pages>
    <b:Volume>23</b:Volume>
    <b:RefOrder>15</b:RefOrder>
  </b:Source>
  <b:Source>
    <b:Tag>BAE23</b:Tag>
    <b:SourceType>InternetSite</b:SourceType>
    <b:Guid>{9E097FCA-A297-4C8C-B38B-32C663DFD47F}</b:Guid>
    <b:Title>Making Explosives Safer: The Path to IMX 101</b:Title>
    <b:Year>2023</b:Year>
    <b:Author>
      <b:Author>
        <b:Corporate>BAE</b:Corporate>
      </b:Author>
    </b:Author>
    <b:YearAccessed>2023</b:YearAccessed>
    <b:MonthAccessed>07</b:MonthAccessed>
    <b:URL>https://www.baesystems.com/en-uk/feature/making-explosives-safer</b:URL>
    <b:RefOrder>16</b:RefOrder>
  </b:Source>
  <b:Source>
    <b:Tag>Par99</b:Tag>
    <b:SourceType>Report</b:SourceType>
    <b:Guid>{20D93DE6-757F-459F-9FD8-9D8EF2AF9771}</b:Guid>
    <b:Title>Cost-Benefit Analysis Concepts for Insensitive Munitions Policy Implementation</b:Title>
    <b:Year>1999</b:Year>
    <b:Publisher>DSTO</b:Publisher>
    <b:City>Melbourne</b:City>
    <b:Author>
      <b:Author>
        <b:NameList>
          <b:Person>
            <b:Last>Parker</b:Last>
            <b:Middle>P</b:Middle>
            <b:First>R</b:First>
          </b:Person>
          <b:Person>
            <b:Last>White</b:Last>
            <b:First>A</b:First>
          </b:Person>
        </b:NameList>
      </b:Author>
    </b:Author>
    <b:RefOrder>17</b:RefOrder>
  </b:Source>
  <b:Source>
    <b:Tag>Pow16</b:Tag>
    <b:SourceType>JournalArticle</b:SourceType>
    <b:Guid>{56A12485-AAC2-4B1E-8AB4-8B10391A6181}</b:Guid>
    <b:Title>Insensitive Munitions - Design Principles and Technlology Developments</b:Title>
    <b:Year>2016</b:Year>
    <b:JournalName>Propellants, Explosives, Pyrotechnics</b:JournalName>
    <b:Pages>409-413</b:Pages>
    <b:Volume>41</b:Volume>
    <b:Author>
      <b:Author>
        <b:NameList>
          <b:Person>
            <b:Last>Powell</b:Last>
            <b:Middle>J</b:Middle>
            <b:First>Ian</b:First>
          </b:Person>
        </b:NameList>
      </b:Author>
    </b:Author>
    <b:RefOrder>14</b:RefOrder>
  </b:Source>
  <b:Source>
    <b:Tag>Pre10</b:Tag>
    <b:SourceType>Report</b:SourceType>
    <b:Guid>{02AC0053-0285-4BE3-BA2B-F0546D82CDB7}</b:Guid>
    <b:Title>Pune Based DRDO Lab Makes Most Powerful Coneventional Explosive</b:Title>
    <b:Year>2010</b:Year>
    <b:Author>
      <b:Author>
        <b:Corporate>Press Information Bureau of India: Ministry of Defence</b:Corporate>
      </b:Author>
    </b:Author>
    <b:URL>https://pib.gov.in/newsite/PrintRelease.aspx?relid=67872#:~:text=6%2C000%20per%20kg%20while%20a,70%2C000%20per%20kg.</b:URL>
    <b:RefOrder>18</b:RefOrder>
  </b:Source>
  <b:Source>
    <b:Tag>Mie</b:Tag>
    <b:SourceType>ConferenceProceedings</b:SourceType>
    <b:Guid>{DB00D897-2D5A-4469-9F09-40DE6A73E7AD}</b:Guid>
    <b:Title>Optimized Mitigation Barriers for Insensitive Munitions Compliance of a 120mm Warhead</b:Title>
    <b:Author>
      <b:Author>
        <b:NameList>
          <b:Person>
            <b:Last>Miers</b:Last>
            <b:Middle>T</b:Middle>
            <b:First>Kevin</b:First>
          </b:Person>
          <b:Person>
            <b:Last>Prillaman</b:Last>
            <b:Middle>L</b:Middle>
            <b:First>Daniel</b:First>
          </b:Person>
          <b:Person>
            <b:Last>Al-Shehab</b:Last>
            <b:Middle>M</b:Middle>
            <b:First>Nausheen</b:First>
          </b:Person>
        </b:NameList>
      </b:Author>
    </b:Author>
    <b:ConferenceName>Proceedings of the 2019 Hypervelocity Impact Symposium (HVIS 2019)</b:ConferenceName>
    <b:URL>https://watermark.silverchair.com/v001t07a014-hvis2019-105.pdf?token=AQECAHi208BE49Ooan9kkhW_Ercy7Dm3ZL_9Cf3qfKAc485ysgAABJQwggSQBgkqhkiG9w0BBwagggSBMIIEfQIBADCCBHYGCSqGSIb3DQEHATAeBglghkgBZQMEAS4wEQQMdzxuNXTD64IfTTvcAgEQgIIERwwqcgi2zK6f1xnYgjzeoDAIS43Laf</b:URL>
    <b:RefOrder>19</b:RefOrder>
  </b:Source>
  <b:Source>
    <b:Tag>Ins19</b:Tag>
    <b:SourceType>Patent</b:SourceType>
    <b:Guid>{DCE89DFB-922F-4A22-97C9-6D0144EC8D2B}</b:Guid>
    <b:Title>Insensitive Munitions Liner</b:Title>
    <b:Year>2019</b:Year>
    <b:CountryRegion>United States</b:CountryRegion>
    <b:PatentNumber>US 10,184,764 B1</b:PatentNumber>
    <b:URL>https://insight.rpxcorp.com/patent/US10184764B1</b:URL>
    <b:RefOrder>20</b:RefOrder>
  </b:Source>
</b:Sources>
</file>

<file path=customXml/itemProps1.xml><?xml version="1.0" encoding="utf-8"?>
<ds:datastoreItem xmlns:ds="http://schemas.openxmlformats.org/officeDocument/2006/customXml" ds:itemID="{A70EDDB5-1A88-44D1-B1A1-EAAA428DC4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1669</TotalTime>
  <Pages>9</Pages>
  <Words>3450</Words>
  <Characters>19671</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23075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dc:creator>
  <cp:keywords/>
  <dc:description/>
  <cp:lastModifiedBy>Will</cp:lastModifiedBy>
  <cp:revision>18</cp:revision>
  <dcterms:created xsi:type="dcterms:W3CDTF">2023-06-23T14:11:00Z</dcterms:created>
  <dcterms:modified xsi:type="dcterms:W3CDTF">2023-07-20T15:25:00Z</dcterms:modified>
</cp:coreProperties>
</file>