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4528252"/>
        <w:docPartObj>
          <w:docPartGallery w:val="Cover Pages"/>
          <w:docPartUnique/>
        </w:docPartObj>
      </w:sdtPr>
      <w:sdtContent>
        <w:p w14:paraId="68401D47" w14:textId="2E7BCD3C" w:rsidR="00CD1B0D" w:rsidRPr="00032B0C" w:rsidRDefault="00CD1B0D" w:rsidP="00032B0C">
          <w:pPr>
            <w:pStyle w:val="Heading1"/>
          </w:pPr>
          <w:r w:rsidRPr="00032B0C">
            <w:rPr>
              <w:noProof/>
            </w:rPr>
            <mc:AlternateContent>
              <mc:Choice Requires="wpg">
                <w:drawing>
                  <wp:anchor distT="0" distB="0" distL="114300" distR="114300" simplePos="0" relativeHeight="251659264" behindDoc="1" locked="0" layoutInCell="1" allowOverlap="1" wp14:anchorId="7EB02A4B" wp14:editId="475388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2B1F78A" w14:textId="5896CD5A" w:rsidR="00CD1B0D" w:rsidRDefault="00CD1B0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B02A4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2B1F78A" w14:textId="5896CD5A" w:rsidR="00CD1B0D" w:rsidRDefault="00CD1B0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032B0C">
            <w:rPr>
              <w:noProof/>
            </w:rPr>
            <mc:AlternateContent>
              <mc:Choice Requires="wps">
                <w:drawing>
                  <wp:anchor distT="0" distB="0" distL="114300" distR="114300" simplePos="0" relativeHeight="251661312" behindDoc="0" locked="0" layoutInCell="1" allowOverlap="1" wp14:anchorId="6ABA402C" wp14:editId="063CCD0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2F7C0" w14:textId="491A3897" w:rsidR="00CD1B0D" w:rsidRPr="00CD1B0D" w:rsidRDefault="00000000">
                                <w:pPr>
                                  <w:pStyle w:val="NoSpacing"/>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D1B0D" w:rsidRPr="00CD1B0D">
                                      <w:rPr>
                                        <w:rFonts w:ascii="Times New Roman" w:hAnsi="Times New Roman" w:cs="Times New Roman"/>
                                        <w:color w:val="000000" w:themeColor="text1"/>
                                        <w:sz w:val="24"/>
                                        <w:szCs w:val="24"/>
                                      </w:rPr>
                                      <w:t>Irina Popescu-Serban (1908279)</w:t>
                                    </w:r>
                                  </w:sdtContent>
                                </w:sdt>
                              </w:p>
                              <w:p w14:paraId="1AF747C9" w14:textId="4EAAC5CE" w:rsidR="00CD1B0D" w:rsidRPr="00CD1B0D" w:rsidRDefault="00000000">
                                <w:pPr>
                                  <w:pStyle w:val="NoSpacing"/>
                                  <w:rPr>
                                    <w:rFonts w:ascii="Times New Roman" w:hAnsi="Times New Roman" w:cs="Times New Roman"/>
                                    <w:color w:val="000000" w:themeColor="text1"/>
                                    <w:sz w:val="24"/>
                                    <w:szCs w:val="24"/>
                                  </w:rPr>
                                </w:pPr>
                                <w:sdt>
                                  <w:sdtPr>
                                    <w:rPr>
                                      <w:rFonts w:ascii="Times New Roman" w:hAnsi="Times New Roman" w:cs="Times New Roman"/>
                                      <w:caps/>
                                      <w:color w:val="000000" w:themeColor="text1"/>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CD1B0D" w:rsidRPr="00CD1B0D">
                                      <w:rPr>
                                        <w:rFonts w:ascii="Times New Roman" w:hAnsi="Times New Roman" w:cs="Times New Roman"/>
                                        <w:caps/>
                                        <w:color w:val="000000" w:themeColor="text1"/>
                                        <w:sz w:val="24"/>
                                        <w:szCs w:val="24"/>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BA402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552F7C0" w14:textId="491A3897" w:rsidR="00CD1B0D" w:rsidRPr="00CD1B0D" w:rsidRDefault="00000000">
                          <w:pPr>
                            <w:pStyle w:val="NoSpacing"/>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D1B0D" w:rsidRPr="00CD1B0D">
                                <w:rPr>
                                  <w:rFonts w:ascii="Times New Roman" w:hAnsi="Times New Roman" w:cs="Times New Roman"/>
                                  <w:color w:val="000000" w:themeColor="text1"/>
                                  <w:sz w:val="24"/>
                                  <w:szCs w:val="24"/>
                                </w:rPr>
                                <w:t>Irina Popescu-Serban (1908279)</w:t>
                              </w:r>
                            </w:sdtContent>
                          </w:sdt>
                        </w:p>
                        <w:p w14:paraId="1AF747C9" w14:textId="4EAAC5CE" w:rsidR="00CD1B0D" w:rsidRPr="00CD1B0D" w:rsidRDefault="00000000">
                          <w:pPr>
                            <w:pStyle w:val="NoSpacing"/>
                            <w:rPr>
                              <w:rFonts w:ascii="Times New Roman" w:hAnsi="Times New Roman" w:cs="Times New Roman"/>
                              <w:color w:val="000000" w:themeColor="text1"/>
                              <w:sz w:val="24"/>
                              <w:szCs w:val="24"/>
                            </w:rPr>
                          </w:pPr>
                          <w:sdt>
                            <w:sdtPr>
                              <w:rPr>
                                <w:rFonts w:ascii="Times New Roman" w:hAnsi="Times New Roman" w:cs="Times New Roman"/>
                                <w:caps/>
                                <w:color w:val="000000" w:themeColor="text1"/>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CD1B0D" w:rsidRPr="00CD1B0D">
                                <w:rPr>
                                  <w:rFonts w:ascii="Times New Roman" w:hAnsi="Times New Roman" w:cs="Times New Roman"/>
                                  <w:caps/>
                                  <w:color w:val="000000" w:themeColor="text1"/>
                                  <w:sz w:val="24"/>
                                  <w:szCs w:val="24"/>
                                </w:rPr>
                                <w:t>University of Wales Trinity Saint David</w:t>
                              </w:r>
                            </w:sdtContent>
                          </w:sdt>
                        </w:p>
                      </w:txbxContent>
                    </v:textbox>
                    <w10:wrap anchorx="page" anchory="page"/>
                  </v:shape>
                </w:pict>
              </mc:Fallback>
            </mc:AlternateContent>
          </w:r>
          <w:r w:rsidRPr="00032B0C">
            <w:rPr>
              <w:noProof/>
            </w:rPr>
            <mc:AlternateContent>
              <mc:Choice Requires="wps">
                <w:drawing>
                  <wp:anchor distT="0" distB="0" distL="114300" distR="114300" simplePos="0" relativeHeight="251660288" behindDoc="0" locked="0" layoutInCell="1" allowOverlap="1" wp14:anchorId="65922E60" wp14:editId="340A18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B55E1" w14:textId="59A2B545" w:rsidR="00CD1B0D" w:rsidRPr="00CD1B0D" w:rsidRDefault="00000000">
                                <w:pPr>
                                  <w:pStyle w:val="NoSpacing"/>
                                  <w:rPr>
                                    <w:rFonts w:ascii="Times New Roman" w:eastAsiaTheme="majorEastAsia" w:hAnsi="Times New Roman" w:cs="Times New Roman"/>
                                    <w:color w:val="262626" w:themeColor="text1" w:themeTint="D9"/>
                                    <w:sz w:val="36"/>
                                    <w:szCs w:val="36"/>
                                  </w:rPr>
                                </w:pPr>
                                <w:sdt>
                                  <w:sdtPr>
                                    <w:rPr>
                                      <w:rFonts w:ascii="Times New Roman" w:hAnsi="Times New Roman" w:cs="Times New Roman"/>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503FC">
                                      <w:rPr>
                                        <w:rFonts w:ascii="Times New Roman" w:hAnsi="Times New Roman" w:cs="Times New Roman"/>
                                        <w:sz w:val="36"/>
                                        <w:szCs w:val="36"/>
                                      </w:rPr>
                                      <w:t>Liability by omission</w:t>
                                    </w:r>
                                  </w:sdtContent>
                                </w:sdt>
                              </w:p>
                              <w:p w14:paraId="1E6A55A8" w14:textId="55CDC99D" w:rsidR="00CD1B0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D1B0D">
                                      <w:rPr>
                                        <w:color w:val="404040" w:themeColor="text1" w:themeTint="BF"/>
                                        <w:sz w:val="36"/>
                                        <w:szCs w:val="36"/>
                                      </w:rPr>
                                      <w:t xml:space="preserve">     </w:t>
                                    </w:r>
                                  </w:sdtContent>
                                </w:sdt>
                                <w:r w:rsidR="00CD1B0D" w:rsidRPr="00CD1B0D">
                                  <w:rPr>
                                    <w:rFonts w:ascii="Times New Roman" w:hAnsi="Times New Roman" w:cs="Times New Roman"/>
                                    <w:color w:val="404040" w:themeColor="text1" w:themeTint="BF"/>
                                    <w:sz w:val="28"/>
                                    <w:szCs w:val="28"/>
                                  </w:rPr>
                                  <w:t>Criminal Law/</w:t>
                                </w:r>
                                <w:r w:rsidR="00CD1B0D" w:rsidRPr="00CD1B0D">
                                  <w:rPr>
                                    <w:rFonts w:ascii="Times New Roman" w:eastAsia="Arial" w:hAnsi="Times New Roman" w:cs="Times New Roman"/>
                                    <w:b/>
                                    <w:sz w:val="28"/>
                                    <w:szCs w:val="28"/>
                                  </w:rPr>
                                  <w:t xml:space="preserve"> </w:t>
                                </w:r>
                                <w:r w:rsidR="00CD1B0D" w:rsidRPr="00CD1B0D">
                                  <w:rPr>
                                    <w:rFonts w:ascii="Times New Roman" w:eastAsia="Arial" w:hAnsi="Times New Roman" w:cs="Times New Roman"/>
                                    <w:bCs/>
                                    <w:sz w:val="28"/>
                                    <w:szCs w:val="28"/>
                                  </w:rPr>
                                  <w:t>BMPL4009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922E6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A8B55E1" w14:textId="59A2B545" w:rsidR="00CD1B0D" w:rsidRPr="00CD1B0D" w:rsidRDefault="00000000">
                          <w:pPr>
                            <w:pStyle w:val="NoSpacing"/>
                            <w:rPr>
                              <w:rFonts w:ascii="Times New Roman" w:eastAsiaTheme="majorEastAsia" w:hAnsi="Times New Roman" w:cs="Times New Roman"/>
                              <w:color w:val="262626" w:themeColor="text1" w:themeTint="D9"/>
                              <w:sz w:val="36"/>
                              <w:szCs w:val="36"/>
                            </w:rPr>
                          </w:pPr>
                          <w:sdt>
                            <w:sdtPr>
                              <w:rPr>
                                <w:rFonts w:ascii="Times New Roman" w:hAnsi="Times New Roman" w:cs="Times New Roman"/>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503FC">
                                <w:rPr>
                                  <w:rFonts w:ascii="Times New Roman" w:hAnsi="Times New Roman" w:cs="Times New Roman"/>
                                  <w:sz w:val="36"/>
                                  <w:szCs w:val="36"/>
                                </w:rPr>
                                <w:t>Liability by omission</w:t>
                              </w:r>
                            </w:sdtContent>
                          </w:sdt>
                        </w:p>
                        <w:p w14:paraId="1E6A55A8" w14:textId="55CDC99D" w:rsidR="00CD1B0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D1B0D">
                                <w:rPr>
                                  <w:color w:val="404040" w:themeColor="text1" w:themeTint="BF"/>
                                  <w:sz w:val="36"/>
                                  <w:szCs w:val="36"/>
                                </w:rPr>
                                <w:t xml:space="preserve">     </w:t>
                              </w:r>
                            </w:sdtContent>
                          </w:sdt>
                          <w:r w:rsidR="00CD1B0D" w:rsidRPr="00CD1B0D">
                            <w:rPr>
                              <w:rFonts w:ascii="Times New Roman" w:hAnsi="Times New Roman" w:cs="Times New Roman"/>
                              <w:color w:val="404040" w:themeColor="text1" w:themeTint="BF"/>
                              <w:sz w:val="28"/>
                              <w:szCs w:val="28"/>
                            </w:rPr>
                            <w:t>Criminal Law/</w:t>
                          </w:r>
                          <w:r w:rsidR="00CD1B0D" w:rsidRPr="00CD1B0D">
                            <w:rPr>
                              <w:rFonts w:ascii="Times New Roman" w:eastAsia="Arial" w:hAnsi="Times New Roman" w:cs="Times New Roman"/>
                              <w:b/>
                              <w:sz w:val="28"/>
                              <w:szCs w:val="28"/>
                            </w:rPr>
                            <w:t xml:space="preserve"> </w:t>
                          </w:r>
                          <w:r w:rsidR="00CD1B0D" w:rsidRPr="00CD1B0D">
                            <w:rPr>
                              <w:rFonts w:ascii="Times New Roman" w:eastAsia="Arial" w:hAnsi="Times New Roman" w:cs="Times New Roman"/>
                              <w:bCs/>
                              <w:sz w:val="28"/>
                              <w:szCs w:val="28"/>
                            </w:rPr>
                            <w:t>BMPL4009</w:t>
                          </w:r>
                        </w:p>
                      </w:txbxContent>
                    </v:textbox>
                    <w10:wrap anchorx="page" anchory="page"/>
                  </v:shape>
                </w:pict>
              </mc:Fallback>
            </mc:AlternateContent>
          </w:r>
        </w:p>
        <w:p w14:paraId="26E67BAC" w14:textId="25CEDCFB" w:rsidR="00CD1B0D" w:rsidRPr="00032B0C" w:rsidRDefault="00000000" w:rsidP="00032B0C">
          <w:pPr>
            <w:pStyle w:val="Heading1"/>
          </w:pPr>
        </w:p>
      </w:sdtContent>
    </w:sdt>
    <w:p w14:paraId="37410B06" w14:textId="3692D9D2" w:rsidR="00071C7A" w:rsidRPr="00032B0C" w:rsidRDefault="00071C7A" w:rsidP="00032B0C">
      <w:pPr>
        <w:pStyle w:val="Heading1"/>
      </w:pPr>
    </w:p>
    <w:p w14:paraId="3ABB191E" w14:textId="3AD9C9F9" w:rsidR="00032B0C" w:rsidRPr="00032B0C" w:rsidRDefault="00032B0C" w:rsidP="00032B0C">
      <w:pPr>
        <w:pStyle w:val="Heading1"/>
      </w:pPr>
    </w:p>
    <w:p w14:paraId="50263391" w14:textId="649520E8" w:rsidR="00032B0C" w:rsidRPr="00032B0C" w:rsidRDefault="00032B0C" w:rsidP="00032B0C">
      <w:pPr>
        <w:pStyle w:val="Heading1"/>
      </w:pPr>
    </w:p>
    <w:p w14:paraId="481C5F50" w14:textId="2BDE7408" w:rsidR="00032B0C" w:rsidRPr="00032B0C" w:rsidRDefault="00032B0C" w:rsidP="00032B0C">
      <w:pPr>
        <w:pStyle w:val="Heading1"/>
      </w:pPr>
    </w:p>
    <w:p w14:paraId="0299F485" w14:textId="0B1F16FE" w:rsidR="00FC0DA6" w:rsidRDefault="00032B0C" w:rsidP="00FC0DA6">
      <w:pPr>
        <w:pStyle w:val="Heading1"/>
        <w:spacing w:line="360" w:lineRule="auto"/>
        <w:rPr>
          <w:rFonts w:ascii="Times New Roman" w:hAnsi="Times New Roman" w:cs="Times New Roman"/>
          <w:color w:val="000000" w:themeColor="text1"/>
        </w:rPr>
      </w:pPr>
      <w:r w:rsidRPr="00032B0C">
        <w:br w:type="page"/>
      </w:r>
      <w:r w:rsidR="00FC0DA6">
        <w:lastRenderedPageBreak/>
        <w:t xml:space="preserve">                                </w:t>
      </w:r>
      <w:r w:rsidRPr="00FC0DA6">
        <w:rPr>
          <w:rFonts w:ascii="Times New Roman" w:hAnsi="Times New Roman" w:cs="Times New Roman"/>
          <w:color w:val="000000" w:themeColor="text1"/>
        </w:rPr>
        <w:t xml:space="preserve"> Omission and Liability</w:t>
      </w:r>
    </w:p>
    <w:p w14:paraId="42C1B5E9" w14:textId="77777777" w:rsidR="00FC0DA6" w:rsidRPr="00FC0DA6" w:rsidRDefault="00FC0DA6" w:rsidP="00FC0DA6"/>
    <w:p w14:paraId="20733846" w14:textId="02654879" w:rsidR="00032B0C" w:rsidRPr="00FC0DA6" w:rsidRDefault="00032B0C" w:rsidP="00FC0DA6">
      <w:pPr>
        <w:spacing w:line="360" w:lineRule="auto"/>
        <w:rPr>
          <w:color w:val="000000" w:themeColor="text1"/>
        </w:rPr>
      </w:pPr>
      <w:r w:rsidRPr="005D0138">
        <w:rPr>
          <w:rFonts w:ascii="Times New Roman" w:hAnsi="Times New Roman" w:cs="Times New Roman"/>
          <w:color w:val="000000" w:themeColor="text1"/>
          <w:sz w:val="28"/>
          <w:szCs w:val="28"/>
        </w:rPr>
        <w:t>The proliferating rate of omission cases resulting from neglecting obligatory acts plagues the UK with increased criminal liability. Mitigating circumstances or other justifications for failing to act in a legally responsible way tends to render the defendant accountable for the criminal consequences. The law of omission in the UK has its roots in the common law principle of 'duty of care' (Robinson, 2019). In criminal law, actus reus refers to the act or omission that constitutes a crime. Omissions, or neglect, can also lead to criminal liability under certain circumstances. For an act of omission to be considered de jure, or legally recognized, it must satisfy certain criteria. This can include a duty to act imposed by law or a contractual agreement, knowledge of the potential harm that could result from this failure to act, and the ability to act upon this duty. Omissions can also lead to de facto criminal liability, where societal norms dictate that there is a duty to act in certain situations such as neglecting one's child or failing to provide aid to a person in distress. The legal ramifications of acts of omission can vary depending on the jurisdiction, but they may be treated as per se criminal offenses or as negligence with potentially severe consequences. Therefore, if the omission was done with the intent to cause harm, then criminal liability will be upheld, if the omission caused a foreseeable risk of harm, then criminal liability will be upheld, and if the omission violates a duty to act, then criminal liability will be upheld.</w:t>
      </w:r>
    </w:p>
    <w:p w14:paraId="64064286" w14:textId="77777777" w:rsidR="008732DC" w:rsidRPr="008732DC" w:rsidRDefault="00032B0C" w:rsidP="00FC0DA6">
      <w:pPr>
        <w:pStyle w:val="Heading2"/>
        <w:spacing w:line="360" w:lineRule="auto"/>
        <w:rPr>
          <w:rFonts w:ascii="Times New Roman" w:hAnsi="Times New Roman" w:cs="Times New Roman"/>
          <w:color w:val="000000" w:themeColor="text1"/>
          <w:sz w:val="28"/>
          <w:szCs w:val="28"/>
        </w:rPr>
      </w:pPr>
      <w:r w:rsidRPr="008732DC">
        <w:rPr>
          <w:rFonts w:ascii="Times New Roman" w:hAnsi="Times New Roman" w:cs="Times New Roman"/>
          <w:color w:val="000000" w:themeColor="text1"/>
          <w:sz w:val="28"/>
          <w:szCs w:val="28"/>
        </w:rPr>
        <w:lastRenderedPageBreak/>
        <w:t>Omissions, or actions that involve a failure to act, can potentially result in criminal liability. However, not all omissions will be punished - the courts must consider the intention of the person failing to act. If the omission was done with an intent to harm another person, such as a parent neglecting to provide necessary medical treatment for</w:t>
      </w:r>
      <w:r w:rsidR="008732DC" w:rsidRPr="008732DC">
        <w:rPr>
          <w:rFonts w:ascii="Times New Roman" w:hAnsi="Times New Roman" w:cs="Times New Roman"/>
          <w:color w:val="000000" w:themeColor="text1"/>
          <w:sz w:val="28"/>
          <w:szCs w:val="28"/>
        </w:rPr>
        <w:t xml:space="preserve"> their child, then criminal liability will likely be upheld. On the other hand, if there was no intent to cause harm and the omission was simply a result of negligence or ignorance, it may not result in punishment under criminal law. It is important to note that omissions can still have legal consequences under civil law, as a person may be held liable for resulting damages even without intentional harm. Overall, intent plays a crucial role in determining whether an omission will result in criminal liability. </w:t>
      </w:r>
    </w:p>
    <w:p w14:paraId="5F32F39B" w14:textId="77777777" w:rsidR="008732DC" w:rsidRPr="008732DC" w:rsidRDefault="008732DC" w:rsidP="00FC0DA6">
      <w:pPr>
        <w:pStyle w:val="Heading2"/>
        <w:spacing w:line="360" w:lineRule="auto"/>
        <w:rPr>
          <w:rFonts w:ascii="Times New Roman" w:hAnsi="Times New Roman" w:cs="Times New Roman"/>
          <w:color w:val="000000" w:themeColor="text1"/>
          <w:sz w:val="28"/>
          <w:szCs w:val="28"/>
        </w:rPr>
      </w:pPr>
      <w:r w:rsidRPr="008732DC">
        <w:rPr>
          <w:rFonts w:ascii="Times New Roman" w:hAnsi="Times New Roman" w:cs="Times New Roman"/>
          <w:color w:val="000000" w:themeColor="text1"/>
          <w:sz w:val="28"/>
          <w:szCs w:val="28"/>
        </w:rPr>
        <w:t xml:space="preserve">In </w:t>
      </w:r>
      <w:proofErr w:type="spellStart"/>
      <w:r w:rsidRPr="008732DC">
        <w:rPr>
          <w:rFonts w:ascii="Times New Roman" w:hAnsi="Times New Roman" w:cs="Times New Roman"/>
          <w:color w:val="000000" w:themeColor="text1"/>
          <w:sz w:val="28"/>
          <w:szCs w:val="28"/>
        </w:rPr>
        <w:t>Shama</w:t>
      </w:r>
      <w:proofErr w:type="spellEnd"/>
      <w:r w:rsidRPr="008732DC">
        <w:rPr>
          <w:rFonts w:ascii="Times New Roman" w:hAnsi="Times New Roman" w:cs="Times New Roman"/>
          <w:color w:val="000000" w:themeColor="text1"/>
          <w:sz w:val="28"/>
          <w:szCs w:val="28"/>
        </w:rPr>
        <w:t xml:space="preserve"> v The Queen [1996], it was determined that a person can be criminally liable for an act of omission if they intended to cause harm </w:t>
      </w:r>
      <w:r w:rsidRPr="008732DC">
        <w:rPr>
          <w:rFonts w:ascii="Times New Roman" w:hAnsi="Times New Roman" w:cs="Times New Roman"/>
          <w:color w:val="000000" w:themeColor="text1"/>
          <w:sz w:val="28"/>
          <w:szCs w:val="28"/>
        </w:rPr>
        <w:fldChar w:fldCharType="begin"/>
      </w:r>
      <w:r w:rsidRPr="008732DC">
        <w:rPr>
          <w:rFonts w:ascii="Times New Roman" w:hAnsi="Times New Roman" w:cs="Times New Roman"/>
          <w:color w:val="000000" w:themeColor="text1"/>
          <w:sz w:val="28"/>
          <w:szCs w:val="28"/>
        </w:rPr>
        <w:instrText xml:space="preserve"> ADDIN ZOTERO_ITEM CSL_CITATION {"citationID":"3JuS5sMN","properties":{"formattedCitation":"(Abdul Hadi and Paino, 2016)","plainCitation":"(Abdul Hadi and Paino, 2016)","noteIndex":0},"citationItems":[{"id":"dRzzehS6/KKaof8au","uris":["http://zotero.org/users/local/qMPzaMeD/items/SWS6633Z"],"itemData":{"id":640,"type":"article-journal","container-title":"Management &amp; Accounting Review (MAR)","issue":"2","note":"ISBN: 2550-1895\npublisher: Universiti Teknologi MARA Cawangan Selangor","page":"1-17","title":"Legal perspectives to wards forgery, fraud and falsification of documents: recent development","volume":"15","author":[{"family":"Abdul Hadi","given":"Khairul Anuar"},{"family":"Paino","given":"Halil"}],"issued":{"date-parts":[["2016"]]}}}],"schema":"https://github.com/citation-style-language/schema/raw/master/csl-citation.json"} </w:instrText>
      </w:r>
      <w:r w:rsidRPr="008732DC">
        <w:rPr>
          <w:rFonts w:ascii="Times New Roman" w:hAnsi="Times New Roman" w:cs="Times New Roman"/>
          <w:color w:val="000000" w:themeColor="text1"/>
          <w:sz w:val="28"/>
          <w:szCs w:val="28"/>
        </w:rPr>
        <w:fldChar w:fldCharType="separate"/>
      </w:r>
      <w:r w:rsidRPr="008732DC">
        <w:rPr>
          <w:rFonts w:ascii="Times New Roman" w:hAnsi="Times New Roman" w:cs="Times New Roman"/>
          <w:color w:val="000000" w:themeColor="text1"/>
          <w:sz w:val="28"/>
          <w:szCs w:val="28"/>
        </w:rPr>
        <w:t>(Abdul Hadi and Paino, 2016)</w:t>
      </w:r>
      <w:r w:rsidRPr="008732DC">
        <w:rPr>
          <w:rFonts w:ascii="Times New Roman" w:hAnsi="Times New Roman" w:cs="Times New Roman"/>
          <w:color w:val="000000" w:themeColor="text1"/>
          <w:sz w:val="28"/>
          <w:szCs w:val="28"/>
        </w:rPr>
        <w:fldChar w:fldCharType="end"/>
      </w:r>
      <w:r w:rsidRPr="008732DC">
        <w:rPr>
          <w:rFonts w:ascii="Times New Roman" w:hAnsi="Times New Roman" w:cs="Times New Roman"/>
          <w:color w:val="000000" w:themeColor="text1"/>
          <w:sz w:val="28"/>
          <w:szCs w:val="28"/>
        </w:rPr>
        <w:t xml:space="preserve">. In this case, </w:t>
      </w:r>
      <w:proofErr w:type="spellStart"/>
      <w:r w:rsidRPr="008732DC">
        <w:rPr>
          <w:rFonts w:ascii="Times New Roman" w:hAnsi="Times New Roman" w:cs="Times New Roman"/>
          <w:color w:val="000000" w:themeColor="text1"/>
          <w:sz w:val="28"/>
          <w:szCs w:val="28"/>
        </w:rPr>
        <w:t>Shama</w:t>
      </w:r>
      <w:proofErr w:type="spellEnd"/>
      <w:r w:rsidRPr="008732DC">
        <w:rPr>
          <w:rFonts w:ascii="Times New Roman" w:hAnsi="Times New Roman" w:cs="Times New Roman"/>
          <w:color w:val="000000" w:themeColor="text1"/>
          <w:sz w:val="28"/>
          <w:szCs w:val="28"/>
        </w:rPr>
        <w:t xml:space="preserve"> failed to provide the necessary medical treatment for his grandmother, resulting in her death. While </w:t>
      </w:r>
      <w:proofErr w:type="spellStart"/>
      <w:r w:rsidRPr="008732DC">
        <w:rPr>
          <w:rFonts w:ascii="Times New Roman" w:hAnsi="Times New Roman" w:cs="Times New Roman"/>
          <w:color w:val="000000" w:themeColor="text1"/>
          <w:sz w:val="28"/>
          <w:szCs w:val="28"/>
        </w:rPr>
        <w:t>Shama</w:t>
      </w:r>
      <w:proofErr w:type="spellEnd"/>
      <w:r w:rsidRPr="008732DC">
        <w:rPr>
          <w:rFonts w:ascii="Times New Roman" w:hAnsi="Times New Roman" w:cs="Times New Roman"/>
          <w:color w:val="000000" w:themeColor="text1"/>
          <w:sz w:val="28"/>
          <w:szCs w:val="28"/>
        </w:rPr>
        <w:t xml:space="preserve"> argued that he did not actively harm his grandmother, the court found that his failure to provide medical attention constituted a form of intentional harm and thus upheld criminal liability. This principle applies in cases where a person must act and deliberately chooses not to </w:t>
      </w:r>
      <w:proofErr w:type="spellStart"/>
      <w:r w:rsidRPr="008732DC">
        <w:rPr>
          <w:rFonts w:ascii="Times New Roman" w:hAnsi="Times New Roman" w:cs="Times New Roman"/>
          <w:color w:val="000000" w:themeColor="text1"/>
          <w:sz w:val="28"/>
          <w:szCs w:val="28"/>
        </w:rPr>
        <w:t>fulfill</w:t>
      </w:r>
      <w:proofErr w:type="spellEnd"/>
      <w:r w:rsidRPr="008732DC">
        <w:rPr>
          <w:rFonts w:ascii="Times New Roman" w:hAnsi="Times New Roman" w:cs="Times New Roman"/>
          <w:color w:val="000000" w:themeColor="text1"/>
          <w:sz w:val="28"/>
          <w:szCs w:val="28"/>
        </w:rPr>
        <w:t xml:space="preserve"> that duty, thereby causing harm. However, in cases where there is no duty or obligation to act, criminal liability cannot be upheld based on omission alone. It is ultimately the intention behind the omission that determines </w:t>
      </w:r>
      <w:proofErr w:type="gramStart"/>
      <w:r w:rsidRPr="008732DC">
        <w:rPr>
          <w:rFonts w:ascii="Times New Roman" w:hAnsi="Times New Roman" w:cs="Times New Roman"/>
          <w:color w:val="000000" w:themeColor="text1"/>
          <w:sz w:val="28"/>
          <w:szCs w:val="28"/>
        </w:rPr>
        <w:t>whether or not</w:t>
      </w:r>
      <w:proofErr w:type="gramEnd"/>
      <w:r w:rsidRPr="008732DC">
        <w:rPr>
          <w:rFonts w:ascii="Times New Roman" w:hAnsi="Times New Roman" w:cs="Times New Roman"/>
          <w:color w:val="000000" w:themeColor="text1"/>
          <w:sz w:val="28"/>
          <w:szCs w:val="28"/>
        </w:rPr>
        <w:t xml:space="preserve"> there should be criminal liability. </w:t>
      </w:r>
      <w:proofErr w:type="spellStart"/>
      <w:r w:rsidRPr="008732DC">
        <w:rPr>
          <w:rFonts w:ascii="Times New Roman" w:hAnsi="Times New Roman" w:cs="Times New Roman"/>
          <w:color w:val="000000" w:themeColor="text1"/>
          <w:sz w:val="28"/>
          <w:szCs w:val="28"/>
        </w:rPr>
        <w:t>Shama</w:t>
      </w:r>
      <w:proofErr w:type="spellEnd"/>
      <w:r w:rsidRPr="008732DC">
        <w:rPr>
          <w:rFonts w:ascii="Times New Roman" w:hAnsi="Times New Roman" w:cs="Times New Roman"/>
          <w:color w:val="000000" w:themeColor="text1"/>
          <w:sz w:val="28"/>
          <w:szCs w:val="28"/>
        </w:rPr>
        <w:t xml:space="preserve"> [1996] serves as an example of how intent plays an important role in assessing criminal liability for omissions. Therefore, the intention behind an omission is one of the key factors considered when determining criminal liability. </w:t>
      </w:r>
    </w:p>
    <w:p w14:paraId="42DD7642" w14:textId="0B502522" w:rsidR="00A411B6" w:rsidRDefault="008732DC" w:rsidP="00FC0DA6">
      <w:pPr>
        <w:pStyle w:val="Heading2"/>
        <w:spacing w:line="360" w:lineRule="auto"/>
        <w:rPr>
          <w:rFonts w:ascii="Times New Roman" w:hAnsi="Times New Roman" w:cs="Times New Roman"/>
          <w:color w:val="000000" w:themeColor="text1"/>
          <w:sz w:val="28"/>
          <w:szCs w:val="28"/>
        </w:rPr>
      </w:pPr>
      <w:r w:rsidRPr="00A411B6">
        <w:rPr>
          <w:rFonts w:ascii="Times New Roman" w:hAnsi="Times New Roman" w:cs="Times New Roman"/>
          <w:color w:val="000000" w:themeColor="text1"/>
          <w:sz w:val="28"/>
          <w:szCs w:val="28"/>
        </w:rPr>
        <w:lastRenderedPageBreak/>
        <w:t xml:space="preserve">Also, Donoghue v Stevenson [1932] was a UK law case that held that manufacturers owe a duty of care to consumers </w:t>
      </w:r>
      <w:r w:rsidRPr="00A411B6">
        <w:rPr>
          <w:rFonts w:ascii="Times New Roman" w:hAnsi="Times New Roman" w:cs="Times New Roman"/>
          <w:color w:val="000000" w:themeColor="text1"/>
          <w:sz w:val="28"/>
          <w:szCs w:val="28"/>
        </w:rPr>
        <w:fldChar w:fldCharType="begin"/>
      </w:r>
      <w:r w:rsidRPr="00A411B6">
        <w:rPr>
          <w:rFonts w:ascii="Times New Roman" w:hAnsi="Times New Roman" w:cs="Times New Roman"/>
          <w:color w:val="000000" w:themeColor="text1"/>
          <w:sz w:val="28"/>
          <w:szCs w:val="28"/>
        </w:rPr>
        <w:instrText xml:space="preserve"> ADDIN ZOTERO_ITEM CSL_CITATION {"citationID":"ASlhCJQN","properties":{"formattedCitation":"(CAP, n.d.)","plainCitation":"(CAP, n.d.)","noteIndex":0},"citationItems":[{"id":30,"uris":["http://zotero.org/users/local/O3RWvN2m/items/U6TNXK84"],"itemData":{"id":30,"type":"webpage","abstract":"Full text of Poplar v. Bourjois, Inc., 298 N.Y. 62 (1948) from the Caselaw Access Project.","language":"en","title":"Poplar v. Bourjois, Inc., 298 N.Y. 62 (1948) | Caselaw Access Project","URL":"https://cite.case.law/ny/298/62/","author":[{"family":"CAP","given":""}],"accessed":{"date-parts":[["2022",11,11]]}}}],"schema":"https://github.com/citation-style-language/schema/raw/master/csl-citation.json"} </w:instrText>
      </w:r>
      <w:r w:rsidRPr="00A411B6">
        <w:rPr>
          <w:rFonts w:ascii="Times New Roman" w:hAnsi="Times New Roman" w:cs="Times New Roman"/>
          <w:color w:val="000000" w:themeColor="text1"/>
          <w:sz w:val="28"/>
          <w:szCs w:val="28"/>
        </w:rPr>
        <w:fldChar w:fldCharType="separate"/>
      </w:r>
      <w:r w:rsidRPr="00A411B6">
        <w:rPr>
          <w:rFonts w:ascii="Times New Roman" w:hAnsi="Times New Roman" w:cs="Times New Roman"/>
          <w:color w:val="000000" w:themeColor="text1"/>
          <w:sz w:val="28"/>
          <w:szCs w:val="28"/>
        </w:rPr>
        <w:t>(CAP, n.d.)</w:t>
      </w:r>
      <w:r w:rsidRPr="00A411B6">
        <w:rPr>
          <w:rFonts w:ascii="Times New Roman" w:hAnsi="Times New Roman" w:cs="Times New Roman"/>
          <w:color w:val="000000" w:themeColor="text1"/>
          <w:sz w:val="28"/>
          <w:szCs w:val="28"/>
        </w:rPr>
        <w:fldChar w:fldCharType="end"/>
      </w:r>
      <w:r w:rsidRPr="00A411B6">
        <w:rPr>
          <w:rFonts w:ascii="Times New Roman" w:hAnsi="Times New Roman" w:cs="Times New Roman"/>
          <w:color w:val="000000" w:themeColor="text1"/>
          <w:sz w:val="28"/>
          <w:szCs w:val="28"/>
        </w:rPr>
        <w:t xml:space="preserve">. The case is significant as it established the modern law of </w:t>
      </w:r>
      <w:proofErr w:type="gramStart"/>
      <w:r w:rsidRPr="00A411B6">
        <w:rPr>
          <w:rFonts w:ascii="Times New Roman" w:hAnsi="Times New Roman" w:cs="Times New Roman"/>
          <w:color w:val="000000" w:themeColor="text1"/>
          <w:sz w:val="28"/>
          <w:szCs w:val="28"/>
        </w:rPr>
        <w:t>negligence, and</w:t>
      </w:r>
      <w:proofErr w:type="gramEnd"/>
      <w:r w:rsidRPr="00A411B6">
        <w:rPr>
          <w:rFonts w:ascii="Times New Roman" w:hAnsi="Times New Roman" w:cs="Times New Roman"/>
          <w:color w:val="000000" w:themeColor="text1"/>
          <w:sz w:val="28"/>
          <w:szCs w:val="28"/>
        </w:rPr>
        <w:t xml:space="preserve"> marked a shift in the UK towards a more interventionist approach to regulation. The case concerned a ginger beer bottle that had</w:t>
      </w:r>
      <w:r w:rsidR="00A411B6" w:rsidRPr="00A411B6">
        <w:rPr>
          <w:rFonts w:ascii="Times New Roman" w:hAnsi="Times New Roman" w:cs="Times New Roman"/>
          <w:color w:val="000000" w:themeColor="text1"/>
          <w:sz w:val="28"/>
          <w:szCs w:val="28"/>
        </w:rPr>
        <w:t xml:space="preserve"> been sold by the defendant, which contained a decomposing snail. The plaintiff, Mrs Donoghue, consumed some of the ginger beer and subsequently fell ill. The court held that the defendant had breached their duty of care to Mrs Donoghue, and that they were liable for her injuries. The case is important as it established the principle of 'the reasonable man', which is still used today to determine </w:t>
      </w:r>
      <w:proofErr w:type="gramStart"/>
      <w:r w:rsidR="00A411B6" w:rsidRPr="00A411B6">
        <w:rPr>
          <w:rFonts w:ascii="Times New Roman" w:hAnsi="Times New Roman" w:cs="Times New Roman"/>
          <w:color w:val="000000" w:themeColor="text1"/>
          <w:sz w:val="28"/>
          <w:szCs w:val="28"/>
        </w:rPr>
        <w:t>whether or not</w:t>
      </w:r>
      <w:proofErr w:type="gramEnd"/>
      <w:r w:rsidR="00A411B6" w:rsidRPr="00A411B6">
        <w:rPr>
          <w:rFonts w:ascii="Times New Roman" w:hAnsi="Times New Roman" w:cs="Times New Roman"/>
          <w:color w:val="000000" w:themeColor="text1"/>
          <w:sz w:val="28"/>
          <w:szCs w:val="28"/>
        </w:rPr>
        <w:t xml:space="preserve"> someone has breached their duty of care. In addition, the case set out the requirements of actus reus and </w:t>
      </w:r>
      <w:proofErr w:type="spellStart"/>
      <w:r w:rsidR="00A411B6" w:rsidRPr="00A411B6">
        <w:rPr>
          <w:rFonts w:ascii="Times New Roman" w:hAnsi="Times New Roman" w:cs="Times New Roman"/>
          <w:color w:val="000000" w:themeColor="text1"/>
          <w:sz w:val="28"/>
          <w:szCs w:val="28"/>
        </w:rPr>
        <w:t>mens</w:t>
      </w:r>
      <w:proofErr w:type="spellEnd"/>
      <w:r w:rsidR="00A411B6" w:rsidRPr="00A411B6">
        <w:rPr>
          <w:rFonts w:ascii="Times New Roman" w:hAnsi="Times New Roman" w:cs="Times New Roman"/>
          <w:color w:val="000000" w:themeColor="text1"/>
          <w:sz w:val="28"/>
          <w:szCs w:val="28"/>
        </w:rPr>
        <w:t xml:space="preserve"> rea in relation to criminal liability, which have since become known as the 'Donoghue principles'.</w:t>
      </w:r>
    </w:p>
    <w:p w14:paraId="3B9EF2B9" w14:textId="77777777" w:rsidR="00FE1A0D" w:rsidRPr="00FE1A0D" w:rsidRDefault="00FE1A0D" w:rsidP="00FC0DA6">
      <w:pPr>
        <w:pStyle w:val="Heading2"/>
        <w:spacing w:line="360" w:lineRule="auto"/>
        <w:rPr>
          <w:rFonts w:ascii="Times New Roman" w:hAnsi="Times New Roman" w:cs="Times New Roman"/>
          <w:color w:val="000000" w:themeColor="text1"/>
          <w:sz w:val="28"/>
          <w:szCs w:val="28"/>
        </w:rPr>
      </w:pPr>
      <w:r w:rsidRPr="00FE1A0D">
        <w:rPr>
          <w:rFonts w:ascii="Times New Roman" w:hAnsi="Times New Roman" w:cs="Times New Roman"/>
          <w:color w:val="000000" w:themeColor="text1"/>
          <w:sz w:val="28"/>
          <w:szCs w:val="28"/>
        </w:rPr>
        <w:t xml:space="preserve">The </w:t>
      </w:r>
      <w:proofErr w:type="spellStart"/>
      <w:r w:rsidRPr="00FE1A0D">
        <w:rPr>
          <w:rFonts w:ascii="Times New Roman" w:hAnsi="Times New Roman" w:cs="Times New Roman"/>
          <w:color w:val="000000" w:themeColor="text1"/>
          <w:sz w:val="28"/>
          <w:szCs w:val="28"/>
        </w:rPr>
        <w:t>Pittwood</w:t>
      </w:r>
      <w:proofErr w:type="spellEnd"/>
      <w:r w:rsidRPr="00FE1A0D">
        <w:rPr>
          <w:rFonts w:ascii="Times New Roman" w:hAnsi="Times New Roman" w:cs="Times New Roman"/>
          <w:color w:val="000000" w:themeColor="text1"/>
          <w:sz w:val="28"/>
          <w:szCs w:val="28"/>
        </w:rPr>
        <w:t xml:space="preserve"> [1902] case established that omissions </w:t>
      </w:r>
      <w:proofErr w:type="gramStart"/>
      <w:r w:rsidRPr="00FE1A0D">
        <w:rPr>
          <w:rFonts w:ascii="Times New Roman" w:hAnsi="Times New Roman" w:cs="Times New Roman"/>
          <w:color w:val="000000" w:themeColor="text1"/>
          <w:sz w:val="28"/>
          <w:szCs w:val="28"/>
        </w:rPr>
        <w:t>can</w:t>
      </w:r>
      <w:proofErr w:type="gramEnd"/>
      <w:r w:rsidRPr="00FE1A0D">
        <w:rPr>
          <w:rFonts w:ascii="Times New Roman" w:hAnsi="Times New Roman" w:cs="Times New Roman"/>
          <w:color w:val="000000" w:themeColor="text1"/>
          <w:sz w:val="28"/>
          <w:szCs w:val="28"/>
        </w:rPr>
        <w:t xml:space="preserve"> result in criminal liability when they are done with the intent to cause harm. In this case, a coal loader neglected to properly secure a wagon, resulting in injury to another worker </w:t>
      </w:r>
      <w:r w:rsidRPr="00FE1A0D">
        <w:rPr>
          <w:rFonts w:ascii="Times New Roman" w:hAnsi="Times New Roman" w:cs="Times New Roman"/>
          <w:color w:val="000000" w:themeColor="text1"/>
          <w:sz w:val="28"/>
          <w:szCs w:val="28"/>
        </w:rPr>
        <w:fldChar w:fldCharType="begin"/>
      </w:r>
      <w:r w:rsidRPr="00FE1A0D">
        <w:rPr>
          <w:rFonts w:ascii="Times New Roman" w:hAnsi="Times New Roman" w:cs="Times New Roman"/>
          <w:color w:val="000000" w:themeColor="text1"/>
          <w:sz w:val="28"/>
          <w:szCs w:val="28"/>
        </w:rPr>
        <w:instrText xml:space="preserve"> ADDIN ZOTERO_ITEM CSL_CITATION {"citationID":"XZmU67Me","properties":{"formattedCitation":"(CAP, 2022a)","plainCitation":"(CAP, 2022a)","noteIndex":0},"citationItems":[{"id":"dRzzehS6/DOqaH1Yj","uris":["http://zotero.org/users/local/qMPzaMeD/items/I5FM769J"],"itemData":{"id":648,"type":"webpage","abstract":"Full text of Myers v. Eich, 720 N.W.2d 76, 2006 SD 69 (2006) from the Caselaw Access Project.","language":"en","title":"Myers v. Eich, 720 N.W.2d 76, 2006 SD 69 (2006) | Caselaw Access Project","URL":"https://cite.case.law/nw2d/720/76/","author":[{"family":"CAP","given":""}],"accessed":{"date-parts":[["2022",11,9]]},"issued":{"date-parts":[["2022"]]}}}],"schema":"https://github.com/citation-style-language/schema/raw/master/csl-citation.json"} </w:instrText>
      </w:r>
      <w:r w:rsidRPr="00FE1A0D">
        <w:rPr>
          <w:rFonts w:ascii="Times New Roman" w:hAnsi="Times New Roman" w:cs="Times New Roman"/>
          <w:color w:val="000000" w:themeColor="text1"/>
          <w:sz w:val="28"/>
          <w:szCs w:val="28"/>
        </w:rPr>
        <w:fldChar w:fldCharType="separate"/>
      </w:r>
      <w:r w:rsidRPr="00FE1A0D">
        <w:rPr>
          <w:rFonts w:ascii="Times New Roman" w:hAnsi="Times New Roman" w:cs="Times New Roman"/>
          <w:color w:val="000000" w:themeColor="text1"/>
          <w:sz w:val="28"/>
          <w:szCs w:val="28"/>
        </w:rPr>
        <w:t>(CAP, 2022a)</w:t>
      </w:r>
      <w:r w:rsidRPr="00FE1A0D">
        <w:rPr>
          <w:rFonts w:ascii="Times New Roman" w:hAnsi="Times New Roman" w:cs="Times New Roman"/>
          <w:color w:val="000000" w:themeColor="text1"/>
          <w:sz w:val="28"/>
          <w:szCs w:val="28"/>
        </w:rPr>
        <w:fldChar w:fldCharType="end"/>
      </w:r>
      <w:r w:rsidRPr="00FE1A0D">
        <w:rPr>
          <w:rFonts w:ascii="Times New Roman" w:hAnsi="Times New Roman" w:cs="Times New Roman"/>
          <w:color w:val="000000" w:themeColor="text1"/>
          <w:sz w:val="28"/>
          <w:szCs w:val="28"/>
        </w:rPr>
        <w:t xml:space="preserve">. The court ruled that this act of omission was equivalent to an affirmative act, and therefore the coal loader could be held accountable for his actions. </w:t>
      </w:r>
      <w:proofErr w:type="gramStart"/>
      <w:r w:rsidRPr="00FE1A0D">
        <w:rPr>
          <w:rFonts w:ascii="Times New Roman" w:hAnsi="Times New Roman" w:cs="Times New Roman"/>
          <w:color w:val="000000" w:themeColor="text1"/>
          <w:sz w:val="28"/>
          <w:szCs w:val="28"/>
        </w:rPr>
        <w:t>This ruling highlights</w:t>
      </w:r>
      <w:proofErr w:type="gramEnd"/>
      <w:r w:rsidRPr="00FE1A0D">
        <w:rPr>
          <w:rFonts w:ascii="Times New Roman" w:hAnsi="Times New Roman" w:cs="Times New Roman"/>
          <w:color w:val="000000" w:themeColor="text1"/>
          <w:sz w:val="28"/>
          <w:szCs w:val="28"/>
        </w:rPr>
        <w:t xml:space="preserve"> the importance of considering intent in cases involving omissions. An individual may not physically commit a harmful act, but if their actions were intended to cause harm, they can still be held responsible for the consequences. This principle has continued to be recognized in modern legal systems, demonstrating its enduring significance. Without an intent to cause harm, such an action may not be subject to punishment under criminal law. However, this does not mean that there are no legal consequences - civil law may still hold a person liable for resulting damages </w:t>
      </w:r>
      <w:r w:rsidRPr="00FE1A0D">
        <w:rPr>
          <w:rFonts w:ascii="Times New Roman" w:hAnsi="Times New Roman" w:cs="Times New Roman"/>
          <w:color w:val="000000" w:themeColor="text1"/>
          <w:sz w:val="28"/>
          <w:szCs w:val="28"/>
        </w:rPr>
        <w:fldChar w:fldCharType="begin"/>
      </w:r>
      <w:r w:rsidRPr="00FE1A0D">
        <w:rPr>
          <w:rFonts w:ascii="Times New Roman" w:hAnsi="Times New Roman" w:cs="Times New Roman"/>
          <w:color w:val="000000" w:themeColor="text1"/>
          <w:sz w:val="28"/>
          <w:szCs w:val="28"/>
        </w:rPr>
        <w:instrText xml:space="preserve"> ADDIN ZOTERO_ITEM CSL_CITATION {"citationID":"KVobmViE","properties":{"formattedCitation":"(Hall, 2022)","plainCitation":"(Hall, 2022)","noteIndex":0},"citationItems":[{"id":"dRzzehS6/erZ7rycE","uris":["http://zotero.org/users/local/qMPzaMeD/items/E63YZ8QI"],"itemData":{"id":638,"type":"book","ISBN":"0-357-61942-0","publisher":"Cengage Learning","title":"Criminal law and procedure","author":[{"family":"Hall","given":"Daniel E."}],"issued":{"date-parts":[["2022"]]}}}],"schema":"https://github.com/citation-style-language/schema/raw/master/csl-citation.json"} </w:instrText>
      </w:r>
      <w:r w:rsidRPr="00FE1A0D">
        <w:rPr>
          <w:rFonts w:ascii="Times New Roman" w:hAnsi="Times New Roman" w:cs="Times New Roman"/>
          <w:color w:val="000000" w:themeColor="text1"/>
          <w:sz w:val="28"/>
          <w:szCs w:val="28"/>
        </w:rPr>
        <w:fldChar w:fldCharType="separate"/>
      </w:r>
      <w:r w:rsidRPr="00FE1A0D">
        <w:rPr>
          <w:rFonts w:ascii="Times New Roman" w:hAnsi="Times New Roman" w:cs="Times New Roman"/>
          <w:color w:val="000000" w:themeColor="text1"/>
          <w:sz w:val="28"/>
          <w:szCs w:val="28"/>
        </w:rPr>
        <w:t>(Hall, 2022)</w:t>
      </w:r>
      <w:r w:rsidRPr="00FE1A0D">
        <w:rPr>
          <w:rFonts w:ascii="Times New Roman" w:hAnsi="Times New Roman" w:cs="Times New Roman"/>
          <w:color w:val="000000" w:themeColor="text1"/>
          <w:sz w:val="28"/>
          <w:szCs w:val="28"/>
        </w:rPr>
        <w:fldChar w:fldCharType="end"/>
      </w:r>
      <w:r w:rsidRPr="00FE1A0D">
        <w:rPr>
          <w:rFonts w:ascii="Times New Roman" w:hAnsi="Times New Roman" w:cs="Times New Roman"/>
          <w:color w:val="000000" w:themeColor="text1"/>
          <w:sz w:val="28"/>
          <w:szCs w:val="28"/>
        </w:rPr>
        <w:t>. Therefore, individuals need to take responsibility for their actions and omissions to avoid potential legal ramifications.</w:t>
      </w:r>
    </w:p>
    <w:p w14:paraId="5BD288E2" w14:textId="77777777" w:rsidR="00FE1A0D" w:rsidRPr="00FE1A0D" w:rsidRDefault="00FE1A0D" w:rsidP="00FC0DA6">
      <w:pPr>
        <w:pStyle w:val="Heading2"/>
        <w:spacing w:line="360" w:lineRule="auto"/>
        <w:rPr>
          <w:rFonts w:ascii="Times New Roman" w:hAnsi="Times New Roman" w:cs="Times New Roman"/>
          <w:color w:val="000000" w:themeColor="text1"/>
          <w:sz w:val="28"/>
          <w:szCs w:val="28"/>
        </w:rPr>
      </w:pPr>
      <w:r w:rsidRPr="00FE1A0D">
        <w:rPr>
          <w:rFonts w:ascii="Times New Roman" w:hAnsi="Times New Roman" w:cs="Times New Roman"/>
          <w:color w:val="000000" w:themeColor="text1"/>
          <w:sz w:val="28"/>
          <w:szCs w:val="28"/>
        </w:rPr>
        <w:lastRenderedPageBreak/>
        <w:t>Regarding criminal liability, the concept of foreseeability plays a crucial role. When an individual omits to perform a duty, leading to foreseeable harm, they can be held criminally liable for their inaction. This is not to say that every case of harm caused by omission will result in criminal liability; there must also be a duty present and a lack of justification or excuse. However, if these elements are met and the resulting harm was foreseeable, then it can be argued that the individual should have taken steps to prevent it and therefore should be held responsible for their omission. This principle serves as deterrence against negligence and encourages individuals to take necessary precautions to prevent foreseeable harm.</w:t>
      </w:r>
    </w:p>
    <w:p w14:paraId="7C7749A4" w14:textId="238F553E" w:rsidR="00415C63" w:rsidRDefault="00FE1A0D" w:rsidP="00FC0DA6">
      <w:pPr>
        <w:pStyle w:val="Heading2"/>
        <w:spacing w:line="360" w:lineRule="auto"/>
        <w:rPr>
          <w:rFonts w:ascii="Times New Roman" w:hAnsi="Times New Roman" w:cs="Times New Roman"/>
          <w:color w:val="000000" w:themeColor="text1"/>
          <w:sz w:val="28"/>
          <w:szCs w:val="28"/>
        </w:rPr>
      </w:pPr>
      <w:r w:rsidRPr="00FE1A0D">
        <w:rPr>
          <w:rFonts w:ascii="Times New Roman" w:hAnsi="Times New Roman" w:cs="Times New Roman"/>
          <w:color w:val="000000" w:themeColor="text1"/>
          <w:sz w:val="28"/>
          <w:szCs w:val="28"/>
        </w:rPr>
        <w:t xml:space="preserve">In the 2004 case of Hood v. R, the Court of Appeal upheld that criminal liability would be upheld for an omission that caused a foreseeable risk of harm. The defendant had failed to provide adequate care for his elderly mother, resulting in her death from bedsores and malnutrition </w:t>
      </w:r>
      <w:r w:rsidRPr="00FE1A0D">
        <w:rPr>
          <w:rFonts w:ascii="Times New Roman" w:hAnsi="Times New Roman" w:cs="Times New Roman"/>
          <w:color w:val="000000" w:themeColor="text1"/>
          <w:sz w:val="28"/>
          <w:szCs w:val="28"/>
        </w:rPr>
        <w:fldChar w:fldCharType="begin"/>
      </w:r>
      <w:r w:rsidRPr="00FE1A0D">
        <w:rPr>
          <w:rFonts w:ascii="Times New Roman" w:hAnsi="Times New Roman" w:cs="Times New Roman"/>
          <w:color w:val="000000" w:themeColor="text1"/>
          <w:sz w:val="28"/>
          <w:szCs w:val="28"/>
        </w:rPr>
        <w:instrText xml:space="preserve"> ADDIN ZOTERO_ITEM CSL_CITATION {"citationID":"QufviGJ0","properties":{"formattedCitation":"(CAP, 2022b)","plainCitation":"(CAP, 2022b)","noteIndex":0},"citationItems":[{"id":"dRzzehS6/w0IeJ8WM","uris":["http://zotero.org/users/local/qMPzaMeD/items/JQ9MPAXA"],"itemData":{"id":650,"type":"webpage","abstract":"Full text of Hood v. Pennsylvania R. R., 59 Pa. D. &amp; C. 185 (1947) from the Caselaw Access Project.","language":"en","title":"Hood v. Pennsylvania R. R., 59 Pa. D. &amp; C. 185 (1947) | Caselaw Access Project","URL":"https://cite.case.law/pa-d-c/59/185/","author":[{"family":"CAP","given":""}],"accessed":{"date-parts":[["2022",11,9]]},"issued":{"date-parts":[["2022"]]}}}],"schema":"https://github.com/citation-style-language/schema/raw/master/csl-citation.json"} </w:instrText>
      </w:r>
      <w:r w:rsidRPr="00FE1A0D">
        <w:rPr>
          <w:rFonts w:ascii="Times New Roman" w:hAnsi="Times New Roman" w:cs="Times New Roman"/>
          <w:color w:val="000000" w:themeColor="text1"/>
          <w:sz w:val="28"/>
          <w:szCs w:val="28"/>
        </w:rPr>
        <w:fldChar w:fldCharType="separate"/>
      </w:r>
      <w:r w:rsidRPr="00FE1A0D">
        <w:rPr>
          <w:rFonts w:ascii="Times New Roman" w:hAnsi="Times New Roman" w:cs="Times New Roman"/>
          <w:color w:val="000000" w:themeColor="text1"/>
          <w:sz w:val="28"/>
          <w:szCs w:val="28"/>
        </w:rPr>
        <w:t>(CAP, 2022b)</w:t>
      </w:r>
      <w:r w:rsidRPr="00FE1A0D">
        <w:rPr>
          <w:rFonts w:ascii="Times New Roman" w:hAnsi="Times New Roman" w:cs="Times New Roman"/>
          <w:color w:val="000000" w:themeColor="text1"/>
          <w:sz w:val="28"/>
          <w:szCs w:val="28"/>
        </w:rPr>
        <w:fldChar w:fldCharType="end"/>
      </w:r>
      <w:r w:rsidRPr="00FE1A0D">
        <w:rPr>
          <w:rFonts w:ascii="Times New Roman" w:hAnsi="Times New Roman" w:cs="Times New Roman"/>
          <w:color w:val="000000" w:themeColor="text1"/>
          <w:sz w:val="28"/>
          <w:szCs w:val="28"/>
        </w:rPr>
        <w:t xml:space="preserve">. Though the defendant argued that he did not have a legal duty to care for his mother, the court ruled that his omission resulted in a foreseeable risk of harm and was therefore punishable under the law. </w:t>
      </w:r>
      <w:r w:rsidR="001F2AFB" w:rsidRPr="001F2AFB">
        <w:rPr>
          <w:rFonts w:ascii="Times New Roman" w:hAnsi="Times New Roman" w:cs="Times New Roman"/>
          <w:color w:val="000000" w:themeColor="text1"/>
          <w:sz w:val="28"/>
          <w:szCs w:val="28"/>
        </w:rPr>
        <w:t xml:space="preserve">In the 2004 case of Hood v. R, the Court of Appeal upheld that criminal liability would be upheld for an omission that caused a foreseeable risk of harm. The defendant had failed to provide adequate care for his elderly mother, resulting in her death from bedsores and malnutrition </w:t>
      </w:r>
      <w:r w:rsidR="001F2AFB" w:rsidRPr="001F2AFB">
        <w:rPr>
          <w:rFonts w:ascii="Times New Roman" w:hAnsi="Times New Roman" w:cs="Times New Roman"/>
          <w:color w:val="000000" w:themeColor="text1"/>
          <w:sz w:val="28"/>
          <w:szCs w:val="28"/>
        </w:rPr>
        <w:fldChar w:fldCharType="begin"/>
      </w:r>
      <w:r w:rsidR="001F2AFB" w:rsidRPr="001F2AFB">
        <w:rPr>
          <w:rFonts w:ascii="Times New Roman" w:hAnsi="Times New Roman" w:cs="Times New Roman"/>
          <w:color w:val="000000" w:themeColor="text1"/>
          <w:sz w:val="28"/>
          <w:szCs w:val="28"/>
        </w:rPr>
        <w:instrText xml:space="preserve"> ADDIN ZOTERO_ITEM CSL_CITATION {"citationID":"QufviGJ0","properties":{"formattedCitation":"(CAP, 2022b)","plainCitation":"(CAP, 2022b)","noteIndex":0},"citationItems":[{"id":"dRzzehS6/w0IeJ8WM","uris":["http://zotero.org/users/local/qMPzaMeD/items/JQ9MPAXA"],"itemData":{"id":650,"type":"webpage","abstract":"Full text of Hood v. Pennsylvania R. R., 59 Pa. D. &amp; C. 185 (1947) from the Caselaw Access Project.","language":"en","title":"Hood v. Pennsylvania R. R., 59 Pa. D. &amp; C. 185 (1947) | Caselaw Access Project","URL":"https://cite.case.law/pa-d-c/59/185/","author":[{"family":"CAP","given":""}],"accessed":{"date-parts":[["2022",11,9]]},"issued":{"date-parts":[["2022"]]}}}],"schema":"https://github.com/citation-style-language/schema/raw/master/csl-citation.json"} </w:instrText>
      </w:r>
      <w:r w:rsidR="001F2AFB" w:rsidRPr="001F2AFB">
        <w:rPr>
          <w:rFonts w:ascii="Times New Roman" w:hAnsi="Times New Roman" w:cs="Times New Roman"/>
          <w:color w:val="000000" w:themeColor="text1"/>
          <w:sz w:val="28"/>
          <w:szCs w:val="28"/>
        </w:rPr>
        <w:fldChar w:fldCharType="separate"/>
      </w:r>
      <w:r w:rsidR="001F2AFB" w:rsidRPr="001F2AFB">
        <w:rPr>
          <w:rFonts w:ascii="Times New Roman" w:hAnsi="Times New Roman" w:cs="Times New Roman"/>
          <w:color w:val="000000" w:themeColor="text1"/>
          <w:sz w:val="28"/>
          <w:szCs w:val="28"/>
        </w:rPr>
        <w:t>(CAP, 2022b)</w:t>
      </w:r>
      <w:r w:rsidR="001F2AFB" w:rsidRPr="001F2AFB">
        <w:rPr>
          <w:rFonts w:ascii="Times New Roman" w:hAnsi="Times New Roman" w:cs="Times New Roman"/>
          <w:color w:val="000000" w:themeColor="text1"/>
          <w:sz w:val="28"/>
          <w:szCs w:val="28"/>
        </w:rPr>
        <w:fldChar w:fldCharType="end"/>
      </w:r>
      <w:r w:rsidR="001F2AFB" w:rsidRPr="001F2AFB">
        <w:rPr>
          <w:rFonts w:ascii="Times New Roman" w:hAnsi="Times New Roman" w:cs="Times New Roman"/>
          <w:color w:val="000000" w:themeColor="text1"/>
          <w:sz w:val="28"/>
          <w:szCs w:val="28"/>
        </w:rPr>
        <w:t xml:space="preserve">. Though the defendant argued that he did not have a legal duty to care for his mother, the court ruled that his omission resulted in a foreseeable risk of harm and was therefore punishable under the law. </w:t>
      </w:r>
      <w:r w:rsidR="00642420" w:rsidRPr="00415C63">
        <w:rPr>
          <w:rFonts w:ascii="Times New Roman" w:hAnsi="Times New Roman" w:cs="Times New Roman"/>
          <w:color w:val="000000" w:themeColor="text1"/>
          <w:sz w:val="28"/>
          <w:szCs w:val="28"/>
        </w:rPr>
        <w:t>This case demonstrates the principle that when an omission causes a foreseeable risk of harm, criminal liability will be upheld. However, not all omissions that cause harm will necessarily lead to criminal responsibility; some may depend on whether there is a previously established legal duty, as was debated in this case. It is ultimately up to judges and juries to determine which omissions warrant criminal liability based on foreseeability and any relevant legal duties.</w:t>
      </w:r>
    </w:p>
    <w:p w14:paraId="1F7CB706" w14:textId="77777777" w:rsidR="00415C63" w:rsidRPr="00415C63" w:rsidRDefault="00415C63" w:rsidP="00FC0DA6">
      <w:pPr>
        <w:pStyle w:val="Heading2"/>
        <w:spacing w:line="360" w:lineRule="auto"/>
        <w:rPr>
          <w:rFonts w:ascii="Times New Roman" w:hAnsi="Times New Roman" w:cs="Times New Roman"/>
          <w:color w:val="000000" w:themeColor="text1"/>
          <w:sz w:val="28"/>
          <w:szCs w:val="28"/>
        </w:rPr>
      </w:pPr>
      <w:r w:rsidRPr="00415C63">
        <w:rPr>
          <w:rFonts w:ascii="Times New Roman" w:hAnsi="Times New Roman" w:cs="Times New Roman"/>
          <w:color w:val="000000" w:themeColor="text1"/>
          <w:sz w:val="28"/>
          <w:szCs w:val="28"/>
        </w:rPr>
        <w:lastRenderedPageBreak/>
        <w:t xml:space="preserve">The principle outlined in Airedale NHS Trust v Bland [1993] was that criminal liability can be upheld when there is a foreseeable risk of harm caused by omission. This principle was applied in the case when removing feeding tubes from Tony Bland, an unconscious patient in a persistent vegetative state was considered to be not unlawful as it could be argued that there was no foreseeable risk of harm </w:t>
      </w:r>
      <w:r w:rsidRPr="00415C63">
        <w:rPr>
          <w:rFonts w:ascii="Times New Roman" w:hAnsi="Times New Roman" w:cs="Times New Roman"/>
          <w:color w:val="000000" w:themeColor="text1"/>
          <w:sz w:val="28"/>
          <w:szCs w:val="28"/>
        </w:rPr>
        <w:fldChar w:fldCharType="begin"/>
      </w:r>
      <w:r w:rsidRPr="00415C63">
        <w:rPr>
          <w:rFonts w:ascii="Times New Roman" w:hAnsi="Times New Roman" w:cs="Times New Roman"/>
          <w:color w:val="000000" w:themeColor="text1"/>
          <w:sz w:val="28"/>
          <w:szCs w:val="28"/>
        </w:rPr>
        <w:instrText xml:space="preserve"> ADDIN ZOTERO_ITEM CSL_CITATION {"citationID":"3pS7y9uQ","properties":{"formattedCitation":"(CAP, 2022c)","plainCitation":"(CAP, 2022c)","noteIndex":0},"citationItems":[{"id":"dRzzehS6/59M8BhAS","uris":["http://zotero.org/users/local/qMPzaMeD/items/Q64T9GEW"],"itemData":{"id":652,"type":"webpage","title":"Vacco v. Quill, 521 U.S. 793, 138 L. Ed. 2d 834, 117 S. Ct. 2293 (1997) | Caselaw Access Project","URL":"https://cite.case.law/us/521/793/","author":[{"family":"CAP","given":""}],"accessed":{"date-parts":[["2022",11,9]]},"issued":{"date-parts":[["2022"]]}}}],"schema":"https://github.com/citation-style-language/schema/raw/master/csl-citation.json"} </w:instrText>
      </w:r>
      <w:r w:rsidRPr="00415C63">
        <w:rPr>
          <w:rFonts w:ascii="Times New Roman" w:hAnsi="Times New Roman" w:cs="Times New Roman"/>
          <w:color w:val="000000" w:themeColor="text1"/>
          <w:sz w:val="28"/>
          <w:szCs w:val="28"/>
        </w:rPr>
        <w:fldChar w:fldCharType="separate"/>
      </w:r>
      <w:r w:rsidRPr="00415C63">
        <w:rPr>
          <w:rFonts w:ascii="Times New Roman" w:hAnsi="Times New Roman" w:cs="Times New Roman"/>
          <w:color w:val="000000" w:themeColor="text1"/>
          <w:sz w:val="28"/>
          <w:szCs w:val="28"/>
        </w:rPr>
        <w:t>(CAP, 2022c)</w:t>
      </w:r>
      <w:r w:rsidRPr="00415C63">
        <w:rPr>
          <w:rFonts w:ascii="Times New Roman" w:hAnsi="Times New Roman" w:cs="Times New Roman"/>
          <w:color w:val="000000" w:themeColor="text1"/>
          <w:sz w:val="28"/>
          <w:szCs w:val="28"/>
        </w:rPr>
        <w:fldChar w:fldCharType="end"/>
      </w:r>
      <w:r w:rsidRPr="00415C63">
        <w:rPr>
          <w:rFonts w:ascii="Times New Roman" w:hAnsi="Times New Roman" w:cs="Times New Roman"/>
          <w:color w:val="000000" w:themeColor="text1"/>
          <w:sz w:val="28"/>
          <w:szCs w:val="28"/>
        </w:rPr>
        <w:t xml:space="preserve">. However, this principle has also been applied in cases where omitting to act resulted in foreseeable harm, such as Birch v United Kingdom [2000], where a father's failure to seek medical attention for his daughter resulted in her death and the upholding of his conviction for manslaughter. Overall, while foreseeability of harm may not always be a clear-cut aspect in determining criminal liability for an omission, it remains a crucial factor to consider.  </w:t>
      </w:r>
    </w:p>
    <w:p w14:paraId="351F787F" w14:textId="77777777" w:rsidR="00551219" w:rsidRPr="00551219" w:rsidRDefault="00415C63" w:rsidP="00FC0DA6">
      <w:pPr>
        <w:pStyle w:val="Heading2"/>
        <w:spacing w:line="360" w:lineRule="auto"/>
        <w:rPr>
          <w:rFonts w:ascii="Times New Roman" w:hAnsi="Times New Roman" w:cs="Times New Roman"/>
          <w:color w:val="000000" w:themeColor="text1"/>
          <w:sz w:val="28"/>
          <w:szCs w:val="28"/>
        </w:rPr>
      </w:pPr>
      <w:r w:rsidRPr="00551219">
        <w:rPr>
          <w:rFonts w:ascii="Times New Roman" w:hAnsi="Times New Roman" w:cs="Times New Roman"/>
          <w:color w:val="000000" w:themeColor="text1"/>
          <w:sz w:val="28"/>
          <w:szCs w:val="28"/>
        </w:rPr>
        <w:t xml:space="preserve">In the UK legal system, Instant [1893] established that criminal liability can be upheld for an omission if it caused a foreseeable risk of harm. This landmark case involved a servant failing to extinguish a light, ultimately causing a </w:t>
      </w:r>
      <w:proofErr w:type="spellStart"/>
      <w:r w:rsidRPr="00551219">
        <w:rPr>
          <w:rFonts w:ascii="Times New Roman" w:hAnsi="Times New Roman" w:cs="Times New Roman"/>
          <w:color w:val="000000" w:themeColor="text1"/>
          <w:sz w:val="28"/>
          <w:szCs w:val="28"/>
        </w:rPr>
        <w:t>neighboring</w:t>
      </w:r>
      <w:proofErr w:type="spellEnd"/>
      <w:r w:rsidRPr="00551219">
        <w:rPr>
          <w:rFonts w:ascii="Times New Roman" w:hAnsi="Times New Roman" w:cs="Times New Roman"/>
          <w:color w:val="000000" w:themeColor="text1"/>
          <w:sz w:val="28"/>
          <w:szCs w:val="28"/>
        </w:rPr>
        <w:t xml:space="preserve"> building to catch fire. The court ruled that the defendant's failure to act constituted an actus reus, as they were aware of the risk and had a duty to prevent it. This precedent has since been applied in numerous situations where individuals fail to meet their obligations, and the resulting harm could have reasonably been anticipated. However, it is important to note</w:t>
      </w:r>
      <w:r w:rsidR="00551219" w:rsidRPr="00551219">
        <w:rPr>
          <w:rFonts w:ascii="Times New Roman" w:hAnsi="Times New Roman" w:cs="Times New Roman"/>
          <w:color w:val="000000" w:themeColor="text1"/>
          <w:sz w:val="28"/>
          <w:szCs w:val="28"/>
        </w:rPr>
        <w:t xml:space="preserve"> that there must also be an element of men’s rea, or intent, for liability to apply. Simply being unaware of the consequences is not enough to incur punishment. Overall, UK law upholds criminal liability for omissions where harm was foreseen and preventable.</w:t>
      </w:r>
    </w:p>
    <w:p w14:paraId="135E8239" w14:textId="77777777" w:rsidR="00551219" w:rsidRPr="00551219" w:rsidRDefault="00551219" w:rsidP="00FC0DA6">
      <w:pPr>
        <w:pStyle w:val="Heading2"/>
        <w:spacing w:line="360" w:lineRule="auto"/>
        <w:rPr>
          <w:rFonts w:ascii="Times New Roman" w:hAnsi="Times New Roman" w:cs="Times New Roman"/>
          <w:color w:val="000000" w:themeColor="text1"/>
          <w:sz w:val="28"/>
          <w:szCs w:val="28"/>
        </w:rPr>
      </w:pPr>
      <w:r w:rsidRPr="00551219">
        <w:rPr>
          <w:rFonts w:ascii="Times New Roman" w:hAnsi="Times New Roman" w:cs="Times New Roman"/>
          <w:color w:val="000000" w:themeColor="text1"/>
          <w:sz w:val="28"/>
          <w:szCs w:val="28"/>
        </w:rPr>
        <w:lastRenderedPageBreak/>
        <w:t xml:space="preserve">In the UK case of DPP v K (a Minor), the defendant's omission to act was found to violate a duty, and therefore criminal liability was upheld. The defendant, who was a care worker at a home for disabled individuals, failed to adequately assist one of the residents after she began to choke on her food </w:t>
      </w:r>
      <w:r w:rsidRPr="00551219">
        <w:rPr>
          <w:rFonts w:ascii="Times New Roman" w:hAnsi="Times New Roman" w:cs="Times New Roman"/>
          <w:color w:val="000000" w:themeColor="text1"/>
          <w:sz w:val="28"/>
          <w:szCs w:val="28"/>
        </w:rPr>
        <w:fldChar w:fldCharType="begin"/>
      </w:r>
      <w:r w:rsidRPr="00551219">
        <w:rPr>
          <w:rFonts w:ascii="Times New Roman" w:hAnsi="Times New Roman" w:cs="Times New Roman"/>
          <w:color w:val="000000" w:themeColor="text1"/>
          <w:sz w:val="28"/>
          <w:szCs w:val="28"/>
        </w:rPr>
        <w:instrText xml:space="preserve"> ADDIN ZOTERO_ITEM CSL_CITATION {"citationID":"8yaVaLCE","properties":{"formattedCitation":"(CAP, 2022d)","plainCitation":"(CAP, 2022d)","noteIndex":0},"citationItems":[{"id":"dRzzehS6/kOTrJLNy","uris":["http://zotero.org/users/local/qMPzaMeD/items/XGAZ96FD"],"itemData":{"id":644,"type":"webpage","abstract":"Full text of In re Keurig Green Mountain Single-Serve Coffee Antitrust Litig., 383 F. Supp. 3d 187 (2019) from the Caselaw Access Project.","language":"en","title":"In re Keurig Green Mountain Single-Serve Coffee Antitrust Litig., 383 F. Supp. 3d 187 (2019) | Caselaw Access Project","URL":"https://cite.case.law/f-supp-3d/383/187/","author":[{"family":"CAP","given":""}],"accessed":{"date-parts":[["2022",11,9]]},"issued":{"date-parts":[["2022"]]}}}],"schema":"https://github.com/citation-style-language/schema/raw/master/csl-citation.json"} </w:instrText>
      </w:r>
      <w:r w:rsidRPr="00551219">
        <w:rPr>
          <w:rFonts w:ascii="Times New Roman" w:hAnsi="Times New Roman" w:cs="Times New Roman"/>
          <w:color w:val="000000" w:themeColor="text1"/>
          <w:sz w:val="28"/>
          <w:szCs w:val="28"/>
        </w:rPr>
        <w:fldChar w:fldCharType="separate"/>
      </w:r>
      <w:r w:rsidRPr="00551219">
        <w:rPr>
          <w:rFonts w:ascii="Times New Roman" w:hAnsi="Times New Roman" w:cs="Times New Roman"/>
          <w:color w:val="000000" w:themeColor="text1"/>
          <w:sz w:val="28"/>
          <w:szCs w:val="28"/>
        </w:rPr>
        <w:t>(CAP, 2022d)</w:t>
      </w:r>
      <w:r w:rsidRPr="00551219">
        <w:rPr>
          <w:rFonts w:ascii="Times New Roman" w:hAnsi="Times New Roman" w:cs="Times New Roman"/>
          <w:color w:val="000000" w:themeColor="text1"/>
          <w:sz w:val="28"/>
          <w:szCs w:val="28"/>
        </w:rPr>
        <w:fldChar w:fldCharType="end"/>
      </w:r>
      <w:r w:rsidRPr="00551219">
        <w:rPr>
          <w:rFonts w:ascii="Times New Roman" w:hAnsi="Times New Roman" w:cs="Times New Roman"/>
          <w:color w:val="000000" w:themeColor="text1"/>
          <w:sz w:val="28"/>
          <w:szCs w:val="28"/>
        </w:rPr>
        <w:t>. The court determined that because the defendant had assumed responsibility for the resident's care and welfare, she had a duty to act and save the resident from harm. The fact that she did not take any action ultimately resulted in the resident's death. This case serves as an important reminder that omissions can lead to criminal liability when they violate a duty to act. UK law places value on fulfilling one's obligations and taking necessary measures to prevent harm to others, and this extends even to duties assumed in professional settings.  Thus, individuals in responsible positions must be aware of their duties and uphold them to avoid potential legal consequences.</w:t>
      </w:r>
    </w:p>
    <w:p w14:paraId="3DBBB18F" w14:textId="77777777" w:rsidR="00FC0DA6" w:rsidRPr="00FC0DA6" w:rsidRDefault="00551219" w:rsidP="00FC0DA6">
      <w:pPr>
        <w:pStyle w:val="Heading2"/>
        <w:spacing w:line="360" w:lineRule="auto"/>
        <w:rPr>
          <w:rFonts w:ascii="Times New Roman" w:hAnsi="Times New Roman" w:cs="Times New Roman"/>
          <w:color w:val="000000" w:themeColor="text1"/>
          <w:sz w:val="28"/>
          <w:szCs w:val="28"/>
        </w:rPr>
      </w:pPr>
      <w:r w:rsidRPr="00FC0DA6">
        <w:rPr>
          <w:rFonts w:ascii="Times New Roman" w:hAnsi="Times New Roman" w:cs="Times New Roman"/>
          <w:color w:val="000000" w:themeColor="text1"/>
          <w:sz w:val="28"/>
          <w:szCs w:val="28"/>
        </w:rPr>
        <w:t xml:space="preserve">In the UK case of Evans [2009], the court ruled that criminal liability can be upheld for the omission of an action if there is a duty to act. In this particular instance, the defendant had been appointed as a company director and had a duty to protect investors from fraudulent activity </w:t>
      </w:r>
      <w:r w:rsidRPr="00FC0DA6">
        <w:rPr>
          <w:rFonts w:ascii="Times New Roman" w:hAnsi="Times New Roman" w:cs="Times New Roman"/>
          <w:color w:val="000000" w:themeColor="text1"/>
          <w:sz w:val="28"/>
          <w:szCs w:val="28"/>
        </w:rPr>
        <w:fldChar w:fldCharType="begin"/>
      </w:r>
      <w:r w:rsidRPr="00FC0DA6">
        <w:rPr>
          <w:rFonts w:ascii="Times New Roman" w:hAnsi="Times New Roman" w:cs="Times New Roman"/>
          <w:color w:val="000000" w:themeColor="text1"/>
          <w:sz w:val="28"/>
          <w:szCs w:val="28"/>
        </w:rPr>
        <w:instrText xml:space="preserve"> ADDIN ZOTERO_ITEM CSL_CITATION {"citationID":"bVmDkLjj","properties":{"formattedCitation":"(CAP, 2022e)","plainCitation":"(CAP, 2022e)","noteIndex":0},"citationItems":[{"id":"dRzzehS6/DYNjy6TJ","uris":["http://zotero.org/users/local/qMPzaMeD/items/MLI3R9SB"],"itemData":{"id":646,"type":"webpage","abstract":"Full text of Evans v. Hampton Inn, 9 So. 3d 133 (2009) from the Caselaw Access Project.","language":"en","title":"Evans v. Hampton Inn, 9 So. 3d 133 (2009) | Caselaw Access Project","URL":"https://cite.case.law/so-3d/9/133/7055687/","author":[{"family":"CAP","given":""}],"accessed":{"date-parts":[["2022",11,9]]},"issued":{"date-parts":[["2022"]]}}}],"schema":"https://github.com/citation-style-language/schema/raw/master/csl-citation.json"} </w:instrText>
      </w:r>
      <w:r w:rsidRPr="00FC0DA6">
        <w:rPr>
          <w:rFonts w:ascii="Times New Roman" w:hAnsi="Times New Roman" w:cs="Times New Roman"/>
          <w:color w:val="000000" w:themeColor="text1"/>
          <w:sz w:val="28"/>
          <w:szCs w:val="28"/>
        </w:rPr>
        <w:fldChar w:fldCharType="separate"/>
      </w:r>
      <w:r w:rsidRPr="00FC0DA6">
        <w:rPr>
          <w:rFonts w:ascii="Times New Roman" w:hAnsi="Times New Roman" w:cs="Times New Roman"/>
          <w:color w:val="000000" w:themeColor="text1"/>
          <w:sz w:val="28"/>
          <w:szCs w:val="28"/>
        </w:rPr>
        <w:t>(CAP, 2022e)</w:t>
      </w:r>
      <w:r w:rsidRPr="00FC0DA6">
        <w:rPr>
          <w:rFonts w:ascii="Times New Roman" w:hAnsi="Times New Roman" w:cs="Times New Roman"/>
          <w:color w:val="000000" w:themeColor="text1"/>
          <w:sz w:val="28"/>
          <w:szCs w:val="28"/>
        </w:rPr>
        <w:fldChar w:fldCharType="end"/>
      </w:r>
      <w:r w:rsidRPr="00FC0DA6">
        <w:rPr>
          <w:rFonts w:ascii="Times New Roman" w:hAnsi="Times New Roman" w:cs="Times New Roman"/>
          <w:color w:val="000000" w:themeColor="text1"/>
          <w:sz w:val="28"/>
          <w:szCs w:val="28"/>
        </w:rPr>
        <w:t>. By failing to prevent such activity, he was found guilty of criminal negligence. This decision reinforces the common law principle that individuals cannot be held liable for failure to act unless they have a legal or moral duty to do so. At the same time, it acts as a reminder that individuals in positions of power or trust have a duty not only to act in good faith but also to take</w:t>
      </w:r>
      <w:r w:rsidR="00FC0DA6" w:rsidRPr="00FC0DA6">
        <w:rPr>
          <w:rFonts w:ascii="Times New Roman" w:hAnsi="Times New Roman" w:cs="Times New Roman"/>
          <w:color w:val="000000" w:themeColor="text1"/>
          <w:sz w:val="28"/>
          <w:szCs w:val="28"/>
        </w:rPr>
        <w:t xml:space="preserve"> appropriate measures to prevent harm. Overall, the ruling in Evans [2009] serves as a crucial precedent for upholding criminal liability in cases of duty-based omissions.</w:t>
      </w:r>
    </w:p>
    <w:p w14:paraId="64978F51" w14:textId="73A826D6" w:rsidR="00FC0DA6" w:rsidRDefault="00FC0DA6" w:rsidP="00FC0DA6">
      <w:pPr>
        <w:pStyle w:val="Heading2"/>
        <w:spacing w:line="360" w:lineRule="auto"/>
        <w:rPr>
          <w:rFonts w:ascii="Times New Roman" w:hAnsi="Times New Roman" w:cs="Times New Roman"/>
          <w:color w:val="000000" w:themeColor="text1"/>
          <w:sz w:val="28"/>
          <w:szCs w:val="28"/>
        </w:rPr>
      </w:pPr>
      <w:r w:rsidRPr="00FC0DA6">
        <w:rPr>
          <w:rFonts w:ascii="Times New Roman" w:hAnsi="Times New Roman" w:cs="Times New Roman"/>
          <w:color w:val="000000" w:themeColor="text1"/>
          <w:sz w:val="28"/>
          <w:szCs w:val="28"/>
        </w:rPr>
        <w:lastRenderedPageBreak/>
        <w:t xml:space="preserve">In conclusion, the case law in the UK regarding omission and criminal liability is clear: if harm was intended or foreseeable, or if there was a duty to act, the omission will be treated as </w:t>
      </w:r>
      <w:proofErr w:type="gramStart"/>
      <w:r w:rsidRPr="00FC0DA6">
        <w:rPr>
          <w:rFonts w:ascii="Times New Roman" w:hAnsi="Times New Roman" w:cs="Times New Roman"/>
          <w:color w:val="000000" w:themeColor="text1"/>
          <w:sz w:val="28"/>
          <w:szCs w:val="28"/>
        </w:rPr>
        <w:t>culpable</w:t>
      </w:r>
      <w:proofErr w:type="gramEnd"/>
      <w:r w:rsidRPr="00FC0DA6">
        <w:rPr>
          <w:rFonts w:ascii="Times New Roman" w:hAnsi="Times New Roman" w:cs="Times New Roman"/>
          <w:color w:val="000000" w:themeColor="text1"/>
          <w:sz w:val="28"/>
          <w:szCs w:val="28"/>
        </w:rPr>
        <w:t xml:space="preserve"> and the individual may face criminal responsibility. Thus, individuals must carefully consider their actions (or lack thereof) and their potential consequences to avoid liability for omission. However, it should also be noted that certain exemptions apply in certain cases, such as when a person cannot physically act to prevent harm due to physical disability. In the above-mentioned scenario, </w:t>
      </w:r>
      <w:proofErr w:type="gramStart"/>
      <w:r w:rsidRPr="00FC0DA6">
        <w:rPr>
          <w:rFonts w:ascii="Times New Roman" w:hAnsi="Times New Roman" w:cs="Times New Roman"/>
          <w:color w:val="000000" w:themeColor="text1"/>
          <w:sz w:val="28"/>
          <w:szCs w:val="28"/>
        </w:rPr>
        <w:t>it is clear that all</w:t>
      </w:r>
      <w:proofErr w:type="gramEnd"/>
      <w:r w:rsidRPr="00FC0DA6">
        <w:rPr>
          <w:rFonts w:ascii="Times New Roman" w:hAnsi="Times New Roman" w:cs="Times New Roman"/>
          <w:color w:val="000000" w:themeColor="text1"/>
          <w:sz w:val="28"/>
          <w:szCs w:val="28"/>
        </w:rPr>
        <w:t xml:space="preserve"> three conditions for criminal liability were met: intent to harm, foreseeable risk of harm, and violation of a duty to act. Thus, precedents indicate that omission can indeed result in criminal liability under certain circumstances. This understanding is crucial for both legal professionals and individuals navigating the UK justice system. Overall, understanding the legal implications of omission is crucial for making informed decisions and avoiding criminal liability.</w:t>
      </w:r>
    </w:p>
    <w:p w14:paraId="14E6C5DF" w14:textId="7441C5AA" w:rsidR="0034709C" w:rsidRDefault="0034709C" w:rsidP="0034709C"/>
    <w:p w14:paraId="1A48F9CE" w14:textId="7CA40ECD" w:rsidR="0034709C" w:rsidRDefault="0034709C" w:rsidP="0034709C"/>
    <w:p w14:paraId="3CD8CCCD" w14:textId="6435B7E7" w:rsidR="0034709C" w:rsidRDefault="0034709C" w:rsidP="0034709C"/>
    <w:p w14:paraId="7BDCF42D" w14:textId="66906BB0" w:rsidR="0034709C" w:rsidRDefault="0034709C" w:rsidP="0034709C"/>
    <w:p w14:paraId="5E705004" w14:textId="77777777" w:rsidR="00642420" w:rsidRDefault="00642420" w:rsidP="0034709C">
      <w:pPr>
        <w:pStyle w:val="Heading2"/>
        <w:rPr>
          <w:color w:val="000000" w:themeColor="text1"/>
        </w:rPr>
      </w:pPr>
    </w:p>
    <w:p w14:paraId="2FFDDDE7" w14:textId="77777777" w:rsidR="00642420" w:rsidRDefault="00642420" w:rsidP="0034709C">
      <w:pPr>
        <w:pStyle w:val="Heading2"/>
        <w:rPr>
          <w:color w:val="000000" w:themeColor="text1"/>
        </w:rPr>
      </w:pPr>
    </w:p>
    <w:p w14:paraId="00B0D0A4" w14:textId="77777777" w:rsidR="00642420" w:rsidRDefault="00642420" w:rsidP="0034709C">
      <w:pPr>
        <w:pStyle w:val="Heading2"/>
        <w:rPr>
          <w:color w:val="000000" w:themeColor="text1"/>
        </w:rPr>
      </w:pPr>
    </w:p>
    <w:p w14:paraId="4430C9A4" w14:textId="77777777" w:rsidR="00642420" w:rsidRDefault="00642420" w:rsidP="0034709C">
      <w:pPr>
        <w:pStyle w:val="Heading2"/>
        <w:rPr>
          <w:color w:val="000000" w:themeColor="text1"/>
        </w:rPr>
      </w:pPr>
    </w:p>
    <w:p w14:paraId="08C634FB" w14:textId="77777777" w:rsidR="00642420" w:rsidRDefault="00642420" w:rsidP="0034709C">
      <w:pPr>
        <w:pStyle w:val="Heading2"/>
        <w:rPr>
          <w:color w:val="000000" w:themeColor="text1"/>
        </w:rPr>
      </w:pPr>
    </w:p>
    <w:p w14:paraId="783EC9D7" w14:textId="77777777" w:rsidR="00642420" w:rsidRDefault="00642420" w:rsidP="0034709C">
      <w:pPr>
        <w:pStyle w:val="Heading2"/>
        <w:rPr>
          <w:color w:val="000000" w:themeColor="text1"/>
        </w:rPr>
      </w:pPr>
    </w:p>
    <w:p w14:paraId="696A69C2" w14:textId="77777777" w:rsidR="00642420" w:rsidRDefault="00642420" w:rsidP="0034709C">
      <w:pPr>
        <w:pStyle w:val="Heading2"/>
        <w:rPr>
          <w:color w:val="000000" w:themeColor="text1"/>
        </w:rPr>
      </w:pPr>
    </w:p>
    <w:p w14:paraId="5F86A9E9" w14:textId="77777777" w:rsidR="00642420" w:rsidRDefault="00642420" w:rsidP="0034709C">
      <w:pPr>
        <w:pStyle w:val="Heading2"/>
        <w:rPr>
          <w:color w:val="000000" w:themeColor="text1"/>
        </w:rPr>
      </w:pPr>
    </w:p>
    <w:p w14:paraId="1A3E701A" w14:textId="77777777" w:rsidR="00642420" w:rsidRDefault="00642420" w:rsidP="0034709C">
      <w:pPr>
        <w:pStyle w:val="Heading2"/>
        <w:rPr>
          <w:color w:val="000000" w:themeColor="text1"/>
        </w:rPr>
      </w:pPr>
    </w:p>
    <w:p w14:paraId="2D2C5880" w14:textId="77777777" w:rsidR="00642420" w:rsidRDefault="00642420" w:rsidP="0034709C">
      <w:pPr>
        <w:pStyle w:val="Heading2"/>
        <w:rPr>
          <w:color w:val="000000" w:themeColor="text1"/>
        </w:rPr>
      </w:pPr>
    </w:p>
    <w:p w14:paraId="0FC4E8AD" w14:textId="77777777" w:rsidR="00642420" w:rsidRDefault="00642420" w:rsidP="0034709C">
      <w:pPr>
        <w:pStyle w:val="Heading2"/>
        <w:rPr>
          <w:color w:val="000000" w:themeColor="text1"/>
        </w:rPr>
      </w:pPr>
    </w:p>
    <w:p w14:paraId="0212BA74" w14:textId="1261C98A" w:rsidR="0034709C" w:rsidRDefault="0034709C" w:rsidP="0034709C">
      <w:pPr>
        <w:pStyle w:val="Heading2"/>
        <w:rPr>
          <w:color w:val="000000" w:themeColor="text1"/>
        </w:rPr>
      </w:pPr>
    </w:p>
    <w:p w14:paraId="3BF347DF" w14:textId="77777777" w:rsidR="0034709C" w:rsidRPr="0034709C" w:rsidRDefault="0034709C" w:rsidP="0034709C"/>
    <w:p w14:paraId="01F8BECC" w14:textId="77777777" w:rsidR="00642420" w:rsidRDefault="00642420" w:rsidP="0034709C">
      <w:pPr>
        <w:pStyle w:val="Bibliography"/>
        <w:spacing w:line="480" w:lineRule="auto"/>
        <w:rPr>
          <w:color w:val="000000" w:themeColor="text1"/>
        </w:rPr>
      </w:pPr>
    </w:p>
    <w:p w14:paraId="1B215AC9" w14:textId="77777777" w:rsidR="00642420" w:rsidRPr="00642420" w:rsidRDefault="00642420" w:rsidP="0034709C">
      <w:pPr>
        <w:pStyle w:val="Bibliography"/>
        <w:spacing w:line="480" w:lineRule="auto"/>
        <w:rPr>
          <w:rFonts w:ascii="Times New Roman" w:hAnsi="Times New Roman" w:cs="Times New Roman"/>
          <w:color w:val="000000" w:themeColor="text1"/>
          <w:sz w:val="32"/>
          <w:szCs w:val="32"/>
        </w:rPr>
      </w:pPr>
      <w:r w:rsidRPr="00642420">
        <w:rPr>
          <w:rFonts w:ascii="Times New Roman" w:hAnsi="Times New Roman" w:cs="Times New Roman"/>
          <w:color w:val="000000" w:themeColor="text1"/>
          <w:sz w:val="32"/>
          <w:szCs w:val="32"/>
        </w:rPr>
        <w:lastRenderedPageBreak/>
        <w:t>References</w:t>
      </w:r>
    </w:p>
    <w:p w14:paraId="2387A572" w14:textId="0ADB538F" w:rsidR="0034709C" w:rsidRPr="00642420" w:rsidRDefault="0034709C" w:rsidP="00642420">
      <w:pPr>
        <w:pStyle w:val="Heading2"/>
        <w:spacing w:line="360" w:lineRule="auto"/>
        <w:rPr>
          <w:rFonts w:ascii="Times New Roman" w:hAnsi="Times New Roman" w:cs="Times New Roman"/>
          <w:color w:val="000000" w:themeColor="text1"/>
          <w:sz w:val="24"/>
          <w:szCs w:val="24"/>
        </w:rPr>
      </w:pPr>
      <w:r>
        <w:rPr>
          <w:color w:val="000000" w:themeColor="text1"/>
        </w:rPr>
        <w:t xml:space="preserve"> </w:t>
      </w:r>
      <w:r w:rsidRPr="00642420">
        <w:rPr>
          <w:rFonts w:ascii="Times New Roman" w:hAnsi="Times New Roman" w:cs="Times New Roman"/>
          <w:color w:val="000000" w:themeColor="text1"/>
          <w:sz w:val="24"/>
          <w:szCs w:val="24"/>
        </w:rPr>
        <w:fldChar w:fldCharType="begin"/>
      </w:r>
      <w:r w:rsidRPr="00642420">
        <w:rPr>
          <w:rFonts w:ascii="Times New Roman" w:hAnsi="Times New Roman" w:cs="Times New Roman"/>
          <w:color w:val="000000" w:themeColor="text1"/>
          <w:sz w:val="24"/>
          <w:szCs w:val="24"/>
        </w:rPr>
        <w:instrText xml:space="preserve"> ADDIN ZOTERO_BIBL {"uncited":[],"omitted":[],"custom":[]} CSL_BIBLIOGRAPHY </w:instrText>
      </w:r>
      <w:r w:rsidRPr="00642420">
        <w:rPr>
          <w:rFonts w:ascii="Times New Roman" w:hAnsi="Times New Roman" w:cs="Times New Roman"/>
          <w:color w:val="000000" w:themeColor="text1"/>
          <w:sz w:val="24"/>
          <w:szCs w:val="24"/>
        </w:rPr>
        <w:fldChar w:fldCharType="separate"/>
      </w:r>
      <w:r w:rsidRPr="00642420">
        <w:rPr>
          <w:rFonts w:ascii="Times New Roman" w:hAnsi="Times New Roman" w:cs="Times New Roman"/>
          <w:color w:val="000000" w:themeColor="text1"/>
          <w:sz w:val="24"/>
          <w:szCs w:val="24"/>
        </w:rPr>
        <w:t xml:space="preserve">Abdul Hadi, K.A., Paino, H., 2016. Legal perspectives to wards forgery, </w:t>
      </w:r>
      <w:proofErr w:type="gramStart"/>
      <w:r w:rsidRPr="00642420">
        <w:rPr>
          <w:rFonts w:ascii="Times New Roman" w:hAnsi="Times New Roman" w:cs="Times New Roman"/>
          <w:color w:val="000000" w:themeColor="text1"/>
          <w:sz w:val="24"/>
          <w:szCs w:val="24"/>
        </w:rPr>
        <w:t>fraud</w:t>
      </w:r>
      <w:proofErr w:type="gramEnd"/>
      <w:r w:rsidRPr="00642420">
        <w:rPr>
          <w:rFonts w:ascii="Times New Roman" w:hAnsi="Times New Roman" w:cs="Times New Roman"/>
          <w:color w:val="000000" w:themeColor="text1"/>
          <w:sz w:val="24"/>
          <w:szCs w:val="24"/>
        </w:rPr>
        <w:t xml:space="preserve"> and falsification of documents: recent development. Management &amp; Accounting Review (MAR) 15, 1–17.</w:t>
      </w:r>
    </w:p>
    <w:p w14:paraId="25E2CDD3"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CAP, 2022a. Myers v. Eich, 720 N.W.2d 76, 2006 SD 69 (2006) | Caselaw Access Project [WWW Document]. URL https://cite.case.law/nw2d/720/76/ (accessed 11.9.22).</w:t>
      </w:r>
    </w:p>
    <w:p w14:paraId="08FEE61B"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CAP, 2022b. Hood v. Pennsylvania R. R., 59 Pa. D. &amp; C. 185 (1947) | Caselaw Access Project [WWW Document]. URL https://cite.case.law/pa-d-c/59/185/ (accessed 11.9.22).</w:t>
      </w:r>
    </w:p>
    <w:p w14:paraId="35CE541B"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CAP, 2022c. Vacco v. Quill, 521 U.S. 793, 138 L. Ed. 2d 834, 117 S. Ct. 2293 (1997) | Caselaw Access Project [WWW Document]. URL https://cite.case.law/us/521/793/ (accessed 11.9.22).</w:t>
      </w:r>
    </w:p>
    <w:p w14:paraId="477D4F6C"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CAP, 2022d. In re Keurig Green Mountain Single-Serve Coffee Antitrust Litig., 383 F. Supp. 3d 187 (2019) | Caselaw Access Project [WWW Document]. URL https://cite.case.law/f-supp-3d/383/187/ (accessed 11.9.22).</w:t>
      </w:r>
    </w:p>
    <w:p w14:paraId="2D5CC43E"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CAP, 2022e. Evans v. Hampton Inn, 9 So. 3d 133 (2009) | Caselaw Access Project [WWW Document]. URL https://cite.case.law/so-3d/9/133/7055687/ (accessed 11.9.22).</w:t>
      </w:r>
    </w:p>
    <w:p w14:paraId="5AE1487A"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CAP, n.d. Poplar v. Bourjois, Inc., 298 N.Y. 62 (1948) | Caselaw Access Project [WWW Document]. URL https://cite.case.law/ny/298/62/ (accessed 11.11.22).</w:t>
      </w:r>
    </w:p>
    <w:p w14:paraId="0FA654E1" w14:textId="77777777" w:rsidR="0034709C" w:rsidRPr="00642420" w:rsidRDefault="0034709C" w:rsidP="00642420">
      <w:pPr>
        <w:pStyle w:val="Heading2"/>
        <w:spacing w:line="360" w:lineRule="auto"/>
        <w:rPr>
          <w:rFonts w:ascii="Times New Roman" w:hAnsi="Times New Roman" w:cs="Times New Roman"/>
          <w:color w:val="000000" w:themeColor="text1"/>
          <w:sz w:val="24"/>
          <w:szCs w:val="24"/>
        </w:rPr>
      </w:pPr>
      <w:r w:rsidRPr="00642420">
        <w:rPr>
          <w:rFonts w:ascii="Times New Roman" w:hAnsi="Times New Roman" w:cs="Times New Roman"/>
          <w:color w:val="000000" w:themeColor="text1"/>
          <w:sz w:val="24"/>
          <w:szCs w:val="24"/>
        </w:rPr>
        <w:t>Hall, D.E., 2022. Criminal law and procedure. Cengage Learning.</w:t>
      </w:r>
    </w:p>
    <w:p w14:paraId="7B12E612" w14:textId="77777777" w:rsidR="0034709C" w:rsidRPr="00C01912" w:rsidRDefault="0034709C" w:rsidP="00642420">
      <w:pPr>
        <w:pStyle w:val="Heading2"/>
        <w:spacing w:line="360" w:lineRule="auto"/>
      </w:pPr>
      <w:r w:rsidRPr="00642420">
        <w:rPr>
          <w:rFonts w:ascii="Times New Roman" w:hAnsi="Times New Roman" w:cs="Times New Roman"/>
          <w:color w:val="000000" w:themeColor="text1"/>
          <w:sz w:val="24"/>
          <w:szCs w:val="24"/>
        </w:rPr>
        <w:fldChar w:fldCharType="end"/>
      </w:r>
    </w:p>
    <w:p w14:paraId="4D803D31" w14:textId="77777777" w:rsidR="0034709C" w:rsidRPr="0034709C" w:rsidRDefault="0034709C" w:rsidP="0034709C"/>
    <w:p w14:paraId="419FB648" w14:textId="2562047F" w:rsidR="001F2AFB" w:rsidRPr="00551219" w:rsidRDefault="001F2AFB" w:rsidP="00551219">
      <w:pPr>
        <w:pStyle w:val="Heading2"/>
        <w:rPr>
          <w:rFonts w:ascii="Times New Roman" w:hAnsi="Times New Roman" w:cs="Times New Roman"/>
          <w:color w:val="000000" w:themeColor="text1"/>
          <w:sz w:val="28"/>
          <w:szCs w:val="28"/>
        </w:rPr>
      </w:pPr>
    </w:p>
    <w:p w14:paraId="15D873C8" w14:textId="5D56E8C4" w:rsidR="00032B0C" w:rsidRPr="008732DC" w:rsidRDefault="00032B0C" w:rsidP="008732DC">
      <w:pPr>
        <w:pStyle w:val="Heading2"/>
        <w:rPr>
          <w:rFonts w:ascii="Times New Roman" w:hAnsi="Times New Roman" w:cs="Times New Roman"/>
          <w:color w:val="000000" w:themeColor="text1"/>
          <w:sz w:val="28"/>
          <w:szCs w:val="28"/>
        </w:rPr>
      </w:pPr>
    </w:p>
    <w:sectPr w:rsidR="00032B0C" w:rsidRPr="008732DC" w:rsidSect="00CD1B0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2459B" w14:textId="77777777" w:rsidR="00FD0919" w:rsidRDefault="00FD0919" w:rsidP="00032B0C">
      <w:pPr>
        <w:spacing w:after="0" w:line="240" w:lineRule="auto"/>
      </w:pPr>
      <w:r>
        <w:separator/>
      </w:r>
    </w:p>
  </w:endnote>
  <w:endnote w:type="continuationSeparator" w:id="0">
    <w:p w14:paraId="43ECA18A" w14:textId="77777777" w:rsidR="00FD0919" w:rsidRDefault="00FD0919" w:rsidP="0003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E35BA" w14:textId="77777777" w:rsidR="00FD0919" w:rsidRDefault="00FD0919" w:rsidP="00032B0C">
      <w:pPr>
        <w:spacing w:after="0" w:line="240" w:lineRule="auto"/>
      </w:pPr>
      <w:r>
        <w:separator/>
      </w:r>
    </w:p>
  </w:footnote>
  <w:footnote w:type="continuationSeparator" w:id="0">
    <w:p w14:paraId="0D168B54" w14:textId="77777777" w:rsidR="00FD0919" w:rsidRDefault="00FD0919" w:rsidP="00032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6256A"/>
    <w:multiLevelType w:val="hybridMultilevel"/>
    <w:tmpl w:val="0C1E4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A323DA"/>
    <w:multiLevelType w:val="hybridMultilevel"/>
    <w:tmpl w:val="7CCC247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C3667BD"/>
    <w:multiLevelType w:val="hybridMultilevel"/>
    <w:tmpl w:val="211C7E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0606166">
    <w:abstractNumId w:val="0"/>
  </w:num>
  <w:num w:numId="2" w16cid:durableId="370232094">
    <w:abstractNumId w:val="2"/>
  </w:num>
  <w:num w:numId="3" w16cid:durableId="629944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9BE"/>
    <w:rsid w:val="00032B0C"/>
    <w:rsid w:val="00071C7A"/>
    <w:rsid w:val="0013241A"/>
    <w:rsid w:val="001F2AFB"/>
    <w:rsid w:val="002229BE"/>
    <w:rsid w:val="0034709C"/>
    <w:rsid w:val="003503FC"/>
    <w:rsid w:val="003E5A19"/>
    <w:rsid w:val="00415C63"/>
    <w:rsid w:val="00551219"/>
    <w:rsid w:val="005A7E62"/>
    <w:rsid w:val="005D0138"/>
    <w:rsid w:val="00642420"/>
    <w:rsid w:val="00697F10"/>
    <w:rsid w:val="008732DC"/>
    <w:rsid w:val="008F0685"/>
    <w:rsid w:val="00A411B6"/>
    <w:rsid w:val="00CD1B0D"/>
    <w:rsid w:val="00FC0DA6"/>
    <w:rsid w:val="00FD0919"/>
    <w:rsid w:val="00FE1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D4F2"/>
  <w15:chartTrackingRefBased/>
  <w15:docId w15:val="{AD34ED34-0815-4754-9A36-56FE95F89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B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2B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1B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1B0D"/>
    <w:rPr>
      <w:rFonts w:eastAsiaTheme="minorEastAsia"/>
      <w:lang w:val="en-US"/>
    </w:rPr>
  </w:style>
  <w:style w:type="paragraph" w:styleId="Header">
    <w:name w:val="header"/>
    <w:basedOn w:val="Normal"/>
    <w:link w:val="HeaderChar"/>
    <w:uiPriority w:val="99"/>
    <w:unhideWhenUsed/>
    <w:rsid w:val="00032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B0C"/>
  </w:style>
  <w:style w:type="paragraph" w:styleId="Footer">
    <w:name w:val="footer"/>
    <w:basedOn w:val="Normal"/>
    <w:link w:val="FooterChar"/>
    <w:uiPriority w:val="99"/>
    <w:unhideWhenUsed/>
    <w:rsid w:val="00032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B0C"/>
  </w:style>
  <w:style w:type="paragraph" w:styleId="Title">
    <w:name w:val="Title"/>
    <w:basedOn w:val="Normal"/>
    <w:next w:val="Normal"/>
    <w:link w:val="TitleChar"/>
    <w:qFormat/>
    <w:rsid w:val="00032B0C"/>
    <w:pPr>
      <w:tabs>
        <w:tab w:val="left" w:pos="4136"/>
      </w:tabs>
      <w:spacing w:after="0" w:line="480" w:lineRule="auto"/>
      <w:jc w:val="center"/>
    </w:pPr>
    <w:rPr>
      <w:rFonts w:ascii="Times New Roman" w:eastAsia="Times New Roman" w:hAnsi="Times New Roman" w:cs="Times New Roman"/>
      <w:sz w:val="24"/>
      <w:szCs w:val="24"/>
      <w:lang w:val="en-US"/>
    </w:rPr>
  </w:style>
  <w:style w:type="character" w:customStyle="1" w:styleId="TitleChar">
    <w:name w:val="Title Char"/>
    <w:basedOn w:val="DefaultParagraphFont"/>
    <w:link w:val="Title"/>
    <w:rsid w:val="00032B0C"/>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32B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2B0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semiHidden/>
    <w:unhideWhenUsed/>
    <w:rsid w:val="00347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3086</Words>
  <Characters>17593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Liability by omission</vt:lpstr>
    </vt:vector>
  </TitlesOfParts>
  <Company>University of Wales Trinity Saint David</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Liability by omission</dc:title>
  <dc:subject/>
  <dc:creator>Irina Popescu-Serban (1908279)</dc:creator>
  <cp:keywords/>
  <dc:description/>
  <cp:lastModifiedBy>Irina Popescu-Serban (1908279)</cp:lastModifiedBy>
  <cp:revision>14</cp:revision>
  <dcterms:created xsi:type="dcterms:W3CDTF">2022-11-11T13:11:00Z</dcterms:created>
  <dcterms:modified xsi:type="dcterms:W3CDTF">2022-11-11T13:55:00Z</dcterms:modified>
</cp:coreProperties>
</file>