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83F5B04" w14:textId="1FBC08EB" w:rsidR="00E570E2" w:rsidRPr="00053B8A" w:rsidRDefault="00E570E2" w:rsidP="00E570E2">
      <w:pPr>
        <w:pStyle w:val="NormalWeb"/>
        <w:spacing w:before="0" w:beforeAutospacing="0" w:after="0" w:afterAutospacing="0" w:line="360" w:lineRule="auto"/>
        <w:jc w:val="center"/>
        <w:rPr>
          <w:rFonts w:ascii="Arial" w:hAnsi="Arial" w:cs="Arial"/>
          <w:color w:val="1C1E29"/>
        </w:rPr>
      </w:pPr>
    </w:p>
    <w:p w14:paraId="0BAEE9C7" w14:textId="504B38EE" w:rsidR="009925B2" w:rsidRPr="00053B8A" w:rsidRDefault="009925B2" w:rsidP="00E570E2">
      <w:pPr>
        <w:pStyle w:val="NormalWeb"/>
        <w:spacing w:before="0" w:beforeAutospacing="0" w:after="0" w:afterAutospacing="0" w:line="360" w:lineRule="auto"/>
        <w:jc w:val="center"/>
        <w:rPr>
          <w:rFonts w:ascii="Arial" w:hAnsi="Arial" w:cs="Arial"/>
          <w:color w:val="1C1E29"/>
        </w:rPr>
      </w:pPr>
    </w:p>
    <w:p w14:paraId="70D3E0CB" w14:textId="77777777" w:rsidR="009925B2" w:rsidRPr="00053B8A" w:rsidRDefault="009925B2" w:rsidP="00E570E2">
      <w:pPr>
        <w:pStyle w:val="NormalWeb"/>
        <w:spacing w:before="0" w:beforeAutospacing="0" w:after="0" w:afterAutospacing="0" w:line="360" w:lineRule="auto"/>
        <w:jc w:val="center"/>
        <w:rPr>
          <w:rFonts w:ascii="Arial" w:hAnsi="Arial" w:cs="Arial"/>
          <w:color w:val="1C1E29"/>
        </w:rPr>
      </w:pPr>
    </w:p>
    <w:p w14:paraId="0761164D" w14:textId="77777777" w:rsidR="00E570E2" w:rsidRPr="00053B8A" w:rsidRDefault="00E570E2" w:rsidP="00E570E2">
      <w:pPr>
        <w:pStyle w:val="NormalWeb"/>
        <w:spacing w:before="0" w:beforeAutospacing="0" w:after="0" w:afterAutospacing="0" w:line="360" w:lineRule="auto"/>
        <w:jc w:val="center"/>
        <w:rPr>
          <w:rFonts w:ascii="Arial" w:hAnsi="Arial" w:cs="Arial"/>
          <w:color w:val="1C1E29"/>
        </w:rPr>
      </w:pPr>
    </w:p>
    <w:p w14:paraId="6ECB9870" w14:textId="6962EAF1" w:rsidR="00E570E2" w:rsidRPr="00053B8A" w:rsidRDefault="005246FC" w:rsidP="00E570E2">
      <w:pPr>
        <w:pStyle w:val="NormalWeb"/>
        <w:spacing w:before="0" w:beforeAutospacing="0" w:after="0" w:afterAutospacing="0" w:line="360" w:lineRule="auto"/>
        <w:jc w:val="center"/>
        <w:rPr>
          <w:rFonts w:ascii="Arial" w:hAnsi="Arial" w:cs="Arial"/>
          <w:color w:val="1C1E29"/>
        </w:rPr>
      </w:pPr>
      <w:r w:rsidRPr="00053B8A">
        <w:rPr>
          <w:rFonts w:ascii="Arial" w:hAnsi="Arial" w:cs="Arial"/>
          <w:color w:val="1C1E29"/>
        </w:rPr>
        <w:t>PART 1</w:t>
      </w:r>
    </w:p>
    <w:p w14:paraId="13CBF323" w14:textId="77777777" w:rsidR="00E570E2" w:rsidRPr="00053B8A" w:rsidRDefault="00E570E2" w:rsidP="00E570E2">
      <w:pPr>
        <w:pStyle w:val="NormalWeb"/>
        <w:spacing w:before="0" w:beforeAutospacing="0" w:after="0" w:afterAutospacing="0" w:line="360" w:lineRule="auto"/>
        <w:jc w:val="center"/>
        <w:rPr>
          <w:rFonts w:ascii="Arial" w:hAnsi="Arial" w:cs="Arial"/>
          <w:color w:val="1C1E29"/>
        </w:rPr>
      </w:pPr>
    </w:p>
    <w:p w14:paraId="19553592" w14:textId="641FE205" w:rsidR="00E570E2" w:rsidRPr="00053B8A" w:rsidRDefault="00E570E2" w:rsidP="00E570E2">
      <w:pPr>
        <w:pStyle w:val="NormalWeb"/>
        <w:spacing w:before="0" w:beforeAutospacing="0" w:after="0" w:afterAutospacing="0" w:line="360" w:lineRule="auto"/>
        <w:jc w:val="center"/>
        <w:rPr>
          <w:rFonts w:ascii="Arial" w:hAnsi="Arial" w:cs="Arial"/>
          <w:color w:val="1C1E29"/>
        </w:rPr>
      </w:pPr>
      <w:r w:rsidRPr="00053B8A">
        <w:rPr>
          <w:rFonts w:ascii="Arial" w:hAnsi="Arial" w:cs="Arial"/>
          <w:color w:val="1C1E29"/>
        </w:rPr>
        <w:t>ASSOCIATED BRITISH FOODS</w:t>
      </w:r>
    </w:p>
    <w:p w14:paraId="5E0452D2" w14:textId="77777777" w:rsidR="00053B8A" w:rsidRPr="00053B8A" w:rsidRDefault="00053B8A" w:rsidP="00E570E2">
      <w:pPr>
        <w:pStyle w:val="NormalWeb"/>
        <w:spacing w:before="0" w:beforeAutospacing="0" w:after="0" w:afterAutospacing="0" w:line="360" w:lineRule="auto"/>
        <w:jc w:val="center"/>
        <w:rPr>
          <w:rFonts w:ascii="Arial" w:hAnsi="Arial" w:cs="Arial"/>
          <w:color w:val="1C1E29"/>
        </w:rPr>
      </w:pPr>
    </w:p>
    <w:p w14:paraId="66EA2A36" w14:textId="40625759" w:rsidR="00053B8A" w:rsidRPr="00053B8A" w:rsidRDefault="00053B8A" w:rsidP="00E570E2">
      <w:pPr>
        <w:pStyle w:val="NormalWeb"/>
        <w:spacing w:before="0" w:beforeAutospacing="0" w:after="0" w:afterAutospacing="0" w:line="360" w:lineRule="auto"/>
        <w:jc w:val="center"/>
        <w:rPr>
          <w:rFonts w:ascii="Arial" w:hAnsi="Arial" w:cs="Arial"/>
          <w:color w:val="1C1E29"/>
        </w:rPr>
      </w:pPr>
      <w:r w:rsidRPr="00053B8A">
        <w:rPr>
          <w:rFonts w:ascii="Arial" w:hAnsi="Arial" w:cs="Arial"/>
          <w:color w:val="1C1E29"/>
        </w:rPr>
        <w:t>STUDENT: 1706958</w:t>
      </w:r>
    </w:p>
    <w:p w14:paraId="362ED899" w14:textId="3E3825F2" w:rsidR="009925B2" w:rsidRPr="00053B8A" w:rsidRDefault="009925B2" w:rsidP="00E570E2">
      <w:pPr>
        <w:pStyle w:val="NormalWeb"/>
        <w:spacing w:before="0" w:beforeAutospacing="0" w:after="0" w:afterAutospacing="0" w:line="360" w:lineRule="auto"/>
        <w:jc w:val="center"/>
        <w:rPr>
          <w:rFonts w:ascii="Arial" w:hAnsi="Arial" w:cs="Arial"/>
          <w:color w:val="1C1E29"/>
        </w:rPr>
      </w:pPr>
    </w:p>
    <w:p w14:paraId="17BDC33B" w14:textId="65F7765D" w:rsidR="00053B8A" w:rsidRPr="00053B8A" w:rsidRDefault="00053B8A" w:rsidP="00E570E2">
      <w:pPr>
        <w:pStyle w:val="NormalWeb"/>
        <w:spacing w:before="0" w:beforeAutospacing="0" w:after="0" w:afterAutospacing="0" w:line="360" w:lineRule="auto"/>
        <w:jc w:val="center"/>
        <w:rPr>
          <w:rFonts w:ascii="Arial" w:hAnsi="Arial" w:cs="Arial"/>
          <w:color w:val="1C1E29"/>
        </w:rPr>
      </w:pPr>
      <w:r w:rsidRPr="00053B8A">
        <w:rPr>
          <w:rFonts w:ascii="Arial" w:hAnsi="Arial" w:cs="Arial"/>
          <w:color w:val="1C1E29"/>
        </w:rPr>
        <w:t>SUBMISSION DATE: 13.09.19</w:t>
      </w:r>
    </w:p>
    <w:p w14:paraId="0B148FE1" w14:textId="2EE071D9" w:rsidR="009925B2" w:rsidRPr="00053B8A" w:rsidRDefault="009925B2" w:rsidP="00E570E2">
      <w:pPr>
        <w:pStyle w:val="NormalWeb"/>
        <w:spacing w:before="0" w:beforeAutospacing="0" w:after="0" w:afterAutospacing="0" w:line="360" w:lineRule="auto"/>
        <w:jc w:val="center"/>
        <w:rPr>
          <w:rFonts w:ascii="Arial" w:hAnsi="Arial" w:cs="Arial"/>
          <w:color w:val="1C1E29"/>
        </w:rPr>
      </w:pPr>
    </w:p>
    <w:p w14:paraId="737C53C4" w14:textId="03A6806A" w:rsidR="009925B2" w:rsidRPr="00053B8A" w:rsidRDefault="009925B2" w:rsidP="00E570E2">
      <w:pPr>
        <w:pStyle w:val="NormalWeb"/>
        <w:spacing w:before="0" w:beforeAutospacing="0" w:after="0" w:afterAutospacing="0" w:line="360" w:lineRule="auto"/>
        <w:jc w:val="center"/>
        <w:rPr>
          <w:rFonts w:ascii="Arial" w:hAnsi="Arial" w:cs="Arial"/>
          <w:color w:val="1C1E29"/>
        </w:rPr>
      </w:pPr>
    </w:p>
    <w:p w14:paraId="25991FE0" w14:textId="7E68A525" w:rsidR="009925B2" w:rsidRPr="00053B8A" w:rsidRDefault="009925B2" w:rsidP="00E570E2">
      <w:pPr>
        <w:pStyle w:val="NormalWeb"/>
        <w:spacing w:before="0" w:beforeAutospacing="0" w:after="0" w:afterAutospacing="0" w:line="360" w:lineRule="auto"/>
        <w:jc w:val="center"/>
        <w:rPr>
          <w:rFonts w:ascii="Arial" w:hAnsi="Arial" w:cs="Arial"/>
          <w:color w:val="1C1E29"/>
        </w:rPr>
      </w:pPr>
    </w:p>
    <w:p w14:paraId="0F94754E" w14:textId="4D64E45D" w:rsidR="009925B2" w:rsidRPr="00053B8A" w:rsidRDefault="009925B2" w:rsidP="00E570E2">
      <w:pPr>
        <w:pStyle w:val="NormalWeb"/>
        <w:spacing w:before="0" w:beforeAutospacing="0" w:after="0" w:afterAutospacing="0" w:line="360" w:lineRule="auto"/>
        <w:jc w:val="center"/>
        <w:rPr>
          <w:rFonts w:ascii="Arial" w:hAnsi="Arial" w:cs="Arial"/>
          <w:color w:val="1C1E29"/>
        </w:rPr>
      </w:pPr>
    </w:p>
    <w:p w14:paraId="32999203" w14:textId="488348D8" w:rsidR="009925B2" w:rsidRPr="00053B8A" w:rsidRDefault="009925B2" w:rsidP="00E570E2">
      <w:pPr>
        <w:pStyle w:val="NormalWeb"/>
        <w:spacing w:before="0" w:beforeAutospacing="0" w:after="0" w:afterAutospacing="0" w:line="360" w:lineRule="auto"/>
        <w:jc w:val="center"/>
        <w:rPr>
          <w:rFonts w:ascii="Arial" w:hAnsi="Arial" w:cs="Arial"/>
          <w:color w:val="1C1E29"/>
        </w:rPr>
      </w:pPr>
    </w:p>
    <w:p w14:paraId="6F8E5272" w14:textId="41FDC04C" w:rsidR="009925B2" w:rsidRPr="00053B8A" w:rsidRDefault="009925B2" w:rsidP="00E570E2">
      <w:pPr>
        <w:pStyle w:val="NormalWeb"/>
        <w:spacing w:before="0" w:beforeAutospacing="0" w:after="0" w:afterAutospacing="0" w:line="360" w:lineRule="auto"/>
        <w:jc w:val="center"/>
        <w:rPr>
          <w:rFonts w:ascii="Arial" w:hAnsi="Arial" w:cs="Arial"/>
          <w:color w:val="1C1E29"/>
        </w:rPr>
      </w:pPr>
    </w:p>
    <w:p w14:paraId="1D8CC0B8" w14:textId="3BCA1B13" w:rsidR="009925B2" w:rsidRPr="00053B8A" w:rsidRDefault="009925B2" w:rsidP="00053B8A">
      <w:pPr>
        <w:pStyle w:val="NormalWeb"/>
        <w:spacing w:before="0" w:beforeAutospacing="0" w:after="0" w:afterAutospacing="0" w:line="360" w:lineRule="auto"/>
        <w:rPr>
          <w:rFonts w:ascii="Arial" w:hAnsi="Arial" w:cs="Arial"/>
          <w:color w:val="1C1E29"/>
        </w:rPr>
      </w:pPr>
    </w:p>
    <w:p w14:paraId="537D85A3" w14:textId="117CA0F9" w:rsidR="009925B2" w:rsidRPr="00053B8A" w:rsidRDefault="009925B2" w:rsidP="009925B2">
      <w:pPr>
        <w:pStyle w:val="NormalWeb"/>
        <w:spacing w:before="0" w:beforeAutospacing="0" w:after="0" w:afterAutospacing="0" w:line="360" w:lineRule="auto"/>
        <w:jc w:val="center"/>
        <w:rPr>
          <w:rFonts w:ascii="Arial" w:hAnsi="Arial" w:cs="Arial"/>
          <w:color w:val="1C1E29"/>
        </w:rPr>
      </w:pPr>
    </w:p>
    <w:p w14:paraId="7538335D" w14:textId="08177EDC" w:rsidR="009925B2" w:rsidRPr="00053B8A" w:rsidRDefault="009925B2" w:rsidP="009925B2">
      <w:pPr>
        <w:pStyle w:val="NormalWeb"/>
        <w:spacing w:before="0" w:beforeAutospacing="0" w:after="0" w:afterAutospacing="0" w:line="360" w:lineRule="auto"/>
        <w:jc w:val="center"/>
        <w:rPr>
          <w:rFonts w:ascii="Arial" w:hAnsi="Arial" w:cs="Arial"/>
          <w:color w:val="1C1E29"/>
        </w:rPr>
      </w:pPr>
    </w:p>
    <w:p w14:paraId="086A6C02" w14:textId="3409860C" w:rsidR="009925B2" w:rsidRPr="00053B8A" w:rsidRDefault="009925B2" w:rsidP="009925B2">
      <w:pPr>
        <w:pStyle w:val="NormalWeb"/>
        <w:spacing w:before="0" w:beforeAutospacing="0" w:after="0" w:afterAutospacing="0" w:line="360" w:lineRule="auto"/>
        <w:jc w:val="center"/>
        <w:rPr>
          <w:rFonts w:ascii="Arial" w:hAnsi="Arial" w:cs="Arial"/>
          <w:color w:val="1C1E29"/>
        </w:rPr>
      </w:pPr>
    </w:p>
    <w:p w14:paraId="6C685372" w14:textId="79563B7D" w:rsidR="009925B2" w:rsidRPr="00053B8A" w:rsidRDefault="009925B2" w:rsidP="009925B2">
      <w:pPr>
        <w:pStyle w:val="NormalWeb"/>
        <w:spacing w:before="0" w:beforeAutospacing="0" w:after="0" w:afterAutospacing="0" w:line="360" w:lineRule="auto"/>
        <w:jc w:val="center"/>
        <w:rPr>
          <w:rFonts w:ascii="Arial" w:hAnsi="Arial" w:cs="Arial"/>
          <w:color w:val="1C1E29"/>
        </w:rPr>
      </w:pPr>
    </w:p>
    <w:p w14:paraId="7C352D02" w14:textId="1F0C96A5" w:rsidR="009925B2" w:rsidRPr="00053B8A" w:rsidRDefault="009925B2" w:rsidP="009925B2">
      <w:pPr>
        <w:pStyle w:val="NormalWeb"/>
        <w:spacing w:before="0" w:beforeAutospacing="0" w:after="0" w:afterAutospacing="0" w:line="360" w:lineRule="auto"/>
        <w:jc w:val="center"/>
        <w:rPr>
          <w:rFonts w:ascii="Arial" w:hAnsi="Arial" w:cs="Arial"/>
          <w:color w:val="1C1E29"/>
        </w:rPr>
      </w:pPr>
    </w:p>
    <w:p w14:paraId="40FC0797" w14:textId="77777777" w:rsidR="009925B2" w:rsidRPr="00053B8A" w:rsidRDefault="009925B2" w:rsidP="009925B2">
      <w:pPr>
        <w:pStyle w:val="NormalWeb"/>
        <w:spacing w:before="0" w:beforeAutospacing="0" w:after="0" w:afterAutospacing="0" w:line="360" w:lineRule="auto"/>
        <w:jc w:val="center"/>
        <w:rPr>
          <w:rFonts w:ascii="Arial" w:hAnsi="Arial" w:cs="Arial"/>
          <w:color w:val="1C1E29"/>
        </w:rPr>
      </w:pPr>
    </w:p>
    <w:p w14:paraId="1C6C1BD6" w14:textId="7A749411" w:rsidR="009925B2" w:rsidRPr="00053B8A" w:rsidRDefault="009925B2" w:rsidP="009925B2">
      <w:pPr>
        <w:pStyle w:val="NormalWeb"/>
        <w:spacing w:before="0" w:beforeAutospacing="0" w:after="0" w:afterAutospacing="0" w:line="360" w:lineRule="auto"/>
        <w:jc w:val="center"/>
        <w:rPr>
          <w:rFonts w:ascii="Arial" w:hAnsi="Arial" w:cs="Arial"/>
          <w:color w:val="1C1E29"/>
        </w:rPr>
      </w:pPr>
    </w:p>
    <w:p w14:paraId="65613A46" w14:textId="5E05710F" w:rsidR="009925B2" w:rsidRPr="00053B8A" w:rsidRDefault="009925B2" w:rsidP="009925B2">
      <w:pPr>
        <w:pStyle w:val="NormalWeb"/>
        <w:spacing w:before="0" w:beforeAutospacing="0" w:after="0" w:afterAutospacing="0" w:line="360" w:lineRule="auto"/>
        <w:jc w:val="center"/>
        <w:rPr>
          <w:rFonts w:ascii="Arial" w:hAnsi="Arial" w:cs="Arial"/>
          <w:color w:val="1C1E29"/>
        </w:rPr>
      </w:pPr>
    </w:p>
    <w:p w14:paraId="03D48C93" w14:textId="0C218B45" w:rsidR="00E570E2" w:rsidRPr="00053B8A" w:rsidRDefault="00E570E2" w:rsidP="00E570E2">
      <w:pPr>
        <w:pStyle w:val="NormalWeb"/>
        <w:spacing w:before="0" w:beforeAutospacing="0" w:after="0" w:afterAutospacing="0" w:line="360" w:lineRule="auto"/>
        <w:jc w:val="center"/>
        <w:rPr>
          <w:rFonts w:ascii="Arial" w:hAnsi="Arial" w:cs="Arial"/>
          <w:color w:val="1C1E29"/>
        </w:rPr>
      </w:pPr>
    </w:p>
    <w:p w14:paraId="7DE87B74" w14:textId="5AD5037B" w:rsidR="00E570E2" w:rsidRPr="00053B8A" w:rsidRDefault="00E570E2" w:rsidP="00E570E2">
      <w:pPr>
        <w:pStyle w:val="NormalWeb"/>
        <w:spacing w:before="0" w:beforeAutospacing="0" w:after="0" w:afterAutospacing="0" w:line="360" w:lineRule="auto"/>
        <w:jc w:val="center"/>
        <w:rPr>
          <w:rFonts w:ascii="Arial" w:hAnsi="Arial" w:cs="Arial"/>
          <w:color w:val="1C1E29"/>
        </w:rPr>
      </w:pPr>
    </w:p>
    <w:p w14:paraId="38F366B7" w14:textId="6CB85CEF" w:rsidR="00E570E2" w:rsidRPr="00053B8A" w:rsidRDefault="00E570E2" w:rsidP="00E570E2">
      <w:pPr>
        <w:pStyle w:val="NormalWeb"/>
        <w:spacing w:before="0" w:beforeAutospacing="0" w:after="0" w:afterAutospacing="0" w:line="360" w:lineRule="auto"/>
        <w:jc w:val="center"/>
        <w:rPr>
          <w:rFonts w:ascii="Arial" w:hAnsi="Arial" w:cs="Arial"/>
          <w:color w:val="1C1E29"/>
        </w:rPr>
      </w:pPr>
    </w:p>
    <w:p w14:paraId="77D23096" w14:textId="559EDCC2" w:rsidR="00E570E2" w:rsidRPr="00053B8A" w:rsidRDefault="00E570E2" w:rsidP="00E570E2">
      <w:pPr>
        <w:pStyle w:val="NormalWeb"/>
        <w:spacing w:before="0" w:beforeAutospacing="0" w:after="0" w:afterAutospacing="0" w:line="360" w:lineRule="auto"/>
        <w:jc w:val="center"/>
        <w:rPr>
          <w:rFonts w:ascii="Arial" w:hAnsi="Arial" w:cs="Arial"/>
          <w:color w:val="1C1E29"/>
        </w:rPr>
      </w:pPr>
    </w:p>
    <w:p w14:paraId="6184B602" w14:textId="77777777" w:rsidR="00053B8A" w:rsidRPr="00053B8A" w:rsidRDefault="00053B8A" w:rsidP="00E570E2">
      <w:pPr>
        <w:pStyle w:val="NormalWeb"/>
        <w:spacing w:before="0" w:beforeAutospacing="0" w:after="0" w:afterAutospacing="0" w:line="360" w:lineRule="auto"/>
        <w:jc w:val="center"/>
        <w:rPr>
          <w:rFonts w:ascii="Arial" w:hAnsi="Arial" w:cs="Arial"/>
          <w:color w:val="1C1E29"/>
        </w:rPr>
      </w:pPr>
    </w:p>
    <w:p w14:paraId="3B475DF8" w14:textId="77777777" w:rsidR="00053B8A" w:rsidRPr="00053B8A" w:rsidRDefault="00053B8A" w:rsidP="00E570E2">
      <w:pPr>
        <w:pStyle w:val="NormalWeb"/>
        <w:spacing w:before="0" w:beforeAutospacing="0" w:after="0" w:afterAutospacing="0" w:line="360" w:lineRule="auto"/>
        <w:jc w:val="center"/>
        <w:rPr>
          <w:rFonts w:ascii="Arial" w:hAnsi="Arial" w:cs="Arial"/>
          <w:color w:val="1C1E29"/>
        </w:rPr>
      </w:pPr>
    </w:p>
    <w:p w14:paraId="3BECB482" w14:textId="77777777" w:rsidR="00053B8A" w:rsidRPr="00053B8A" w:rsidRDefault="00053B8A" w:rsidP="00E570E2">
      <w:pPr>
        <w:pStyle w:val="NormalWeb"/>
        <w:spacing w:before="0" w:beforeAutospacing="0" w:after="0" w:afterAutospacing="0" w:line="360" w:lineRule="auto"/>
        <w:jc w:val="center"/>
        <w:rPr>
          <w:rFonts w:ascii="Arial" w:hAnsi="Arial" w:cs="Arial"/>
          <w:color w:val="1C1E29"/>
        </w:rPr>
      </w:pPr>
    </w:p>
    <w:p w14:paraId="02D5A8A9" w14:textId="77777777" w:rsidR="00053B8A" w:rsidRPr="00053B8A" w:rsidRDefault="00053B8A" w:rsidP="00E570E2">
      <w:pPr>
        <w:pStyle w:val="NormalWeb"/>
        <w:spacing w:before="0" w:beforeAutospacing="0" w:after="0" w:afterAutospacing="0" w:line="360" w:lineRule="auto"/>
        <w:jc w:val="center"/>
        <w:rPr>
          <w:rFonts w:ascii="Arial" w:hAnsi="Arial" w:cs="Arial"/>
          <w:color w:val="1C1E29"/>
        </w:rPr>
      </w:pPr>
    </w:p>
    <w:p w14:paraId="59B40F2B" w14:textId="77777777" w:rsidR="00053B8A" w:rsidRPr="00053B8A" w:rsidRDefault="00053B8A" w:rsidP="00E570E2">
      <w:pPr>
        <w:pStyle w:val="NormalWeb"/>
        <w:spacing w:before="0" w:beforeAutospacing="0" w:after="0" w:afterAutospacing="0" w:line="360" w:lineRule="auto"/>
        <w:jc w:val="center"/>
        <w:rPr>
          <w:rFonts w:ascii="Arial" w:hAnsi="Arial" w:cs="Arial"/>
          <w:color w:val="1C1E29"/>
        </w:rPr>
      </w:pPr>
    </w:p>
    <w:p w14:paraId="7B2D0540" w14:textId="5FA99B87" w:rsidR="00E570E2" w:rsidRDefault="00053B8A" w:rsidP="00E570E2">
      <w:pPr>
        <w:pStyle w:val="NormalWeb"/>
        <w:spacing w:before="0" w:beforeAutospacing="0" w:after="0" w:afterAutospacing="0" w:line="360" w:lineRule="auto"/>
        <w:jc w:val="center"/>
        <w:rPr>
          <w:rFonts w:ascii="Arial" w:hAnsi="Arial" w:cs="Arial"/>
          <w:color w:val="1C1E29"/>
        </w:rPr>
      </w:pPr>
      <w:r w:rsidRPr="00053B8A">
        <w:rPr>
          <w:rFonts w:ascii="Arial" w:hAnsi="Arial" w:cs="Arial"/>
          <w:color w:val="1C1E29"/>
        </w:rPr>
        <w:t>CONTENTS</w:t>
      </w:r>
    </w:p>
    <w:p w14:paraId="55A3E015" w14:textId="77777777" w:rsidR="00053B8A" w:rsidRDefault="00053B8A" w:rsidP="00E570E2">
      <w:pPr>
        <w:pStyle w:val="NormalWeb"/>
        <w:spacing w:before="0" w:beforeAutospacing="0" w:after="0" w:afterAutospacing="0" w:line="360" w:lineRule="auto"/>
        <w:jc w:val="center"/>
        <w:rPr>
          <w:rFonts w:ascii="Arial" w:hAnsi="Arial" w:cs="Arial"/>
          <w:color w:val="1C1E29"/>
        </w:rPr>
      </w:pPr>
    </w:p>
    <w:p w14:paraId="64541F81" w14:textId="7FB868A7" w:rsidR="00053B8A" w:rsidRDefault="00053B8A" w:rsidP="003D1934">
      <w:pPr>
        <w:pStyle w:val="NormalWeb"/>
        <w:numPr>
          <w:ilvl w:val="0"/>
          <w:numId w:val="3"/>
        </w:numPr>
        <w:spacing w:before="0" w:beforeAutospacing="0" w:after="0" w:afterAutospacing="0" w:line="360" w:lineRule="auto"/>
        <w:rPr>
          <w:rFonts w:ascii="Arial" w:hAnsi="Arial" w:cs="Arial"/>
          <w:color w:val="1C1E29"/>
        </w:rPr>
      </w:pPr>
      <w:r>
        <w:rPr>
          <w:rFonts w:ascii="Arial" w:hAnsi="Arial" w:cs="Arial"/>
          <w:color w:val="1C1E29"/>
        </w:rPr>
        <w:t>Executive Summary………………………………………………………….. Page 3</w:t>
      </w:r>
    </w:p>
    <w:p w14:paraId="61086B97" w14:textId="77777777" w:rsidR="003D1934" w:rsidRPr="003D1934" w:rsidRDefault="003D1934" w:rsidP="003D1934">
      <w:pPr>
        <w:pStyle w:val="NormalWeb"/>
        <w:spacing w:before="0" w:beforeAutospacing="0" w:after="0" w:afterAutospacing="0" w:line="360" w:lineRule="auto"/>
        <w:ind w:left="360"/>
        <w:rPr>
          <w:rFonts w:ascii="Arial" w:hAnsi="Arial" w:cs="Arial"/>
          <w:color w:val="1C1E29"/>
        </w:rPr>
      </w:pPr>
    </w:p>
    <w:p w14:paraId="284BB585" w14:textId="2D1C97B1" w:rsidR="00053B8A" w:rsidRDefault="00053B8A" w:rsidP="003D1934">
      <w:pPr>
        <w:pStyle w:val="NormalWeb"/>
        <w:numPr>
          <w:ilvl w:val="0"/>
          <w:numId w:val="4"/>
        </w:numPr>
        <w:spacing w:before="0" w:beforeAutospacing="0" w:after="0" w:afterAutospacing="0" w:line="360" w:lineRule="auto"/>
        <w:rPr>
          <w:rFonts w:ascii="Arial" w:hAnsi="Arial" w:cs="Arial"/>
          <w:color w:val="1C1E29"/>
        </w:rPr>
      </w:pPr>
      <w:r>
        <w:rPr>
          <w:rFonts w:ascii="Arial" w:hAnsi="Arial" w:cs="Arial"/>
          <w:color w:val="1C1E29"/>
        </w:rPr>
        <w:t>Introduction……………………………………………………………………. .Page 3</w:t>
      </w:r>
    </w:p>
    <w:p w14:paraId="03F6C628" w14:textId="77777777" w:rsidR="003D1934" w:rsidRDefault="003D1934" w:rsidP="003D1934">
      <w:pPr>
        <w:pStyle w:val="NormalWeb"/>
        <w:spacing w:before="0" w:beforeAutospacing="0" w:after="0" w:afterAutospacing="0" w:line="360" w:lineRule="auto"/>
        <w:ind w:left="360"/>
        <w:rPr>
          <w:rFonts w:ascii="Arial" w:hAnsi="Arial" w:cs="Arial"/>
          <w:color w:val="1C1E29"/>
        </w:rPr>
      </w:pPr>
    </w:p>
    <w:p w14:paraId="00927332" w14:textId="0A0FF6DE" w:rsidR="00053B8A" w:rsidRDefault="00053B8A" w:rsidP="003D1934">
      <w:pPr>
        <w:pStyle w:val="NormalWeb"/>
        <w:numPr>
          <w:ilvl w:val="0"/>
          <w:numId w:val="4"/>
        </w:numPr>
        <w:spacing w:before="0" w:beforeAutospacing="0" w:after="0" w:afterAutospacing="0" w:line="360" w:lineRule="auto"/>
        <w:rPr>
          <w:rFonts w:ascii="Arial" w:hAnsi="Arial" w:cs="Arial"/>
          <w:color w:val="1C1E29"/>
        </w:rPr>
      </w:pPr>
      <w:r>
        <w:rPr>
          <w:rFonts w:ascii="Arial" w:hAnsi="Arial" w:cs="Arial"/>
          <w:color w:val="1C1E29"/>
        </w:rPr>
        <w:t xml:space="preserve">Company profile………………………………………………………………. Page </w:t>
      </w:r>
      <w:r w:rsidR="00B072AF">
        <w:rPr>
          <w:rFonts w:ascii="Arial" w:hAnsi="Arial" w:cs="Arial"/>
          <w:color w:val="1C1E29"/>
        </w:rPr>
        <w:t>3</w:t>
      </w:r>
    </w:p>
    <w:p w14:paraId="05656C1E" w14:textId="77777777" w:rsidR="003D1934" w:rsidRPr="003D1934" w:rsidRDefault="003D1934" w:rsidP="003D1934">
      <w:pPr>
        <w:pStyle w:val="NormalWeb"/>
        <w:spacing w:before="0" w:beforeAutospacing="0" w:after="0" w:afterAutospacing="0" w:line="360" w:lineRule="auto"/>
        <w:rPr>
          <w:rFonts w:ascii="Arial" w:hAnsi="Arial" w:cs="Arial"/>
          <w:color w:val="1C1E29"/>
        </w:rPr>
      </w:pPr>
    </w:p>
    <w:p w14:paraId="47789B12" w14:textId="1F102614" w:rsidR="00053B8A" w:rsidRPr="003D1934" w:rsidRDefault="00027B66" w:rsidP="003D1934">
      <w:pPr>
        <w:pStyle w:val="NormalWeb"/>
        <w:numPr>
          <w:ilvl w:val="0"/>
          <w:numId w:val="4"/>
        </w:numPr>
        <w:spacing w:before="0" w:beforeAutospacing="0" w:after="0" w:afterAutospacing="0" w:line="360" w:lineRule="auto"/>
        <w:rPr>
          <w:rFonts w:ascii="Arial" w:hAnsi="Arial" w:cs="Arial"/>
          <w:color w:val="1C1E29"/>
        </w:rPr>
      </w:pPr>
      <w:r>
        <w:rPr>
          <w:rFonts w:ascii="Arial" w:hAnsi="Arial" w:cs="Arial"/>
          <w:color w:val="1C1E29"/>
        </w:rPr>
        <w:t>Financial Ratios</w:t>
      </w:r>
      <w:r w:rsidR="00053B8A">
        <w:rPr>
          <w:rFonts w:ascii="Arial" w:hAnsi="Arial" w:cs="Arial"/>
          <w:color w:val="1C1E29"/>
        </w:rPr>
        <w:t>………………………………………………………………</w:t>
      </w:r>
      <w:r>
        <w:rPr>
          <w:rFonts w:ascii="Arial" w:hAnsi="Arial" w:cs="Arial"/>
          <w:color w:val="1C1E29"/>
        </w:rPr>
        <w:t>..</w:t>
      </w:r>
      <w:r w:rsidR="00053B8A">
        <w:rPr>
          <w:rFonts w:ascii="Arial" w:hAnsi="Arial" w:cs="Arial"/>
          <w:color w:val="1C1E29"/>
        </w:rPr>
        <w:t>Page 4</w:t>
      </w:r>
    </w:p>
    <w:p w14:paraId="2CE7AB19" w14:textId="783CFDE0" w:rsidR="00053B8A" w:rsidRDefault="00027B66" w:rsidP="003D1934">
      <w:pPr>
        <w:pStyle w:val="NormalWeb"/>
        <w:numPr>
          <w:ilvl w:val="1"/>
          <w:numId w:val="4"/>
        </w:numPr>
        <w:spacing w:before="0" w:beforeAutospacing="0" w:after="0" w:afterAutospacing="0" w:line="360" w:lineRule="auto"/>
        <w:rPr>
          <w:rFonts w:ascii="Arial" w:hAnsi="Arial" w:cs="Arial"/>
          <w:color w:val="1C1E29"/>
        </w:rPr>
      </w:pPr>
      <w:r>
        <w:rPr>
          <w:rFonts w:ascii="Arial" w:hAnsi="Arial" w:cs="Arial"/>
          <w:color w:val="1C1E29"/>
        </w:rPr>
        <w:t>Liquidity Ratios……………………………………………………………</w:t>
      </w:r>
      <w:r w:rsidR="00680C88">
        <w:rPr>
          <w:rFonts w:ascii="Arial" w:hAnsi="Arial" w:cs="Arial"/>
          <w:color w:val="1C1E29"/>
        </w:rPr>
        <w:t>.Page 5</w:t>
      </w:r>
    </w:p>
    <w:p w14:paraId="2B85037E" w14:textId="56E4691E" w:rsidR="00027B66" w:rsidRDefault="00027B66" w:rsidP="003D1934">
      <w:pPr>
        <w:pStyle w:val="NormalWeb"/>
        <w:numPr>
          <w:ilvl w:val="2"/>
          <w:numId w:val="4"/>
        </w:numPr>
        <w:spacing w:before="0" w:beforeAutospacing="0" w:after="0" w:afterAutospacing="0" w:line="360" w:lineRule="auto"/>
        <w:rPr>
          <w:rFonts w:ascii="Arial" w:hAnsi="Arial" w:cs="Arial"/>
          <w:color w:val="1C1E29"/>
        </w:rPr>
      </w:pPr>
      <w:r>
        <w:rPr>
          <w:rFonts w:ascii="Arial" w:hAnsi="Arial" w:cs="Arial"/>
          <w:color w:val="1C1E29"/>
        </w:rPr>
        <w:t>Current Ratio……………………………………………………….Page</w:t>
      </w:r>
      <w:r w:rsidR="00680C88">
        <w:rPr>
          <w:rFonts w:ascii="Arial" w:hAnsi="Arial" w:cs="Arial"/>
          <w:color w:val="1C1E29"/>
        </w:rPr>
        <w:t xml:space="preserve"> 5</w:t>
      </w:r>
    </w:p>
    <w:p w14:paraId="59F00D59" w14:textId="13A18F93" w:rsidR="00027B66" w:rsidRDefault="00027B66" w:rsidP="003D1934">
      <w:pPr>
        <w:pStyle w:val="NormalWeb"/>
        <w:numPr>
          <w:ilvl w:val="2"/>
          <w:numId w:val="4"/>
        </w:numPr>
        <w:spacing w:before="0" w:beforeAutospacing="0" w:after="0" w:afterAutospacing="0" w:line="360" w:lineRule="auto"/>
        <w:rPr>
          <w:rFonts w:ascii="Arial" w:hAnsi="Arial" w:cs="Arial"/>
          <w:color w:val="1C1E29"/>
        </w:rPr>
      </w:pPr>
      <w:r>
        <w:rPr>
          <w:rFonts w:ascii="Arial" w:hAnsi="Arial" w:cs="Arial"/>
          <w:color w:val="1C1E29"/>
        </w:rPr>
        <w:t>Quick Ratio………………………………………………………....Page</w:t>
      </w:r>
      <w:r w:rsidR="00680C88">
        <w:rPr>
          <w:rFonts w:ascii="Arial" w:hAnsi="Arial" w:cs="Arial"/>
          <w:color w:val="1C1E29"/>
        </w:rPr>
        <w:t xml:space="preserve"> 5</w:t>
      </w:r>
    </w:p>
    <w:p w14:paraId="0F6E21B5" w14:textId="380DAE8E" w:rsidR="00027B66" w:rsidRPr="003D1934" w:rsidRDefault="00027B66" w:rsidP="003D1934">
      <w:pPr>
        <w:pStyle w:val="NormalWeb"/>
        <w:numPr>
          <w:ilvl w:val="2"/>
          <w:numId w:val="4"/>
        </w:numPr>
        <w:spacing w:before="0" w:beforeAutospacing="0" w:after="0" w:afterAutospacing="0" w:line="360" w:lineRule="auto"/>
        <w:rPr>
          <w:rFonts w:ascii="Arial" w:hAnsi="Arial" w:cs="Arial"/>
          <w:color w:val="1C1E29"/>
        </w:rPr>
      </w:pPr>
      <w:r>
        <w:rPr>
          <w:rFonts w:ascii="Arial" w:hAnsi="Arial" w:cs="Arial"/>
          <w:color w:val="1C1E29"/>
        </w:rPr>
        <w:t>Cash Ratio………………………………………………………….Page</w:t>
      </w:r>
      <w:r w:rsidR="00680C88">
        <w:rPr>
          <w:rFonts w:ascii="Arial" w:hAnsi="Arial" w:cs="Arial"/>
          <w:color w:val="1C1E29"/>
        </w:rPr>
        <w:t xml:space="preserve"> 5</w:t>
      </w:r>
    </w:p>
    <w:p w14:paraId="107097EA" w14:textId="7FEE413E" w:rsidR="00027B66" w:rsidRPr="003D1934" w:rsidRDefault="00027B66" w:rsidP="003D1934">
      <w:pPr>
        <w:pStyle w:val="NormalWeb"/>
        <w:numPr>
          <w:ilvl w:val="1"/>
          <w:numId w:val="4"/>
        </w:numPr>
        <w:spacing w:before="0" w:beforeAutospacing="0" w:after="0" w:afterAutospacing="0" w:line="360" w:lineRule="auto"/>
        <w:rPr>
          <w:rFonts w:ascii="Arial" w:hAnsi="Arial" w:cs="Arial"/>
          <w:color w:val="1C1E29"/>
        </w:rPr>
      </w:pPr>
      <w:r w:rsidRPr="003D1934">
        <w:rPr>
          <w:rFonts w:ascii="Arial" w:hAnsi="Arial" w:cs="Arial"/>
          <w:color w:val="1C1E29"/>
        </w:rPr>
        <w:t xml:space="preserve">Profitability Ratios…………………………………………………………Page </w:t>
      </w:r>
      <w:r w:rsidR="00680C88">
        <w:rPr>
          <w:rFonts w:ascii="Arial" w:hAnsi="Arial" w:cs="Arial"/>
          <w:color w:val="1C1E29"/>
        </w:rPr>
        <w:t>6</w:t>
      </w:r>
    </w:p>
    <w:p w14:paraId="1B3C4171" w14:textId="7249E88C" w:rsidR="00027B66" w:rsidRDefault="00027B66" w:rsidP="003D1934">
      <w:pPr>
        <w:pStyle w:val="NormalWeb"/>
        <w:numPr>
          <w:ilvl w:val="2"/>
          <w:numId w:val="4"/>
        </w:numPr>
        <w:spacing w:before="0" w:beforeAutospacing="0" w:after="0" w:afterAutospacing="0" w:line="360" w:lineRule="auto"/>
        <w:rPr>
          <w:rFonts w:ascii="Arial" w:hAnsi="Arial" w:cs="Arial"/>
          <w:color w:val="1C1E29"/>
        </w:rPr>
      </w:pPr>
      <w:r>
        <w:rPr>
          <w:rFonts w:ascii="Arial" w:hAnsi="Arial" w:cs="Arial"/>
          <w:color w:val="1C1E29"/>
        </w:rPr>
        <w:t>Gross Profit Margin………………………………………………..Page</w:t>
      </w:r>
      <w:r w:rsidR="00680C88">
        <w:rPr>
          <w:rFonts w:ascii="Arial" w:hAnsi="Arial" w:cs="Arial"/>
          <w:color w:val="1C1E29"/>
        </w:rPr>
        <w:t xml:space="preserve"> 6</w:t>
      </w:r>
    </w:p>
    <w:p w14:paraId="7581FD59" w14:textId="186B3AD3" w:rsidR="00027B66" w:rsidRDefault="00027B66" w:rsidP="003D1934">
      <w:pPr>
        <w:pStyle w:val="NormalWeb"/>
        <w:numPr>
          <w:ilvl w:val="2"/>
          <w:numId w:val="4"/>
        </w:numPr>
        <w:spacing w:before="0" w:beforeAutospacing="0" w:after="0" w:afterAutospacing="0" w:line="360" w:lineRule="auto"/>
        <w:rPr>
          <w:rFonts w:ascii="Arial" w:hAnsi="Arial" w:cs="Arial"/>
          <w:color w:val="1C1E29"/>
        </w:rPr>
      </w:pPr>
      <w:r>
        <w:rPr>
          <w:rFonts w:ascii="Arial" w:hAnsi="Arial" w:cs="Arial"/>
          <w:color w:val="1C1E29"/>
        </w:rPr>
        <w:t>Net Profit Margin…………………………………………………..Page</w:t>
      </w:r>
      <w:r w:rsidR="00680C88">
        <w:rPr>
          <w:rFonts w:ascii="Arial" w:hAnsi="Arial" w:cs="Arial"/>
          <w:color w:val="1C1E29"/>
        </w:rPr>
        <w:t xml:space="preserve"> 6</w:t>
      </w:r>
    </w:p>
    <w:p w14:paraId="44E1AB3F" w14:textId="64BC5CC8" w:rsidR="00027B66" w:rsidRDefault="00027B66" w:rsidP="003D1934">
      <w:pPr>
        <w:pStyle w:val="NormalWeb"/>
        <w:numPr>
          <w:ilvl w:val="2"/>
          <w:numId w:val="4"/>
        </w:numPr>
        <w:spacing w:before="0" w:beforeAutospacing="0" w:after="0" w:afterAutospacing="0" w:line="360" w:lineRule="auto"/>
        <w:rPr>
          <w:rFonts w:ascii="Arial" w:hAnsi="Arial" w:cs="Arial"/>
          <w:color w:val="1C1E29"/>
        </w:rPr>
      </w:pPr>
      <w:r>
        <w:rPr>
          <w:rFonts w:ascii="Arial" w:hAnsi="Arial" w:cs="Arial"/>
          <w:color w:val="1C1E29"/>
        </w:rPr>
        <w:t>Return on Assets (ROA)………………………………………….Page</w:t>
      </w:r>
      <w:r w:rsidR="00680C88">
        <w:rPr>
          <w:rFonts w:ascii="Arial" w:hAnsi="Arial" w:cs="Arial"/>
          <w:color w:val="1C1E29"/>
        </w:rPr>
        <w:t xml:space="preserve"> 6</w:t>
      </w:r>
    </w:p>
    <w:p w14:paraId="1C1228F5" w14:textId="3871F245" w:rsidR="00AD25D2" w:rsidRDefault="00AD25D2" w:rsidP="003D1934">
      <w:pPr>
        <w:pStyle w:val="NormalWeb"/>
        <w:numPr>
          <w:ilvl w:val="1"/>
          <w:numId w:val="4"/>
        </w:numPr>
        <w:spacing w:before="0" w:beforeAutospacing="0" w:after="0" w:afterAutospacing="0" w:line="360" w:lineRule="auto"/>
        <w:rPr>
          <w:rFonts w:ascii="Arial" w:hAnsi="Arial" w:cs="Arial"/>
          <w:color w:val="1C1E29"/>
        </w:rPr>
      </w:pPr>
      <w:r>
        <w:rPr>
          <w:rFonts w:ascii="Arial" w:hAnsi="Arial" w:cs="Arial"/>
          <w:color w:val="1C1E29"/>
        </w:rPr>
        <w:t>Efficiency Ratios</w:t>
      </w:r>
      <w:r w:rsidR="00094430">
        <w:rPr>
          <w:rFonts w:ascii="Arial" w:hAnsi="Arial" w:cs="Arial"/>
          <w:color w:val="1C1E29"/>
        </w:rPr>
        <w:t>………………………………………………………….Page 6</w:t>
      </w:r>
    </w:p>
    <w:p w14:paraId="526BB07B" w14:textId="54225BCE" w:rsidR="00AD25D2" w:rsidRDefault="00AD25D2" w:rsidP="003D1934">
      <w:pPr>
        <w:pStyle w:val="NormalWeb"/>
        <w:numPr>
          <w:ilvl w:val="2"/>
          <w:numId w:val="4"/>
        </w:numPr>
        <w:spacing w:before="0" w:beforeAutospacing="0" w:after="0" w:afterAutospacing="0" w:line="360" w:lineRule="auto"/>
        <w:rPr>
          <w:rFonts w:ascii="Arial" w:hAnsi="Arial" w:cs="Arial"/>
          <w:color w:val="1C1E29"/>
        </w:rPr>
      </w:pPr>
      <w:r>
        <w:rPr>
          <w:rFonts w:ascii="Arial" w:hAnsi="Arial" w:cs="Arial"/>
          <w:color w:val="1C1E29"/>
        </w:rPr>
        <w:t>Asset Turnover……………………………………………</w:t>
      </w:r>
      <w:r w:rsidR="00912E71">
        <w:rPr>
          <w:rFonts w:ascii="Arial" w:hAnsi="Arial" w:cs="Arial"/>
          <w:color w:val="1C1E29"/>
        </w:rPr>
        <w:t>.</w:t>
      </w:r>
      <w:r>
        <w:rPr>
          <w:rFonts w:ascii="Arial" w:hAnsi="Arial" w:cs="Arial"/>
          <w:color w:val="1C1E29"/>
        </w:rPr>
        <w:t>………Page</w:t>
      </w:r>
      <w:r w:rsidR="00680C88">
        <w:rPr>
          <w:rFonts w:ascii="Arial" w:hAnsi="Arial" w:cs="Arial"/>
          <w:color w:val="1C1E29"/>
        </w:rPr>
        <w:t xml:space="preserve"> 7</w:t>
      </w:r>
    </w:p>
    <w:p w14:paraId="24E3A13F" w14:textId="4C114460" w:rsidR="00AD25D2" w:rsidRDefault="00AD25D2" w:rsidP="003D1934">
      <w:pPr>
        <w:pStyle w:val="NormalWeb"/>
        <w:numPr>
          <w:ilvl w:val="2"/>
          <w:numId w:val="4"/>
        </w:numPr>
        <w:spacing w:before="0" w:beforeAutospacing="0" w:after="0" w:afterAutospacing="0" w:line="360" w:lineRule="auto"/>
        <w:rPr>
          <w:rFonts w:ascii="Arial" w:hAnsi="Arial" w:cs="Arial"/>
          <w:color w:val="1C1E29"/>
        </w:rPr>
      </w:pPr>
      <w:r>
        <w:rPr>
          <w:rFonts w:ascii="Arial" w:hAnsi="Arial" w:cs="Arial"/>
          <w:color w:val="1C1E29"/>
        </w:rPr>
        <w:t xml:space="preserve">Inventory Turnover……………………………………………….Page </w:t>
      </w:r>
      <w:r w:rsidR="00680C88">
        <w:rPr>
          <w:rFonts w:ascii="Arial" w:hAnsi="Arial" w:cs="Arial"/>
          <w:color w:val="1C1E29"/>
        </w:rPr>
        <w:t>7</w:t>
      </w:r>
    </w:p>
    <w:p w14:paraId="408BB8D3" w14:textId="4D78E27A" w:rsidR="00AD25D2" w:rsidRPr="003D1934" w:rsidRDefault="00AD25D2" w:rsidP="003D1934">
      <w:pPr>
        <w:pStyle w:val="NormalWeb"/>
        <w:numPr>
          <w:ilvl w:val="2"/>
          <w:numId w:val="4"/>
        </w:numPr>
        <w:spacing w:before="0" w:beforeAutospacing="0" w:after="0" w:afterAutospacing="0" w:line="360" w:lineRule="auto"/>
        <w:rPr>
          <w:rFonts w:ascii="Arial" w:hAnsi="Arial" w:cs="Arial"/>
          <w:color w:val="1C1E29"/>
        </w:rPr>
      </w:pPr>
      <w:r>
        <w:rPr>
          <w:rFonts w:ascii="Arial" w:hAnsi="Arial" w:cs="Arial"/>
          <w:color w:val="1C1E29"/>
        </w:rPr>
        <w:t>Accounts Receivable Turnover…………………………………</w:t>
      </w:r>
      <w:r w:rsidR="003D1934">
        <w:rPr>
          <w:rFonts w:ascii="Arial" w:hAnsi="Arial" w:cs="Arial"/>
          <w:color w:val="1C1E29"/>
        </w:rPr>
        <w:t>Page</w:t>
      </w:r>
      <w:r w:rsidR="00680C88">
        <w:rPr>
          <w:rFonts w:ascii="Arial" w:hAnsi="Arial" w:cs="Arial"/>
          <w:color w:val="1C1E29"/>
        </w:rPr>
        <w:t xml:space="preserve"> 7</w:t>
      </w:r>
    </w:p>
    <w:p w14:paraId="30244923" w14:textId="48327E41" w:rsidR="00AD25D2" w:rsidRDefault="00094430" w:rsidP="003D1934">
      <w:pPr>
        <w:pStyle w:val="NormalWeb"/>
        <w:numPr>
          <w:ilvl w:val="1"/>
          <w:numId w:val="4"/>
        </w:numPr>
        <w:spacing w:before="0" w:beforeAutospacing="0" w:after="0" w:afterAutospacing="0" w:line="360" w:lineRule="auto"/>
        <w:rPr>
          <w:rFonts w:ascii="Arial" w:hAnsi="Arial" w:cs="Arial"/>
          <w:color w:val="1C1E29"/>
        </w:rPr>
      </w:pPr>
      <w:r>
        <w:rPr>
          <w:rFonts w:ascii="Arial" w:hAnsi="Arial" w:cs="Arial"/>
          <w:color w:val="1C1E29"/>
        </w:rPr>
        <w:t>Gearing Ratio</w:t>
      </w:r>
      <w:r w:rsidR="00AD25D2">
        <w:rPr>
          <w:rFonts w:ascii="Arial" w:hAnsi="Arial" w:cs="Arial"/>
          <w:color w:val="1C1E29"/>
        </w:rPr>
        <w:t>s</w:t>
      </w:r>
      <w:r>
        <w:rPr>
          <w:rFonts w:ascii="Arial" w:hAnsi="Arial" w:cs="Arial"/>
          <w:color w:val="1C1E29"/>
        </w:rPr>
        <w:t>…………………………………………………………..</w:t>
      </w:r>
      <w:r w:rsidR="00912E71">
        <w:rPr>
          <w:rFonts w:ascii="Arial" w:hAnsi="Arial" w:cs="Arial"/>
          <w:color w:val="1C1E29"/>
        </w:rPr>
        <w:t>.</w:t>
      </w:r>
      <w:r>
        <w:rPr>
          <w:rFonts w:ascii="Arial" w:hAnsi="Arial" w:cs="Arial"/>
          <w:color w:val="1C1E29"/>
        </w:rPr>
        <w:t>.Page</w:t>
      </w:r>
      <w:r w:rsidR="00912E71">
        <w:rPr>
          <w:rFonts w:ascii="Arial" w:hAnsi="Arial" w:cs="Arial"/>
          <w:color w:val="1C1E29"/>
        </w:rPr>
        <w:t xml:space="preserve"> 7</w:t>
      </w:r>
    </w:p>
    <w:p w14:paraId="7B16929C" w14:textId="0660BCAA" w:rsidR="00AD25D2" w:rsidRDefault="00094430" w:rsidP="003D1934">
      <w:pPr>
        <w:pStyle w:val="NormalWeb"/>
        <w:numPr>
          <w:ilvl w:val="2"/>
          <w:numId w:val="4"/>
        </w:numPr>
        <w:spacing w:before="0" w:beforeAutospacing="0" w:after="0" w:afterAutospacing="0" w:line="360" w:lineRule="auto"/>
        <w:rPr>
          <w:rFonts w:ascii="Arial" w:hAnsi="Arial" w:cs="Arial"/>
          <w:color w:val="1C1E29"/>
        </w:rPr>
      </w:pPr>
      <w:r>
        <w:rPr>
          <w:rFonts w:ascii="Arial" w:hAnsi="Arial" w:cs="Arial"/>
          <w:color w:val="1C1E29"/>
        </w:rPr>
        <w:t>Debt to Equity Ratio</w:t>
      </w:r>
      <w:r w:rsidR="00912E71">
        <w:rPr>
          <w:rFonts w:ascii="Arial" w:hAnsi="Arial" w:cs="Arial"/>
          <w:color w:val="1C1E29"/>
        </w:rPr>
        <w:t>………………………………………………Page 7</w:t>
      </w:r>
    </w:p>
    <w:p w14:paraId="32E45FE7" w14:textId="3C567288" w:rsidR="00AD25D2" w:rsidRDefault="00AD25D2" w:rsidP="003D1934">
      <w:pPr>
        <w:pStyle w:val="NormalWeb"/>
        <w:numPr>
          <w:ilvl w:val="2"/>
          <w:numId w:val="4"/>
        </w:numPr>
        <w:spacing w:before="0" w:beforeAutospacing="0" w:after="0" w:afterAutospacing="0" w:line="360" w:lineRule="auto"/>
        <w:rPr>
          <w:rFonts w:ascii="Arial" w:hAnsi="Arial" w:cs="Arial"/>
          <w:color w:val="1C1E29"/>
        </w:rPr>
      </w:pPr>
      <w:r>
        <w:rPr>
          <w:rFonts w:ascii="Arial" w:hAnsi="Arial" w:cs="Arial"/>
          <w:color w:val="1C1E29"/>
        </w:rPr>
        <w:t>Times Interest Earned Ratio</w:t>
      </w:r>
    </w:p>
    <w:p w14:paraId="4A55C68D" w14:textId="7C9029F3" w:rsidR="00094430" w:rsidRDefault="00094430" w:rsidP="00912E71">
      <w:pPr>
        <w:pStyle w:val="NormalWeb"/>
        <w:numPr>
          <w:ilvl w:val="1"/>
          <w:numId w:val="4"/>
        </w:numPr>
        <w:spacing w:before="0" w:beforeAutospacing="0" w:after="0" w:afterAutospacing="0" w:line="360" w:lineRule="auto"/>
        <w:rPr>
          <w:rFonts w:ascii="Arial" w:hAnsi="Arial" w:cs="Arial"/>
          <w:color w:val="1C1E29"/>
        </w:rPr>
      </w:pPr>
      <w:r>
        <w:rPr>
          <w:rFonts w:ascii="Arial" w:hAnsi="Arial" w:cs="Arial"/>
          <w:color w:val="1C1E29"/>
        </w:rPr>
        <w:t>Investment Ratios………………………………………………………</w:t>
      </w:r>
      <w:r w:rsidR="00912E71">
        <w:rPr>
          <w:rFonts w:ascii="Arial" w:hAnsi="Arial" w:cs="Arial"/>
          <w:color w:val="1C1E29"/>
        </w:rPr>
        <w:t>…</w:t>
      </w:r>
      <w:r>
        <w:rPr>
          <w:rFonts w:ascii="Arial" w:hAnsi="Arial" w:cs="Arial"/>
          <w:color w:val="1C1E29"/>
        </w:rPr>
        <w:t>Page 8</w:t>
      </w:r>
    </w:p>
    <w:p w14:paraId="5B904000" w14:textId="474D775B" w:rsidR="00912E71" w:rsidRDefault="00912E71" w:rsidP="00912E71">
      <w:pPr>
        <w:pStyle w:val="NormalWeb"/>
        <w:spacing w:before="0" w:beforeAutospacing="0" w:after="0" w:afterAutospacing="0" w:line="360" w:lineRule="auto"/>
        <w:ind w:left="765"/>
        <w:rPr>
          <w:rFonts w:ascii="Arial" w:hAnsi="Arial" w:cs="Arial"/>
          <w:color w:val="1C1E29"/>
        </w:rPr>
      </w:pPr>
      <w:proofErr w:type="gramStart"/>
      <w:r>
        <w:rPr>
          <w:rFonts w:ascii="Arial" w:hAnsi="Arial" w:cs="Arial"/>
          <w:color w:val="1C1E29"/>
        </w:rPr>
        <w:t>4.5.1  Return</w:t>
      </w:r>
      <w:proofErr w:type="gramEnd"/>
      <w:r>
        <w:rPr>
          <w:rFonts w:ascii="Arial" w:hAnsi="Arial" w:cs="Arial"/>
          <w:color w:val="1C1E29"/>
        </w:rPr>
        <w:t xml:space="preserve"> on Equity………………………………………...………...Page 8</w:t>
      </w:r>
    </w:p>
    <w:p w14:paraId="5B2BB93C" w14:textId="77777777" w:rsidR="003D1934" w:rsidRPr="003D1934" w:rsidRDefault="003D1934" w:rsidP="003D1934">
      <w:pPr>
        <w:pStyle w:val="NormalWeb"/>
        <w:spacing w:before="0" w:beforeAutospacing="0" w:after="0" w:afterAutospacing="0" w:line="360" w:lineRule="auto"/>
        <w:ind w:left="1440"/>
        <w:rPr>
          <w:rFonts w:ascii="Arial" w:hAnsi="Arial" w:cs="Arial"/>
          <w:color w:val="1C1E29"/>
        </w:rPr>
      </w:pPr>
    </w:p>
    <w:p w14:paraId="314FF62F" w14:textId="3E958A33" w:rsidR="00AD25D2" w:rsidRDefault="00AD25D2" w:rsidP="003D1934">
      <w:pPr>
        <w:pStyle w:val="NormalWeb"/>
        <w:numPr>
          <w:ilvl w:val="0"/>
          <w:numId w:val="4"/>
        </w:numPr>
        <w:spacing w:before="0" w:beforeAutospacing="0" w:after="0" w:afterAutospacing="0" w:line="360" w:lineRule="auto"/>
        <w:rPr>
          <w:rFonts w:ascii="Arial" w:hAnsi="Arial" w:cs="Arial"/>
          <w:color w:val="1C1E29"/>
        </w:rPr>
      </w:pPr>
      <w:r>
        <w:rPr>
          <w:rFonts w:ascii="Arial" w:hAnsi="Arial" w:cs="Arial"/>
          <w:color w:val="1C1E29"/>
        </w:rPr>
        <w:t>Limitations of Ratio Analysis……………………………………………….Page</w:t>
      </w:r>
      <w:r w:rsidR="00680C88">
        <w:rPr>
          <w:rFonts w:ascii="Arial" w:hAnsi="Arial" w:cs="Arial"/>
          <w:color w:val="1C1E29"/>
        </w:rPr>
        <w:t xml:space="preserve"> 8</w:t>
      </w:r>
    </w:p>
    <w:p w14:paraId="376E2237" w14:textId="77777777" w:rsidR="003D1934" w:rsidRDefault="003D1934" w:rsidP="003D1934">
      <w:pPr>
        <w:pStyle w:val="NormalWeb"/>
        <w:spacing w:before="0" w:beforeAutospacing="0" w:after="0" w:afterAutospacing="0" w:line="360" w:lineRule="auto"/>
        <w:ind w:left="360"/>
        <w:rPr>
          <w:rFonts w:ascii="Arial" w:hAnsi="Arial" w:cs="Arial"/>
          <w:color w:val="1C1E29"/>
        </w:rPr>
      </w:pPr>
    </w:p>
    <w:p w14:paraId="7E3FF5F5" w14:textId="09E39CC6" w:rsidR="00AD25D2" w:rsidRDefault="003D1934" w:rsidP="003D1934">
      <w:pPr>
        <w:pStyle w:val="NormalWeb"/>
        <w:numPr>
          <w:ilvl w:val="0"/>
          <w:numId w:val="4"/>
        </w:numPr>
        <w:spacing w:before="0" w:beforeAutospacing="0" w:after="0" w:afterAutospacing="0" w:line="360" w:lineRule="auto"/>
        <w:rPr>
          <w:rFonts w:ascii="Arial" w:hAnsi="Arial" w:cs="Arial"/>
          <w:color w:val="1C1E29"/>
        </w:rPr>
      </w:pPr>
      <w:r>
        <w:rPr>
          <w:rFonts w:ascii="Arial" w:hAnsi="Arial" w:cs="Arial"/>
          <w:color w:val="1C1E29"/>
        </w:rPr>
        <w:t>Recommendations………………………………………………………….Page</w:t>
      </w:r>
      <w:r w:rsidR="00680C88">
        <w:rPr>
          <w:rFonts w:ascii="Arial" w:hAnsi="Arial" w:cs="Arial"/>
          <w:color w:val="1C1E29"/>
        </w:rPr>
        <w:t xml:space="preserve"> 9</w:t>
      </w:r>
    </w:p>
    <w:p w14:paraId="172375A5" w14:textId="77777777" w:rsidR="003D1934" w:rsidRDefault="003D1934" w:rsidP="003D1934">
      <w:pPr>
        <w:pStyle w:val="NormalWeb"/>
        <w:spacing w:before="0" w:beforeAutospacing="0" w:after="0" w:afterAutospacing="0" w:line="360" w:lineRule="auto"/>
        <w:rPr>
          <w:rFonts w:ascii="Arial" w:hAnsi="Arial" w:cs="Arial"/>
          <w:color w:val="1C1E29"/>
        </w:rPr>
      </w:pPr>
    </w:p>
    <w:p w14:paraId="48FDD1F0" w14:textId="7C020E06" w:rsidR="003D1934" w:rsidRDefault="003D1934" w:rsidP="003D1934">
      <w:pPr>
        <w:pStyle w:val="NormalWeb"/>
        <w:numPr>
          <w:ilvl w:val="0"/>
          <w:numId w:val="4"/>
        </w:numPr>
        <w:spacing w:before="0" w:beforeAutospacing="0" w:after="0" w:afterAutospacing="0" w:line="360" w:lineRule="auto"/>
        <w:rPr>
          <w:rFonts w:ascii="Arial" w:hAnsi="Arial" w:cs="Arial"/>
          <w:color w:val="1C1E29"/>
        </w:rPr>
      </w:pPr>
      <w:r>
        <w:rPr>
          <w:rFonts w:ascii="Arial" w:hAnsi="Arial" w:cs="Arial"/>
          <w:color w:val="1C1E29"/>
        </w:rPr>
        <w:t>References………………………………………………………………….Page</w:t>
      </w:r>
      <w:r w:rsidR="00680C88">
        <w:rPr>
          <w:rFonts w:ascii="Arial" w:hAnsi="Arial" w:cs="Arial"/>
          <w:color w:val="1C1E29"/>
        </w:rPr>
        <w:t xml:space="preserve"> 10</w:t>
      </w:r>
    </w:p>
    <w:p w14:paraId="29660D2F" w14:textId="77777777" w:rsidR="003D1934" w:rsidRDefault="003D1934" w:rsidP="003D1934">
      <w:pPr>
        <w:pStyle w:val="NormalWeb"/>
        <w:spacing w:before="0" w:beforeAutospacing="0" w:after="0" w:afterAutospacing="0" w:line="360" w:lineRule="auto"/>
        <w:rPr>
          <w:rFonts w:ascii="Arial" w:hAnsi="Arial" w:cs="Arial"/>
          <w:color w:val="1C1E29"/>
        </w:rPr>
      </w:pPr>
    </w:p>
    <w:p w14:paraId="37EA9CFE" w14:textId="77777777" w:rsidR="00680C88" w:rsidRDefault="00680C88" w:rsidP="003D1934">
      <w:pPr>
        <w:pStyle w:val="NormalWeb"/>
        <w:spacing w:before="0" w:beforeAutospacing="0" w:after="0" w:afterAutospacing="0" w:line="360" w:lineRule="auto"/>
        <w:rPr>
          <w:rFonts w:ascii="Arial" w:hAnsi="Arial" w:cs="Arial"/>
          <w:color w:val="1C1E29"/>
        </w:rPr>
      </w:pPr>
    </w:p>
    <w:p w14:paraId="6BB6D22B" w14:textId="32848B3B" w:rsidR="00053B8A" w:rsidRDefault="003D1934" w:rsidP="003D1934">
      <w:pPr>
        <w:pStyle w:val="NormalWeb"/>
        <w:spacing w:before="0" w:beforeAutospacing="0" w:after="0" w:afterAutospacing="0" w:line="360" w:lineRule="auto"/>
        <w:rPr>
          <w:rFonts w:ascii="Arial" w:hAnsi="Arial" w:cs="Arial"/>
          <w:b/>
          <w:color w:val="1C1E29"/>
        </w:rPr>
      </w:pPr>
      <w:r>
        <w:rPr>
          <w:rFonts w:ascii="Arial" w:hAnsi="Arial" w:cs="Arial"/>
          <w:b/>
          <w:color w:val="1C1E29"/>
        </w:rPr>
        <w:t>1.</w:t>
      </w:r>
      <w:r w:rsidRPr="003D1934">
        <w:rPr>
          <w:rFonts w:ascii="Arial" w:hAnsi="Arial" w:cs="Arial"/>
          <w:b/>
          <w:color w:val="1C1E29"/>
        </w:rPr>
        <w:t xml:space="preserve"> </w:t>
      </w:r>
      <w:r>
        <w:rPr>
          <w:rFonts w:ascii="Arial" w:hAnsi="Arial" w:cs="Arial"/>
          <w:b/>
          <w:color w:val="1C1E29"/>
        </w:rPr>
        <w:t xml:space="preserve"> </w:t>
      </w:r>
      <w:r w:rsidRPr="003D1934">
        <w:rPr>
          <w:rFonts w:ascii="Arial" w:hAnsi="Arial" w:cs="Arial"/>
          <w:b/>
          <w:color w:val="1C1E29"/>
        </w:rPr>
        <w:t>Executive Summary</w:t>
      </w:r>
    </w:p>
    <w:p w14:paraId="1BE38165" w14:textId="6529AFC0" w:rsidR="00671B8E" w:rsidRPr="00671B8E" w:rsidRDefault="00671B8E" w:rsidP="003D1934">
      <w:pPr>
        <w:pStyle w:val="NormalWeb"/>
        <w:spacing w:before="0" w:beforeAutospacing="0" w:after="0" w:afterAutospacing="0" w:line="360" w:lineRule="auto"/>
        <w:rPr>
          <w:rFonts w:ascii="Arial" w:hAnsi="Arial" w:cs="Arial"/>
          <w:color w:val="1C1E29"/>
        </w:rPr>
      </w:pPr>
      <w:r>
        <w:rPr>
          <w:rFonts w:ascii="Arial" w:hAnsi="Arial" w:cs="Arial"/>
          <w:color w:val="1C1E29"/>
        </w:rPr>
        <w:t xml:space="preserve">Initially an in-depth description of Associated British Foods plc is conducted. In this it can be seen that they are large global company with revenue in 2018 of </w:t>
      </w:r>
      <w:r w:rsidRPr="00053B8A">
        <w:rPr>
          <w:rFonts w:ascii="Arial" w:hAnsi="Arial" w:cs="Arial"/>
          <w:color w:val="1C1E29"/>
        </w:rPr>
        <w:t>£15,574 million</w:t>
      </w:r>
      <w:r>
        <w:rPr>
          <w:rFonts w:ascii="Arial" w:hAnsi="Arial" w:cs="Arial"/>
          <w:color w:val="1C1E29"/>
        </w:rPr>
        <w:t xml:space="preserve">. A proposal is then set out to understand the importance and significance of using financial analysis ratios and tools in order for multiple stakeholders to manage and interpret the progression of the company. A financial analysis is then under taken with various financial ratios calculated. This shows that although Associated British Foods plc </w:t>
      </w:r>
      <w:r w:rsidR="004C1272">
        <w:rPr>
          <w:rFonts w:ascii="Arial" w:hAnsi="Arial" w:cs="Arial"/>
          <w:color w:val="1C1E29"/>
        </w:rPr>
        <w:t xml:space="preserve">has high revenue it has had a tough year in all financial areas from </w:t>
      </w:r>
      <w:r>
        <w:rPr>
          <w:rFonts w:ascii="Arial" w:hAnsi="Arial" w:cs="Arial"/>
          <w:color w:val="1C1E29"/>
        </w:rPr>
        <w:t xml:space="preserve">2017 to 2018. </w:t>
      </w:r>
      <w:r w:rsidR="004C1272">
        <w:rPr>
          <w:rFonts w:ascii="Arial" w:hAnsi="Arial" w:cs="Arial"/>
          <w:color w:val="1C1E29"/>
        </w:rPr>
        <w:t xml:space="preserve">This demise in financial stability is then attributed to numerous caused. Finally, recommendations and conclusions are made in ways in which ABF can improve on this data.  </w:t>
      </w:r>
      <w:r>
        <w:rPr>
          <w:rFonts w:ascii="Arial" w:hAnsi="Arial" w:cs="Arial"/>
          <w:color w:val="1C1E29"/>
        </w:rPr>
        <w:t xml:space="preserve"> </w:t>
      </w:r>
    </w:p>
    <w:p w14:paraId="08C07711" w14:textId="77777777" w:rsidR="00053B8A" w:rsidRPr="00053B8A" w:rsidRDefault="00053B8A" w:rsidP="00E570E2">
      <w:pPr>
        <w:pStyle w:val="NormalWeb"/>
        <w:spacing w:before="0" w:beforeAutospacing="0" w:after="0" w:afterAutospacing="0" w:line="360" w:lineRule="auto"/>
        <w:jc w:val="center"/>
        <w:rPr>
          <w:rFonts w:ascii="Arial" w:hAnsi="Arial" w:cs="Arial"/>
          <w:color w:val="1C1E29"/>
        </w:rPr>
      </w:pPr>
    </w:p>
    <w:p w14:paraId="74F4E745" w14:textId="78E7742F" w:rsidR="00E570E2" w:rsidRPr="00053B8A" w:rsidRDefault="00E570E2" w:rsidP="00027B66">
      <w:pPr>
        <w:pStyle w:val="NormalWeb"/>
        <w:numPr>
          <w:ilvl w:val="0"/>
          <w:numId w:val="3"/>
        </w:numPr>
        <w:spacing w:before="0" w:beforeAutospacing="0" w:after="0" w:afterAutospacing="0" w:line="360" w:lineRule="auto"/>
        <w:rPr>
          <w:rFonts w:ascii="Arial" w:hAnsi="Arial" w:cs="Arial"/>
          <w:b/>
          <w:bCs/>
          <w:color w:val="1C1E29"/>
        </w:rPr>
      </w:pPr>
      <w:r w:rsidRPr="00053B8A">
        <w:rPr>
          <w:rFonts w:ascii="Arial" w:hAnsi="Arial" w:cs="Arial"/>
          <w:b/>
          <w:bCs/>
          <w:color w:val="1C1E29"/>
        </w:rPr>
        <w:t>Introduction </w:t>
      </w:r>
    </w:p>
    <w:p w14:paraId="31006603" w14:textId="3D4F4A5C" w:rsidR="00053B8A" w:rsidRPr="00027B66" w:rsidRDefault="00C51B26" w:rsidP="00C51B26">
      <w:pPr>
        <w:pStyle w:val="NormalWeb"/>
        <w:spacing w:before="0" w:beforeAutospacing="0" w:after="0" w:afterAutospacing="0" w:line="360" w:lineRule="auto"/>
        <w:ind w:firstLine="720"/>
        <w:rPr>
          <w:rFonts w:ascii="Arial" w:hAnsi="Arial" w:cs="Arial"/>
          <w:color w:val="1C1E29"/>
        </w:rPr>
      </w:pPr>
      <w:r>
        <w:rPr>
          <w:rFonts w:ascii="Arial" w:hAnsi="Arial" w:cs="Arial"/>
          <w:color w:val="1C1E29"/>
        </w:rPr>
        <w:t>The finance function of a business involves three key areas; Strategic Management, Operations Management Risk Management. To get an overview of all these areas, as well as understand the positive and negative impact of sectors of a company, it is important to be able to conduct analysis into a company’s financial report (</w:t>
      </w:r>
      <w:proofErr w:type="spellStart"/>
      <w:r>
        <w:rPr>
          <w:rFonts w:ascii="Arial" w:hAnsi="Arial" w:cs="Arial"/>
          <w:color w:val="1C1E29"/>
        </w:rPr>
        <w:t>Antril</w:t>
      </w:r>
      <w:r w:rsidR="005D2E09">
        <w:rPr>
          <w:rFonts w:ascii="Arial" w:hAnsi="Arial" w:cs="Arial"/>
          <w:color w:val="1C1E29"/>
        </w:rPr>
        <w:t>l</w:t>
      </w:r>
      <w:proofErr w:type="spellEnd"/>
      <w:r>
        <w:rPr>
          <w:rFonts w:ascii="Arial" w:hAnsi="Arial" w:cs="Arial"/>
          <w:color w:val="1C1E29"/>
        </w:rPr>
        <w:t>,</w:t>
      </w:r>
      <w:r w:rsidR="005D2E09">
        <w:rPr>
          <w:rFonts w:ascii="Arial" w:hAnsi="Arial" w:cs="Arial"/>
          <w:color w:val="1C1E29"/>
        </w:rPr>
        <w:t xml:space="preserve"> 2012</w:t>
      </w:r>
      <w:r>
        <w:rPr>
          <w:rFonts w:ascii="Arial" w:hAnsi="Arial" w:cs="Arial"/>
          <w:color w:val="1C1E29"/>
        </w:rPr>
        <w:t xml:space="preserve">).  </w:t>
      </w:r>
      <w:r w:rsidR="00EA034F">
        <w:rPr>
          <w:rFonts w:ascii="Arial" w:hAnsi="Arial" w:cs="Arial"/>
          <w:color w:val="1C1E29"/>
        </w:rPr>
        <w:t xml:space="preserve">It is also a key indicator for all decision makers and can be useful for many stakeholders in a business. </w:t>
      </w:r>
      <w:r w:rsidR="003618B2">
        <w:rPr>
          <w:rFonts w:ascii="Arial" w:hAnsi="Arial" w:cs="Arial"/>
          <w:color w:val="1C1E29"/>
        </w:rPr>
        <w:t xml:space="preserve">This assignment will use financial ratios and analysis to determine the financial profitability, liquidity, efficiency and debt relationship of the Associated British Foods plc. </w:t>
      </w:r>
      <w:r w:rsidR="00E570E2" w:rsidRPr="00053B8A">
        <w:rPr>
          <w:rFonts w:ascii="Arial" w:hAnsi="Arial" w:cs="Arial"/>
          <w:color w:val="1C1E29"/>
        </w:rPr>
        <w:t>The analysis will also compare ABF performance against industry metrics to determine where the firm stands competitively and make recommendations on how it can improve to stay ahead of its competitors. </w:t>
      </w:r>
    </w:p>
    <w:p w14:paraId="77565F1F" w14:textId="77777777" w:rsidR="00053B8A" w:rsidRDefault="00053B8A" w:rsidP="00E570E2">
      <w:pPr>
        <w:pStyle w:val="NormalWeb"/>
        <w:spacing w:before="0" w:beforeAutospacing="0" w:after="0" w:afterAutospacing="0" w:line="360" w:lineRule="auto"/>
        <w:rPr>
          <w:rFonts w:ascii="Arial" w:hAnsi="Arial" w:cs="Arial"/>
          <w:b/>
          <w:bCs/>
          <w:color w:val="1C1E29"/>
        </w:rPr>
      </w:pPr>
    </w:p>
    <w:p w14:paraId="645EADAD" w14:textId="4454347E" w:rsidR="00E570E2" w:rsidRPr="00053B8A" w:rsidRDefault="00E570E2" w:rsidP="00027B66">
      <w:pPr>
        <w:pStyle w:val="NormalWeb"/>
        <w:numPr>
          <w:ilvl w:val="0"/>
          <w:numId w:val="3"/>
        </w:numPr>
        <w:spacing w:before="0" w:beforeAutospacing="0" w:after="0" w:afterAutospacing="0" w:line="360" w:lineRule="auto"/>
        <w:rPr>
          <w:rFonts w:ascii="Arial" w:hAnsi="Arial" w:cs="Arial"/>
          <w:b/>
          <w:bCs/>
          <w:color w:val="1C1E29"/>
        </w:rPr>
      </w:pPr>
      <w:r w:rsidRPr="00053B8A">
        <w:rPr>
          <w:rFonts w:ascii="Arial" w:hAnsi="Arial" w:cs="Arial"/>
          <w:b/>
          <w:bCs/>
          <w:color w:val="1C1E29"/>
        </w:rPr>
        <w:t xml:space="preserve">Company Profile </w:t>
      </w:r>
    </w:p>
    <w:p w14:paraId="55359713" w14:textId="23F67F5D" w:rsidR="009925B2" w:rsidRPr="00053B8A" w:rsidRDefault="00E570E2" w:rsidP="009925B2">
      <w:pPr>
        <w:pStyle w:val="NormalWeb"/>
        <w:spacing w:before="0" w:beforeAutospacing="0" w:after="0" w:afterAutospacing="0" w:line="360" w:lineRule="auto"/>
        <w:ind w:firstLine="720"/>
        <w:rPr>
          <w:rFonts w:ascii="Arial" w:hAnsi="Arial" w:cs="Arial"/>
          <w:color w:val="1C1E29"/>
        </w:rPr>
      </w:pPr>
      <w:r w:rsidRPr="00053B8A">
        <w:rPr>
          <w:rFonts w:ascii="Arial" w:hAnsi="Arial" w:cs="Arial"/>
          <w:color w:val="1C1E29"/>
        </w:rPr>
        <w:t>Associated British Foods (ABF) Inc. is a multinational company that processes and retails food products. It was founded in 1935, and it is headquartered in London, United Kingdom. ABF is a public limited company that trades in London Stock Exchange (LSE) with an abbreviation of ABF and is one of FTSE 100 Companies. It operates in food retail processing (consumer products) industry and consumer staples sector. The company manufactures, processes, and retails food products, including sugar and grocery items</w:t>
      </w:r>
      <w:r w:rsidR="00F31DD8">
        <w:rPr>
          <w:rFonts w:ascii="Arial" w:hAnsi="Arial" w:cs="Arial"/>
          <w:color w:val="1C1E29"/>
        </w:rPr>
        <w:t xml:space="preserve"> (Associated British Foods, 2018)</w:t>
      </w:r>
      <w:r w:rsidRPr="00053B8A">
        <w:rPr>
          <w:rFonts w:ascii="Arial" w:hAnsi="Arial" w:cs="Arial"/>
          <w:color w:val="1C1E29"/>
        </w:rPr>
        <w:t xml:space="preserve">. </w:t>
      </w:r>
    </w:p>
    <w:p w14:paraId="6447CA29" w14:textId="17274CA0" w:rsidR="009925B2" w:rsidRPr="00053B8A" w:rsidRDefault="009925B2" w:rsidP="009925B2">
      <w:pPr>
        <w:pStyle w:val="NormalWeb"/>
        <w:spacing w:before="0" w:beforeAutospacing="0" w:after="0" w:afterAutospacing="0" w:line="360" w:lineRule="auto"/>
        <w:ind w:firstLine="720"/>
        <w:rPr>
          <w:rFonts w:ascii="Arial" w:hAnsi="Arial" w:cs="Arial"/>
          <w:color w:val="1C1E29"/>
        </w:rPr>
      </w:pPr>
      <w:r w:rsidRPr="00053B8A">
        <w:rPr>
          <w:rFonts w:ascii="Arial" w:hAnsi="Arial" w:cs="Arial"/>
          <w:color w:val="1C1E29"/>
        </w:rPr>
        <w:lastRenderedPageBreak/>
        <w:t>ABF</w:t>
      </w:r>
      <w:r w:rsidR="00E570E2" w:rsidRPr="00053B8A">
        <w:rPr>
          <w:rFonts w:ascii="Arial" w:hAnsi="Arial" w:cs="Arial"/>
          <w:color w:val="1C1E29"/>
        </w:rPr>
        <w:t xml:space="preserve"> operates in five segments – grocery, sugar, agriculture, ingredients, and retail – and has over 137,000 employees. In the sugar segment, ABF is the leading sugar business across the globe, with more than 32,000 workers across 24 factories and ten countries; and produces over four tonnes of sugar annually. In the agriculture segment, AB Agri has gone to become a significant force in the agriculture sector in the UK; today, the company has extended its agriculture to global markets. In this segment, the company supplies technology-based goods to farmers, processors, retailers, feed and food manufacturers; facilitates over 70 countries. In the retail segment, ABF subsidiary Primark is a successful retail group that operates in the value fashion in major countries in Europe and has over 360 stores</w:t>
      </w:r>
      <w:r w:rsidR="00F31DD8">
        <w:rPr>
          <w:rFonts w:ascii="Arial" w:hAnsi="Arial" w:cs="Arial"/>
          <w:color w:val="1C1E29"/>
        </w:rPr>
        <w:t xml:space="preserve"> (Associated British Foods, 2018)</w:t>
      </w:r>
      <w:r w:rsidR="00E570E2" w:rsidRPr="00053B8A">
        <w:rPr>
          <w:rFonts w:ascii="Arial" w:hAnsi="Arial" w:cs="Arial"/>
          <w:color w:val="1C1E29"/>
        </w:rPr>
        <w:t xml:space="preserve">. </w:t>
      </w:r>
    </w:p>
    <w:p w14:paraId="4142D1B3" w14:textId="6F9810AF" w:rsidR="00053B8A" w:rsidRPr="00053B8A" w:rsidRDefault="00E570E2" w:rsidP="00027B66">
      <w:pPr>
        <w:pStyle w:val="NormalWeb"/>
        <w:spacing w:before="0" w:beforeAutospacing="0" w:after="0" w:afterAutospacing="0" w:line="360" w:lineRule="auto"/>
        <w:ind w:firstLine="720"/>
        <w:rPr>
          <w:rFonts w:ascii="Arial" w:hAnsi="Arial" w:cs="Arial"/>
          <w:color w:val="1C1E29"/>
        </w:rPr>
      </w:pPr>
      <w:r w:rsidRPr="00053B8A">
        <w:rPr>
          <w:rFonts w:ascii="Arial" w:hAnsi="Arial" w:cs="Arial"/>
          <w:color w:val="1C1E29"/>
        </w:rPr>
        <w:t>Financially, the company</w:t>
      </w:r>
      <w:r w:rsidR="004C1272">
        <w:rPr>
          <w:rFonts w:ascii="Arial" w:hAnsi="Arial" w:cs="Arial"/>
          <w:color w:val="1C1E29"/>
        </w:rPr>
        <w:t>, on the initial outlook, looks like it is performing well</w:t>
      </w:r>
      <w:r w:rsidRPr="00053B8A">
        <w:rPr>
          <w:rFonts w:ascii="Arial" w:hAnsi="Arial" w:cs="Arial"/>
          <w:color w:val="1C1E29"/>
        </w:rPr>
        <w:t xml:space="preserve">. In 2018, the company posted revenues </w:t>
      </w:r>
      <w:r w:rsidR="005246FC" w:rsidRPr="00053B8A">
        <w:rPr>
          <w:rFonts w:ascii="Arial" w:hAnsi="Arial" w:cs="Arial"/>
          <w:color w:val="1C1E29"/>
        </w:rPr>
        <w:t>totalling</w:t>
      </w:r>
      <w:r w:rsidRPr="00053B8A">
        <w:rPr>
          <w:rFonts w:ascii="Arial" w:hAnsi="Arial" w:cs="Arial"/>
          <w:color w:val="1C1E29"/>
        </w:rPr>
        <w:t xml:space="preserve"> £15,574 million, operating income of £1,344 million, and net income of £1,022 million. The stock is currently trading as at £2,229.00</w:t>
      </w:r>
      <w:r w:rsidR="0030389F">
        <w:rPr>
          <w:rFonts w:ascii="Arial" w:hAnsi="Arial" w:cs="Arial"/>
          <w:color w:val="1C1E29"/>
        </w:rPr>
        <w:t xml:space="preserve"> (Investing.com, 2019)</w:t>
      </w:r>
      <w:r w:rsidRPr="00053B8A">
        <w:rPr>
          <w:rFonts w:ascii="Arial" w:hAnsi="Arial" w:cs="Arial"/>
          <w:color w:val="1C1E29"/>
        </w:rPr>
        <w:t>. ABF’s management perspective is to remain the market leader by focusing on investments, especially in research and development, environmental policy, capital expenditure, and its workforce. Their mission is to offer safe, nutritious, affordable food products, clothing items, and services that are in great value for money</w:t>
      </w:r>
      <w:r w:rsidR="0030389F">
        <w:rPr>
          <w:rFonts w:ascii="Arial" w:hAnsi="Arial" w:cs="Arial"/>
          <w:color w:val="1C1E29"/>
        </w:rPr>
        <w:t xml:space="preserve"> (Associated British Foods, 2018)</w:t>
      </w:r>
      <w:r w:rsidR="0030389F" w:rsidRPr="00053B8A">
        <w:rPr>
          <w:rFonts w:ascii="Arial" w:hAnsi="Arial" w:cs="Arial"/>
          <w:color w:val="1C1E29"/>
        </w:rPr>
        <w:t>.</w:t>
      </w:r>
      <w:r w:rsidRPr="00053B8A">
        <w:rPr>
          <w:rFonts w:ascii="Arial" w:hAnsi="Arial" w:cs="Arial"/>
          <w:color w:val="1C1E29"/>
        </w:rPr>
        <w:t> </w:t>
      </w:r>
    </w:p>
    <w:p w14:paraId="62335C91" w14:textId="77777777" w:rsidR="00053B8A" w:rsidRPr="00053B8A" w:rsidRDefault="00053B8A" w:rsidP="00053B8A">
      <w:pPr>
        <w:pStyle w:val="NormalWeb"/>
        <w:spacing w:before="0" w:beforeAutospacing="0" w:after="0" w:afterAutospacing="0" w:line="360" w:lineRule="auto"/>
        <w:rPr>
          <w:rFonts w:ascii="Arial" w:hAnsi="Arial" w:cs="Arial"/>
          <w:b/>
          <w:bCs/>
          <w:color w:val="1C1E29"/>
        </w:rPr>
      </w:pPr>
    </w:p>
    <w:p w14:paraId="01CF67AE" w14:textId="2A9A7596" w:rsidR="00E570E2" w:rsidRDefault="00027B66" w:rsidP="00027B66">
      <w:pPr>
        <w:pStyle w:val="NormalWeb"/>
        <w:numPr>
          <w:ilvl w:val="0"/>
          <w:numId w:val="3"/>
        </w:numPr>
        <w:spacing w:before="0" w:beforeAutospacing="0" w:after="0" w:afterAutospacing="0" w:line="360" w:lineRule="auto"/>
        <w:rPr>
          <w:rFonts w:ascii="Arial" w:hAnsi="Arial" w:cs="Arial"/>
          <w:b/>
          <w:bCs/>
          <w:color w:val="1C1E29"/>
        </w:rPr>
      </w:pPr>
      <w:r>
        <w:rPr>
          <w:rFonts w:ascii="Arial" w:hAnsi="Arial" w:cs="Arial"/>
          <w:b/>
          <w:bCs/>
          <w:color w:val="1C1E29"/>
        </w:rPr>
        <w:t xml:space="preserve"> </w:t>
      </w:r>
      <w:r w:rsidR="00E570E2" w:rsidRPr="00053B8A">
        <w:rPr>
          <w:rFonts w:ascii="Arial" w:hAnsi="Arial" w:cs="Arial"/>
          <w:b/>
          <w:bCs/>
          <w:color w:val="1C1E29"/>
        </w:rPr>
        <w:t xml:space="preserve">Financial Ratios </w:t>
      </w:r>
    </w:p>
    <w:p w14:paraId="4C7A4D90" w14:textId="77777777" w:rsidR="005D2E09" w:rsidRDefault="005D2E09" w:rsidP="009925B2">
      <w:pPr>
        <w:pStyle w:val="NormalWeb"/>
        <w:spacing w:before="0" w:beforeAutospacing="0" w:after="0" w:afterAutospacing="0" w:line="360" w:lineRule="auto"/>
        <w:ind w:firstLine="720"/>
        <w:rPr>
          <w:rFonts w:ascii="Arial" w:hAnsi="Arial" w:cs="Arial"/>
          <w:b/>
          <w:bCs/>
          <w:color w:val="1C1E29"/>
        </w:rPr>
      </w:pPr>
    </w:p>
    <w:p w14:paraId="0CC93B22" w14:textId="50082E11" w:rsidR="00E570E2" w:rsidRDefault="005D2E09" w:rsidP="005D2E09">
      <w:pPr>
        <w:pStyle w:val="NormalWeb"/>
        <w:spacing w:before="0" w:beforeAutospacing="0" w:after="0" w:afterAutospacing="0" w:line="360" w:lineRule="auto"/>
        <w:rPr>
          <w:rFonts w:ascii="Arial" w:hAnsi="Arial" w:cs="Arial"/>
          <w:color w:val="1C1E29"/>
        </w:rPr>
      </w:pPr>
      <w:r>
        <w:rPr>
          <w:rFonts w:ascii="Arial" w:hAnsi="Arial" w:cs="Arial"/>
          <w:bCs/>
          <w:color w:val="1C1E29"/>
        </w:rPr>
        <w:t>Financial ratios “provide a quick and relatively simple means of assessing the financial health of a business” (</w:t>
      </w:r>
      <w:proofErr w:type="spellStart"/>
      <w:r>
        <w:rPr>
          <w:rFonts w:ascii="Arial" w:hAnsi="Arial" w:cs="Arial"/>
          <w:bCs/>
          <w:color w:val="1C1E29"/>
        </w:rPr>
        <w:t>Antrill</w:t>
      </w:r>
      <w:proofErr w:type="spellEnd"/>
      <w:r>
        <w:rPr>
          <w:rFonts w:ascii="Arial" w:hAnsi="Arial" w:cs="Arial"/>
          <w:bCs/>
          <w:color w:val="1C1E29"/>
        </w:rPr>
        <w:t>, 2011). With companies such as ABF, that are producing such high revenue, it is easily misconstrued as evidence of a healthy company. However, financial ratios allow for comparison of companies with a varying array of revenues and so in turn allows stakeholders to evaluate potential downfalls (</w:t>
      </w:r>
      <w:proofErr w:type="spellStart"/>
      <w:r>
        <w:rPr>
          <w:rFonts w:ascii="Arial" w:hAnsi="Arial" w:cs="Arial"/>
          <w:bCs/>
          <w:color w:val="1C1E29"/>
        </w:rPr>
        <w:t>Antrill</w:t>
      </w:r>
      <w:proofErr w:type="spellEnd"/>
      <w:r>
        <w:rPr>
          <w:rFonts w:ascii="Arial" w:hAnsi="Arial" w:cs="Arial"/>
          <w:bCs/>
          <w:color w:val="1C1E29"/>
        </w:rPr>
        <w:t>,</w:t>
      </w:r>
      <w:r w:rsidR="009A0BD0">
        <w:rPr>
          <w:rFonts w:ascii="Arial" w:hAnsi="Arial" w:cs="Arial"/>
          <w:bCs/>
          <w:color w:val="1C1E29"/>
        </w:rPr>
        <w:t xml:space="preserve"> 2011)</w:t>
      </w:r>
      <w:r>
        <w:rPr>
          <w:rFonts w:ascii="Arial" w:hAnsi="Arial" w:cs="Arial"/>
          <w:bCs/>
          <w:color w:val="1C1E29"/>
        </w:rPr>
        <w:t xml:space="preserve"> </w:t>
      </w:r>
      <w:r w:rsidR="00E570E2" w:rsidRPr="00053B8A">
        <w:rPr>
          <w:rFonts w:ascii="Arial" w:hAnsi="Arial" w:cs="Arial"/>
          <w:color w:val="1C1E29"/>
        </w:rPr>
        <w:t>For ABF, financial areas are done to evaluate the company’s performance and financial health using data of their last two accounting periods – 2017 and 2018. Here, financial ratios will be used as quantitative tools to gain insight into the firm’s operational efficiency, liquidity, and profitability by comparing data contained in their financial statements in the firm’s annual report</w:t>
      </w:r>
      <w:r w:rsidR="005246FC" w:rsidRPr="00053B8A">
        <w:rPr>
          <w:rFonts w:ascii="Arial" w:hAnsi="Arial" w:cs="Arial"/>
          <w:color w:val="1C1E29"/>
        </w:rPr>
        <w:t xml:space="preserve">s. </w:t>
      </w:r>
    </w:p>
    <w:p w14:paraId="4954CACA" w14:textId="77777777" w:rsidR="00027B66" w:rsidRDefault="00027B66" w:rsidP="009925B2">
      <w:pPr>
        <w:pStyle w:val="NormalWeb"/>
        <w:spacing w:before="0" w:beforeAutospacing="0" w:after="0" w:afterAutospacing="0" w:line="360" w:lineRule="auto"/>
        <w:ind w:firstLine="720"/>
        <w:rPr>
          <w:rFonts w:ascii="Arial" w:hAnsi="Arial" w:cs="Arial"/>
          <w:color w:val="1C1E29"/>
        </w:rPr>
      </w:pPr>
    </w:p>
    <w:p w14:paraId="1BB00252" w14:textId="77777777" w:rsidR="00094430" w:rsidRPr="00053B8A" w:rsidRDefault="00094430" w:rsidP="009925B2">
      <w:pPr>
        <w:pStyle w:val="NormalWeb"/>
        <w:spacing w:before="0" w:beforeAutospacing="0" w:after="0" w:afterAutospacing="0" w:line="360" w:lineRule="auto"/>
        <w:ind w:firstLine="720"/>
        <w:rPr>
          <w:rFonts w:ascii="Arial" w:hAnsi="Arial" w:cs="Arial"/>
          <w:color w:val="1C1E29"/>
        </w:rPr>
      </w:pPr>
    </w:p>
    <w:p w14:paraId="1EEE2E52" w14:textId="2DEE577A" w:rsidR="00E570E2" w:rsidRPr="00053B8A" w:rsidRDefault="00AD25D2" w:rsidP="00E570E2">
      <w:pPr>
        <w:pStyle w:val="NormalWeb"/>
        <w:spacing w:before="0" w:beforeAutospacing="0" w:after="0" w:afterAutospacing="0" w:line="360" w:lineRule="auto"/>
        <w:rPr>
          <w:rFonts w:ascii="Arial" w:hAnsi="Arial" w:cs="Arial"/>
          <w:b/>
          <w:bCs/>
          <w:color w:val="1C1E29"/>
        </w:rPr>
      </w:pPr>
      <w:r>
        <w:rPr>
          <w:rFonts w:ascii="Arial" w:hAnsi="Arial" w:cs="Arial"/>
          <w:b/>
          <w:bCs/>
          <w:color w:val="1C1E29"/>
        </w:rPr>
        <w:lastRenderedPageBreak/>
        <w:t>4.1</w:t>
      </w:r>
      <w:r w:rsidR="00027B66">
        <w:rPr>
          <w:rFonts w:ascii="Arial" w:hAnsi="Arial" w:cs="Arial"/>
          <w:b/>
          <w:bCs/>
          <w:color w:val="1C1E29"/>
        </w:rPr>
        <w:t xml:space="preserve"> </w:t>
      </w:r>
      <w:r w:rsidR="00E570E2" w:rsidRPr="00053B8A">
        <w:rPr>
          <w:rFonts w:ascii="Arial" w:hAnsi="Arial" w:cs="Arial"/>
          <w:b/>
          <w:bCs/>
          <w:color w:val="1C1E29"/>
        </w:rPr>
        <w:t>Liquidity Ratios</w:t>
      </w:r>
    </w:p>
    <w:p w14:paraId="3273B548" w14:textId="059E2253" w:rsidR="00E570E2" w:rsidRPr="00053B8A" w:rsidRDefault="009A0BD0" w:rsidP="009925B2">
      <w:pPr>
        <w:pStyle w:val="NormalWeb"/>
        <w:spacing w:before="0" w:beforeAutospacing="0" w:after="0" w:afterAutospacing="0" w:line="360" w:lineRule="auto"/>
        <w:ind w:firstLine="720"/>
        <w:rPr>
          <w:rFonts w:ascii="Arial" w:hAnsi="Arial" w:cs="Arial"/>
          <w:color w:val="1C1E29"/>
        </w:rPr>
      </w:pPr>
      <w:r>
        <w:rPr>
          <w:rFonts w:ascii="Arial" w:hAnsi="Arial" w:cs="Arial"/>
          <w:color w:val="1C1E29"/>
        </w:rPr>
        <w:t xml:space="preserve">Liquidity ratios are calculations which enable the analysis of whether a company is able to pay of its debts </w:t>
      </w:r>
      <w:r w:rsidR="00E570E2" w:rsidRPr="00053B8A">
        <w:rPr>
          <w:rFonts w:ascii="Arial" w:hAnsi="Arial" w:cs="Arial"/>
          <w:color w:val="1C1E29"/>
        </w:rPr>
        <w:t xml:space="preserve">(short-and-long-term) without the need for external capital. </w:t>
      </w:r>
      <w:r>
        <w:rPr>
          <w:rFonts w:ascii="Arial" w:hAnsi="Arial" w:cs="Arial"/>
          <w:color w:val="1C1E29"/>
        </w:rPr>
        <w:t>Associated British Food plc liquidi</w:t>
      </w:r>
      <w:r w:rsidR="00E570E2" w:rsidRPr="00053B8A">
        <w:rPr>
          <w:rFonts w:ascii="Arial" w:hAnsi="Arial" w:cs="Arial"/>
          <w:color w:val="1C1E29"/>
        </w:rPr>
        <w:t>t</w:t>
      </w:r>
      <w:r>
        <w:rPr>
          <w:rFonts w:ascii="Arial" w:hAnsi="Arial" w:cs="Arial"/>
          <w:color w:val="1C1E29"/>
        </w:rPr>
        <w:t>y will be evaluated t</w:t>
      </w:r>
      <w:r w:rsidR="00E570E2" w:rsidRPr="00053B8A">
        <w:rPr>
          <w:rFonts w:ascii="Arial" w:hAnsi="Arial" w:cs="Arial"/>
          <w:color w:val="1C1E29"/>
        </w:rPr>
        <w:t>hrough computations of metrics such as current ratio, quick ratio, working capital, and cash ratio. </w:t>
      </w:r>
    </w:p>
    <w:p w14:paraId="1BFE49E9" w14:textId="52096775" w:rsidR="00E570E2" w:rsidRPr="00053B8A" w:rsidRDefault="00AD25D2" w:rsidP="00E570E2">
      <w:pPr>
        <w:pStyle w:val="NormalWeb"/>
        <w:spacing w:before="0" w:beforeAutospacing="0" w:after="0" w:afterAutospacing="0" w:line="360" w:lineRule="auto"/>
        <w:rPr>
          <w:rFonts w:ascii="Arial" w:hAnsi="Arial" w:cs="Arial"/>
          <w:b/>
          <w:bCs/>
          <w:i/>
          <w:iCs/>
          <w:color w:val="1C1E29"/>
        </w:rPr>
      </w:pPr>
      <w:r>
        <w:rPr>
          <w:rFonts w:ascii="Arial" w:hAnsi="Arial" w:cs="Arial"/>
          <w:b/>
          <w:bCs/>
          <w:i/>
          <w:iCs/>
          <w:color w:val="1C1E29"/>
        </w:rPr>
        <w:t>4.1</w:t>
      </w:r>
      <w:r w:rsidR="00027B66">
        <w:rPr>
          <w:rFonts w:ascii="Arial" w:hAnsi="Arial" w:cs="Arial"/>
          <w:b/>
          <w:bCs/>
          <w:i/>
          <w:iCs/>
          <w:color w:val="1C1E29"/>
        </w:rPr>
        <w:t xml:space="preserve">.1 </w:t>
      </w:r>
      <w:r w:rsidR="00E570E2" w:rsidRPr="00053B8A">
        <w:rPr>
          <w:rFonts w:ascii="Arial" w:hAnsi="Arial" w:cs="Arial"/>
          <w:b/>
          <w:bCs/>
          <w:i/>
          <w:iCs/>
          <w:color w:val="1C1E29"/>
        </w:rPr>
        <w:t>Current Ratio </w:t>
      </w:r>
    </w:p>
    <w:p w14:paraId="05663B10" w14:textId="32CF4D82" w:rsidR="00E570E2" w:rsidRPr="00053B8A" w:rsidRDefault="00E570E2" w:rsidP="009925B2">
      <w:pPr>
        <w:pStyle w:val="NormalWeb"/>
        <w:spacing w:before="0" w:beforeAutospacing="0" w:after="0" w:afterAutospacing="0" w:line="360" w:lineRule="auto"/>
        <w:ind w:firstLine="720"/>
        <w:rPr>
          <w:rFonts w:ascii="Arial" w:hAnsi="Arial" w:cs="Arial"/>
          <w:color w:val="1C1E29"/>
        </w:rPr>
      </w:pPr>
      <w:r w:rsidRPr="00053B8A">
        <w:rPr>
          <w:rFonts w:ascii="Arial" w:hAnsi="Arial" w:cs="Arial"/>
          <w:color w:val="1C1E29"/>
        </w:rPr>
        <w:t xml:space="preserve">This ratio is used to </w:t>
      </w:r>
      <w:r w:rsidR="00FD59D1">
        <w:rPr>
          <w:rFonts w:ascii="Arial" w:hAnsi="Arial" w:cs="Arial"/>
          <w:color w:val="1C1E29"/>
        </w:rPr>
        <w:t>gauge</w:t>
      </w:r>
      <w:r w:rsidRPr="00053B8A">
        <w:rPr>
          <w:rFonts w:ascii="Arial" w:hAnsi="Arial" w:cs="Arial"/>
          <w:color w:val="1C1E29"/>
        </w:rPr>
        <w:t xml:space="preserve"> ABF’s ability to pay off their short-term debt obligations by dividing current assets by current liabilities. It is a key measure of liquidity since short-term debts are due within one accounting period; hence, the firm has a limited timeframe to raise funds for paying off these liabilities. For ABF, the current ratio decreased from 1.64 in 2017 to 1.62 in 2018. This show that the company had higher amounts of current liabilities and</w:t>
      </w:r>
      <w:r w:rsidR="00FD59D1">
        <w:rPr>
          <w:rFonts w:ascii="Arial" w:hAnsi="Arial" w:cs="Arial"/>
          <w:color w:val="1C1E29"/>
        </w:rPr>
        <w:t xml:space="preserve"> less amounts of current assets and would mean if they needed to settle the current liabilities they would be less likely to be able to complete these by selling current assets in to monies ready to pay off any debt needed. </w:t>
      </w:r>
    </w:p>
    <w:p w14:paraId="3DF4949D" w14:textId="69317DD6" w:rsidR="00E570E2" w:rsidRPr="00053B8A" w:rsidRDefault="00AD25D2" w:rsidP="00E570E2">
      <w:pPr>
        <w:pStyle w:val="NormalWeb"/>
        <w:spacing w:before="0" w:beforeAutospacing="0" w:after="0" w:afterAutospacing="0" w:line="360" w:lineRule="auto"/>
        <w:rPr>
          <w:rFonts w:ascii="Arial" w:hAnsi="Arial" w:cs="Arial"/>
          <w:b/>
          <w:bCs/>
          <w:i/>
          <w:iCs/>
          <w:color w:val="1C1E29"/>
        </w:rPr>
      </w:pPr>
      <w:r>
        <w:rPr>
          <w:rFonts w:ascii="Arial" w:hAnsi="Arial" w:cs="Arial"/>
          <w:b/>
          <w:bCs/>
          <w:i/>
          <w:iCs/>
          <w:color w:val="1C1E29"/>
        </w:rPr>
        <w:t>4.1</w:t>
      </w:r>
      <w:r w:rsidR="00027B66">
        <w:rPr>
          <w:rFonts w:ascii="Arial" w:hAnsi="Arial" w:cs="Arial"/>
          <w:b/>
          <w:bCs/>
          <w:i/>
          <w:iCs/>
          <w:color w:val="1C1E29"/>
        </w:rPr>
        <w:t xml:space="preserve">.2 </w:t>
      </w:r>
      <w:r w:rsidR="00E570E2" w:rsidRPr="00053B8A">
        <w:rPr>
          <w:rFonts w:ascii="Arial" w:hAnsi="Arial" w:cs="Arial"/>
          <w:b/>
          <w:bCs/>
          <w:i/>
          <w:iCs/>
          <w:color w:val="1C1E29"/>
        </w:rPr>
        <w:t>Quick Ratio </w:t>
      </w:r>
    </w:p>
    <w:p w14:paraId="6AF62B47" w14:textId="77777777" w:rsidR="00E570E2" w:rsidRPr="00053B8A" w:rsidRDefault="00E570E2" w:rsidP="009925B2">
      <w:pPr>
        <w:pStyle w:val="NormalWeb"/>
        <w:spacing w:before="0" w:beforeAutospacing="0" w:after="0" w:afterAutospacing="0" w:line="360" w:lineRule="auto"/>
        <w:ind w:firstLine="720"/>
        <w:rPr>
          <w:rFonts w:ascii="Arial" w:hAnsi="Arial" w:cs="Arial"/>
          <w:color w:val="1C1E29"/>
        </w:rPr>
      </w:pPr>
      <w:r w:rsidRPr="00053B8A">
        <w:rPr>
          <w:rFonts w:ascii="Arial" w:hAnsi="Arial" w:cs="Arial"/>
          <w:color w:val="1C1E29"/>
        </w:rPr>
        <w:t>Also known as acid-test, quick ratio is used to measure how well the company pays off its short-term debt obligations when they come due by using only their quick assets – assets that can be converted into cash with 90 days such as cash, cash equivalents, marketable securities or short-term investments, and current accounts receivables. For ABF, the quick ratio decreased from 0.49 in 2017 to 0.43 in 2018. The decrease can be attributed to the fact that there were no short-term investments in 2018 compared to 2017; thus, contributing to lesser current assets and higher current liabilities. </w:t>
      </w:r>
    </w:p>
    <w:p w14:paraId="00E73C08" w14:textId="2BCD2433" w:rsidR="00E570E2" w:rsidRPr="00053B8A" w:rsidRDefault="00AD25D2" w:rsidP="00E570E2">
      <w:pPr>
        <w:pStyle w:val="NormalWeb"/>
        <w:spacing w:before="0" w:beforeAutospacing="0" w:after="0" w:afterAutospacing="0" w:line="360" w:lineRule="auto"/>
        <w:rPr>
          <w:rFonts w:ascii="Arial" w:hAnsi="Arial" w:cs="Arial"/>
          <w:b/>
          <w:bCs/>
          <w:i/>
          <w:iCs/>
          <w:color w:val="1C1E29"/>
        </w:rPr>
      </w:pPr>
      <w:r>
        <w:rPr>
          <w:rFonts w:ascii="Arial" w:hAnsi="Arial" w:cs="Arial"/>
          <w:b/>
          <w:bCs/>
          <w:i/>
          <w:iCs/>
          <w:color w:val="1C1E29"/>
        </w:rPr>
        <w:t>4.1</w:t>
      </w:r>
      <w:r w:rsidR="00027B66">
        <w:rPr>
          <w:rFonts w:ascii="Arial" w:hAnsi="Arial" w:cs="Arial"/>
          <w:b/>
          <w:bCs/>
          <w:i/>
          <w:iCs/>
          <w:color w:val="1C1E29"/>
        </w:rPr>
        <w:t xml:space="preserve">.3 </w:t>
      </w:r>
      <w:r w:rsidR="00E570E2" w:rsidRPr="00053B8A">
        <w:rPr>
          <w:rFonts w:ascii="Arial" w:hAnsi="Arial" w:cs="Arial"/>
          <w:b/>
          <w:bCs/>
          <w:i/>
          <w:iCs/>
          <w:color w:val="1C1E29"/>
        </w:rPr>
        <w:t>Cash ratio</w:t>
      </w:r>
    </w:p>
    <w:p w14:paraId="41F6AE7C" w14:textId="77777777" w:rsidR="00E570E2" w:rsidRDefault="00E570E2" w:rsidP="009925B2">
      <w:pPr>
        <w:pStyle w:val="NormalWeb"/>
        <w:spacing w:before="0" w:beforeAutospacing="0" w:after="0" w:afterAutospacing="0" w:line="360" w:lineRule="auto"/>
        <w:ind w:firstLine="720"/>
        <w:rPr>
          <w:rFonts w:ascii="Arial" w:hAnsi="Arial" w:cs="Arial"/>
          <w:color w:val="1C1E29"/>
        </w:rPr>
      </w:pPr>
      <w:r w:rsidRPr="00053B8A">
        <w:rPr>
          <w:rFonts w:ascii="Arial" w:hAnsi="Arial" w:cs="Arial"/>
          <w:color w:val="1C1E29"/>
        </w:rPr>
        <w:t>This ratio is used to measure a firm’s liquidity by determining its ability to pay short-term debts using cash and cash equivalents only. Other current assets are left out because they are not guaranteed to be available to service debt when needed. For instance, inventories and receivables can take weeks or months to be collected, but when cash is readily available, it can be used in debt servicing. For ABF, cash ratio decreased from 0.49 in 2017 to 0.42 in 2018. The decrease is due to a decline in cash and cash equivalents in 2018 compared to 2017. </w:t>
      </w:r>
    </w:p>
    <w:p w14:paraId="37FC37FD" w14:textId="77777777" w:rsidR="00AD25D2" w:rsidRPr="00053B8A" w:rsidRDefault="00AD25D2" w:rsidP="009925B2">
      <w:pPr>
        <w:pStyle w:val="NormalWeb"/>
        <w:spacing w:before="0" w:beforeAutospacing="0" w:after="0" w:afterAutospacing="0" w:line="360" w:lineRule="auto"/>
        <w:ind w:firstLine="720"/>
        <w:rPr>
          <w:rFonts w:ascii="Arial" w:hAnsi="Arial" w:cs="Arial"/>
          <w:color w:val="1C1E29"/>
        </w:rPr>
      </w:pPr>
    </w:p>
    <w:p w14:paraId="2F90B200" w14:textId="2876B843" w:rsidR="00E570E2" w:rsidRDefault="00E570E2" w:rsidP="00007A4F">
      <w:pPr>
        <w:pStyle w:val="NormalWeb"/>
        <w:numPr>
          <w:ilvl w:val="1"/>
          <w:numId w:val="3"/>
        </w:numPr>
        <w:spacing w:before="0" w:beforeAutospacing="0" w:after="0" w:afterAutospacing="0" w:line="360" w:lineRule="auto"/>
        <w:rPr>
          <w:rFonts w:ascii="Arial" w:hAnsi="Arial" w:cs="Arial"/>
          <w:b/>
          <w:bCs/>
          <w:color w:val="1C1E29"/>
        </w:rPr>
      </w:pPr>
      <w:r w:rsidRPr="00053B8A">
        <w:rPr>
          <w:rFonts w:ascii="Arial" w:hAnsi="Arial" w:cs="Arial"/>
          <w:b/>
          <w:bCs/>
          <w:color w:val="1C1E29"/>
        </w:rPr>
        <w:lastRenderedPageBreak/>
        <w:t xml:space="preserve">Profitability Ratios </w:t>
      </w:r>
    </w:p>
    <w:p w14:paraId="7FB045E7" w14:textId="45689459" w:rsidR="00007A4F" w:rsidRPr="00007A4F" w:rsidRDefault="00007A4F" w:rsidP="00007A4F">
      <w:pPr>
        <w:pStyle w:val="NormalWeb"/>
        <w:spacing w:before="0" w:beforeAutospacing="0" w:after="0" w:afterAutospacing="0" w:line="360" w:lineRule="auto"/>
        <w:rPr>
          <w:rFonts w:ascii="Arial" w:hAnsi="Arial" w:cs="Arial"/>
          <w:bCs/>
          <w:color w:val="1C1E29"/>
        </w:rPr>
      </w:pPr>
      <w:r>
        <w:rPr>
          <w:rFonts w:ascii="Arial" w:hAnsi="Arial" w:cs="Arial"/>
          <w:bCs/>
          <w:color w:val="1C1E29"/>
        </w:rPr>
        <w:t>As one of the main purposes of businesses are to make profit and remain profitable, profitability ratios allow an insight to how well a business is doing in creating wealth for its owners/shareholders (</w:t>
      </w:r>
      <w:proofErr w:type="spellStart"/>
      <w:r>
        <w:rPr>
          <w:rFonts w:ascii="Arial" w:hAnsi="Arial" w:cs="Arial"/>
          <w:bCs/>
          <w:color w:val="1C1E29"/>
        </w:rPr>
        <w:t>Antrill</w:t>
      </w:r>
      <w:proofErr w:type="spellEnd"/>
      <w:r>
        <w:rPr>
          <w:rFonts w:ascii="Arial" w:hAnsi="Arial" w:cs="Arial"/>
          <w:bCs/>
          <w:color w:val="1C1E29"/>
        </w:rPr>
        <w:t>, 2011). Associated British Foods profitability will be analysed using four key financial ratios; Gross Profit Margin, Net Profit Margin, Return on Capital Employed and Return on Equity.</w:t>
      </w:r>
    </w:p>
    <w:p w14:paraId="5058C92F" w14:textId="0A5E99D0" w:rsidR="00E570E2" w:rsidRPr="00053B8A" w:rsidRDefault="00AD25D2" w:rsidP="00E570E2">
      <w:pPr>
        <w:pStyle w:val="NormalWeb"/>
        <w:spacing w:before="0" w:beforeAutospacing="0" w:after="0" w:afterAutospacing="0" w:line="360" w:lineRule="auto"/>
        <w:rPr>
          <w:rFonts w:ascii="Arial" w:hAnsi="Arial" w:cs="Arial"/>
          <w:b/>
          <w:bCs/>
          <w:i/>
          <w:iCs/>
          <w:color w:val="1C1E29"/>
        </w:rPr>
      </w:pPr>
      <w:r>
        <w:rPr>
          <w:rFonts w:ascii="Arial" w:hAnsi="Arial" w:cs="Arial"/>
          <w:b/>
          <w:bCs/>
          <w:i/>
          <w:iCs/>
          <w:color w:val="1C1E29"/>
        </w:rPr>
        <w:t>4.2.</w:t>
      </w:r>
      <w:r w:rsidR="00027B66">
        <w:rPr>
          <w:rFonts w:ascii="Arial" w:hAnsi="Arial" w:cs="Arial"/>
          <w:b/>
          <w:bCs/>
          <w:i/>
          <w:iCs/>
          <w:color w:val="1C1E29"/>
        </w:rPr>
        <w:t>1 Gross Profit Margin</w:t>
      </w:r>
    </w:p>
    <w:p w14:paraId="792AE8C9" w14:textId="77777777" w:rsidR="00E570E2" w:rsidRPr="00053B8A" w:rsidRDefault="00E570E2" w:rsidP="009925B2">
      <w:pPr>
        <w:pStyle w:val="NormalWeb"/>
        <w:spacing w:before="0" w:beforeAutospacing="0" w:after="0" w:afterAutospacing="0" w:line="360" w:lineRule="auto"/>
        <w:ind w:firstLine="720"/>
        <w:rPr>
          <w:rFonts w:ascii="Arial" w:hAnsi="Arial" w:cs="Arial"/>
          <w:color w:val="1C1E29"/>
        </w:rPr>
      </w:pPr>
      <w:r w:rsidRPr="00053B8A">
        <w:rPr>
          <w:rFonts w:ascii="Arial" w:hAnsi="Arial" w:cs="Arial"/>
          <w:color w:val="1C1E29"/>
        </w:rPr>
        <w:t>This ratio is used to compare the gross margin of a firm with its net sales. It used to determine how profitable a firm is by selling its merchandise by considering only the cost of goods sold and net sales. For ABF, gross margin ratio slightly decreased by 0.05%; from 23.5% in 2017 to 23.0% in 2018. The slight decline can be attributed to a decrease in revenues and an increase in the cost of goods sold. </w:t>
      </w:r>
    </w:p>
    <w:p w14:paraId="7E31699E" w14:textId="6988B942" w:rsidR="00E570E2" w:rsidRPr="00053B8A" w:rsidRDefault="00AD25D2" w:rsidP="00E570E2">
      <w:pPr>
        <w:pStyle w:val="NormalWeb"/>
        <w:spacing w:before="0" w:beforeAutospacing="0" w:after="0" w:afterAutospacing="0" w:line="360" w:lineRule="auto"/>
        <w:rPr>
          <w:rFonts w:ascii="Arial" w:hAnsi="Arial" w:cs="Arial"/>
          <w:b/>
          <w:bCs/>
          <w:i/>
          <w:iCs/>
          <w:color w:val="1C1E29"/>
        </w:rPr>
      </w:pPr>
      <w:r>
        <w:rPr>
          <w:rFonts w:ascii="Arial" w:hAnsi="Arial" w:cs="Arial"/>
          <w:b/>
          <w:bCs/>
          <w:i/>
          <w:iCs/>
          <w:color w:val="1C1E29"/>
        </w:rPr>
        <w:t>4.2</w:t>
      </w:r>
      <w:r w:rsidR="00027B66">
        <w:rPr>
          <w:rFonts w:ascii="Arial" w:hAnsi="Arial" w:cs="Arial"/>
          <w:b/>
          <w:bCs/>
          <w:i/>
          <w:iCs/>
          <w:color w:val="1C1E29"/>
        </w:rPr>
        <w:t xml:space="preserve">.2 </w:t>
      </w:r>
      <w:r w:rsidR="00E570E2" w:rsidRPr="00053B8A">
        <w:rPr>
          <w:rFonts w:ascii="Arial" w:hAnsi="Arial" w:cs="Arial"/>
          <w:b/>
          <w:bCs/>
          <w:i/>
          <w:iCs/>
          <w:color w:val="1C1E29"/>
        </w:rPr>
        <w:t>Net Profit Margin</w:t>
      </w:r>
    </w:p>
    <w:p w14:paraId="48ADC351" w14:textId="6D753E4D" w:rsidR="00E570E2" w:rsidRPr="00053B8A" w:rsidRDefault="00007A4F" w:rsidP="009925B2">
      <w:pPr>
        <w:pStyle w:val="NormalWeb"/>
        <w:spacing w:before="0" w:beforeAutospacing="0" w:after="0" w:afterAutospacing="0" w:line="360" w:lineRule="auto"/>
        <w:ind w:firstLine="720"/>
        <w:rPr>
          <w:rFonts w:ascii="Arial" w:hAnsi="Arial" w:cs="Arial"/>
          <w:color w:val="1C1E29"/>
        </w:rPr>
      </w:pPr>
      <w:r>
        <w:rPr>
          <w:rFonts w:ascii="Arial" w:hAnsi="Arial" w:cs="Arial"/>
          <w:color w:val="1C1E29"/>
        </w:rPr>
        <w:t>The Net Profit Margin is</w:t>
      </w:r>
      <w:r w:rsidR="00E570E2" w:rsidRPr="00053B8A">
        <w:rPr>
          <w:rFonts w:ascii="Arial" w:hAnsi="Arial" w:cs="Arial"/>
          <w:color w:val="1C1E29"/>
        </w:rPr>
        <w:t xml:space="preserve"> the </w:t>
      </w:r>
      <w:r>
        <w:rPr>
          <w:rFonts w:ascii="Arial" w:hAnsi="Arial" w:cs="Arial"/>
          <w:color w:val="1C1E29"/>
        </w:rPr>
        <w:t xml:space="preserve">percentage of revenue that remains after all </w:t>
      </w:r>
      <w:r w:rsidR="006B330F">
        <w:rPr>
          <w:rFonts w:ascii="Arial" w:hAnsi="Arial" w:cs="Arial"/>
          <w:color w:val="1C1E29"/>
        </w:rPr>
        <w:t xml:space="preserve">expenses have been deducted (Accounting Tools, 2019). </w:t>
      </w:r>
      <w:r w:rsidR="00E570E2" w:rsidRPr="00053B8A">
        <w:rPr>
          <w:rFonts w:ascii="Arial" w:hAnsi="Arial" w:cs="Arial"/>
          <w:color w:val="1C1E29"/>
        </w:rPr>
        <w:t xml:space="preserve">For ABF, net profit margin declined by 1.3%; from 7.8% in 2017 to 6.5% in 2018. </w:t>
      </w:r>
      <w:r w:rsidR="006B330F">
        <w:rPr>
          <w:rFonts w:ascii="Arial" w:hAnsi="Arial" w:cs="Arial"/>
          <w:color w:val="1C1E29"/>
        </w:rPr>
        <w:t xml:space="preserve">This demise of profitability can be due to a number of factors. The company had been experiencing high operating costs of the year and had a reduction in net sales. This could be due to inflationary increases or customer purchasing changes. </w:t>
      </w:r>
    </w:p>
    <w:p w14:paraId="4D2ACA13" w14:textId="6016CB95" w:rsidR="00E570E2" w:rsidRPr="00053B8A" w:rsidRDefault="00AD25D2" w:rsidP="00E570E2">
      <w:pPr>
        <w:pStyle w:val="NormalWeb"/>
        <w:spacing w:before="0" w:beforeAutospacing="0" w:after="0" w:afterAutospacing="0" w:line="360" w:lineRule="auto"/>
        <w:rPr>
          <w:rFonts w:ascii="Arial" w:hAnsi="Arial" w:cs="Arial"/>
          <w:b/>
          <w:bCs/>
          <w:i/>
          <w:iCs/>
          <w:color w:val="1C1E29"/>
        </w:rPr>
      </w:pPr>
      <w:r>
        <w:rPr>
          <w:rFonts w:ascii="Arial" w:hAnsi="Arial" w:cs="Arial"/>
          <w:b/>
          <w:bCs/>
          <w:i/>
          <w:iCs/>
          <w:color w:val="1C1E29"/>
        </w:rPr>
        <w:t>4.2</w:t>
      </w:r>
      <w:r w:rsidR="00027B66">
        <w:rPr>
          <w:rFonts w:ascii="Arial" w:hAnsi="Arial" w:cs="Arial"/>
          <w:b/>
          <w:bCs/>
          <w:i/>
          <w:iCs/>
          <w:color w:val="1C1E29"/>
        </w:rPr>
        <w:t xml:space="preserve">.3 </w:t>
      </w:r>
      <w:r w:rsidR="00E570E2" w:rsidRPr="00053B8A">
        <w:rPr>
          <w:rFonts w:ascii="Arial" w:hAnsi="Arial" w:cs="Arial"/>
          <w:b/>
          <w:bCs/>
          <w:i/>
          <w:iCs/>
          <w:color w:val="1C1E29"/>
        </w:rPr>
        <w:t>Return on Assets (ROA)</w:t>
      </w:r>
    </w:p>
    <w:p w14:paraId="7D9717F6" w14:textId="15ABA6AE" w:rsidR="00E570E2" w:rsidRPr="00053B8A" w:rsidRDefault="006B1CC4" w:rsidP="009925B2">
      <w:pPr>
        <w:pStyle w:val="NormalWeb"/>
        <w:spacing w:before="0" w:beforeAutospacing="0" w:after="0" w:afterAutospacing="0" w:line="360" w:lineRule="auto"/>
        <w:ind w:firstLine="720"/>
        <w:rPr>
          <w:rFonts w:ascii="Arial" w:hAnsi="Arial" w:cs="Arial"/>
          <w:color w:val="1C1E29"/>
        </w:rPr>
      </w:pPr>
      <w:r>
        <w:rPr>
          <w:rFonts w:ascii="Arial" w:hAnsi="Arial" w:cs="Arial"/>
          <w:color w:val="1C1E29"/>
        </w:rPr>
        <w:t>Return on Assets is applied to find out the net income that is generated by total assets;</w:t>
      </w:r>
      <w:r w:rsidR="00E570E2" w:rsidRPr="00053B8A">
        <w:rPr>
          <w:rFonts w:ascii="Arial" w:hAnsi="Arial" w:cs="Arial"/>
          <w:color w:val="1C1E29"/>
        </w:rPr>
        <w:t xml:space="preserve"> the ratio is computed by comparing net income by average total assets. It tells the company how efficient they are in managing their assets to generate profits. Since the primary business of every company is to generate high revenues and profits, ROA is used by management and investors to determine how well the firm is converting an investment into profits. For ABF, ROA significantly declined by 4%; from 19% in 2017 to 15% in 2018. The decline can be attributed to the decrease in both net income and total assets in both periods; hence, the company is inefficiently managing its assets and investments to generate profits.</w:t>
      </w:r>
    </w:p>
    <w:p w14:paraId="60C36BE6" w14:textId="54EB27F5" w:rsidR="00E570E2" w:rsidRDefault="00E570E2" w:rsidP="006B1CC4">
      <w:pPr>
        <w:pStyle w:val="NormalWeb"/>
        <w:numPr>
          <w:ilvl w:val="1"/>
          <w:numId w:val="3"/>
        </w:numPr>
        <w:spacing w:before="0" w:beforeAutospacing="0" w:after="0" w:afterAutospacing="0" w:line="360" w:lineRule="auto"/>
        <w:rPr>
          <w:rFonts w:ascii="Arial" w:hAnsi="Arial" w:cs="Arial"/>
          <w:b/>
          <w:bCs/>
          <w:color w:val="1C1E29"/>
        </w:rPr>
      </w:pPr>
      <w:r w:rsidRPr="00053B8A">
        <w:rPr>
          <w:rFonts w:ascii="Arial" w:hAnsi="Arial" w:cs="Arial"/>
          <w:b/>
          <w:bCs/>
          <w:color w:val="1C1E29"/>
        </w:rPr>
        <w:t xml:space="preserve">Efficiency Ratios </w:t>
      </w:r>
    </w:p>
    <w:p w14:paraId="5C68BE8A" w14:textId="60BCEE1E" w:rsidR="006B1CC4" w:rsidRDefault="006B1CC4" w:rsidP="006B1CC4">
      <w:pPr>
        <w:pStyle w:val="NormalWeb"/>
        <w:spacing w:before="0" w:beforeAutospacing="0" w:after="0" w:afterAutospacing="0" w:line="360" w:lineRule="auto"/>
        <w:rPr>
          <w:rFonts w:ascii="Arial" w:hAnsi="Arial" w:cs="Arial"/>
          <w:bCs/>
          <w:color w:val="1C1E29"/>
        </w:rPr>
      </w:pPr>
      <w:r>
        <w:rPr>
          <w:rFonts w:ascii="Arial" w:hAnsi="Arial" w:cs="Arial"/>
          <w:bCs/>
          <w:color w:val="1C1E29"/>
        </w:rPr>
        <w:t>Efficiency ratios are used to see how well resources are managed in a business. This is important as it can analyse how well a company is being managed, whether it is being wasteful or whether an incorrect strategy is in place (</w:t>
      </w:r>
      <w:proofErr w:type="spellStart"/>
      <w:r>
        <w:rPr>
          <w:rFonts w:ascii="Arial" w:hAnsi="Arial" w:cs="Arial"/>
          <w:bCs/>
          <w:color w:val="1C1E29"/>
        </w:rPr>
        <w:t>Antrill</w:t>
      </w:r>
      <w:proofErr w:type="spellEnd"/>
      <w:r>
        <w:rPr>
          <w:rFonts w:ascii="Arial" w:hAnsi="Arial" w:cs="Arial"/>
          <w:bCs/>
          <w:color w:val="1C1E29"/>
        </w:rPr>
        <w:t>, 2011).</w:t>
      </w:r>
    </w:p>
    <w:p w14:paraId="16CD6589" w14:textId="77777777" w:rsidR="006B1CC4" w:rsidRPr="006B1CC4" w:rsidRDefault="006B1CC4" w:rsidP="006B1CC4">
      <w:pPr>
        <w:pStyle w:val="NormalWeb"/>
        <w:spacing w:before="0" w:beforeAutospacing="0" w:after="0" w:afterAutospacing="0" w:line="360" w:lineRule="auto"/>
        <w:rPr>
          <w:rFonts w:ascii="Arial" w:hAnsi="Arial" w:cs="Arial"/>
          <w:bCs/>
          <w:color w:val="1C1E29"/>
        </w:rPr>
      </w:pPr>
    </w:p>
    <w:p w14:paraId="19133E16" w14:textId="0EDED372" w:rsidR="00E570E2" w:rsidRPr="00053B8A" w:rsidRDefault="00AD25D2" w:rsidP="00E570E2">
      <w:pPr>
        <w:pStyle w:val="NormalWeb"/>
        <w:spacing w:before="0" w:beforeAutospacing="0" w:after="0" w:afterAutospacing="0" w:line="360" w:lineRule="auto"/>
        <w:rPr>
          <w:rFonts w:ascii="Arial" w:hAnsi="Arial" w:cs="Arial"/>
          <w:b/>
          <w:bCs/>
          <w:i/>
          <w:iCs/>
          <w:color w:val="1C1E29"/>
        </w:rPr>
      </w:pPr>
      <w:r>
        <w:rPr>
          <w:rFonts w:ascii="Arial" w:hAnsi="Arial" w:cs="Arial"/>
          <w:b/>
          <w:bCs/>
          <w:i/>
          <w:iCs/>
          <w:color w:val="1C1E29"/>
        </w:rPr>
        <w:lastRenderedPageBreak/>
        <w:t>4.3</w:t>
      </w:r>
      <w:r w:rsidR="00027B66">
        <w:rPr>
          <w:rFonts w:ascii="Arial" w:hAnsi="Arial" w:cs="Arial"/>
          <w:b/>
          <w:bCs/>
          <w:i/>
          <w:iCs/>
          <w:color w:val="1C1E29"/>
        </w:rPr>
        <w:t xml:space="preserve">.1 </w:t>
      </w:r>
      <w:r>
        <w:rPr>
          <w:rFonts w:ascii="Arial" w:hAnsi="Arial" w:cs="Arial"/>
          <w:b/>
          <w:bCs/>
          <w:i/>
          <w:iCs/>
          <w:color w:val="1C1E29"/>
        </w:rPr>
        <w:t>Assets Turnover</w:t>
      </w:r>
    </w:p>
    <w:p w14:paraId="12418CD0" w14:textId="77777777" w:rsidR="00E570E2" w:rsidRPr="00053B8A" w:rsidRDefault="00E570E2" w:rsidP="009925B2">
      <w:pPr>
        <w:pStyle w:val="NormalWeb"/>
        <w:spacing w:before="0" w:beforeAutospacing="0" w:after="0" w:afterAutospacing="0" w:line="360" w:lineRule="auto"/>
        <w:ind w:firstLine="720"/>
        <w:rPr>
          <w:rFonts w:ascii="Arial" w:hAnsi="Arial" w:cs="Arial"/>
          <w:color w:val="1C1E29"/>
        </w:rPr>
      </w:pPr>
      <w:r w:rsidRPr="00053B8A">
        <w:rPr>
          <w:rFonts w:ascii="Arial" w:hAnsi="Arial" w:cs="Arial"/>
          <w:color w:val="1C1E29"/>
        </w:rPr>
        <w:t>This ratio is used to determine the firm’s ability to generate revenues using its assets. This is done by comparing net revenues with average net assets. For ABF, asset turnover ratio slightly decreased by 0.13; from 2.40 in 2017 to 2.27 in 2018. The decrease in the ratio can be attributed to a decline in revenues. </w:t>
      </w:r>
    </w:p>
    <w:p w14:paraId="77C3D197" w14:textId="7FCF6871" w:rsidR="00E570E2" w:rsidRPr="00053B8A" w:rsidRDefault="00027B66" w:rsidP="00E570E2">
      <w:pPr>
        <w:pStyle w:val="NormalWeb"/>
        <w:spacing w:before="0" w:beforeAutospacing="0" w:after="0" w:afterAutospacing="0" w:line="360" w:lineRule="auto"/>
        <w:rPr>
          <w:rFonts w:ascii="Arial" w:hAnsi="Arial" w:cs="Arial"/>
          <w:b/>
          <w:bCs/>
          <w:i/>
          <w:iCs/>
          <w:color w:val="1C1E29"/>
        </w:rPr>
      </w:pPr>
      <w:r>
        <w:rPr>
          <w:rFonts w:ascii="Arial" w:hAnsi="Arial" w:cs="Arial"/>
          <w:b/>
          <w:bCs/>
          <w:i/>
          <w:iCs/>
          <w:color w:val="1C1E29"/>
        </w:rPr>
        <w:t>4.</w:t>
      </w:r>
      <w:r w:rsidR="00AD25D2">
        <w:rPr>
          <w:rFonts w:ascii="Arial" w:hAnsi="Arial" w:cs="Arial"/>
          <w:b/>
          <w:bCs/>
          <w:i/>
          <w:iCs/>
          <w:color w:val="1C1E29"/>
        </w:rPr>
        <w:t>3</w:t>
      </w:r>
      <w:r>
        <w:rPr>
          <w:rFonts w:ascii="Arial" w:hAnsi="Arial" w:cs="Arial"/>
          <w:b/>
          <w:bCs/>
          <w:i/>
          <w:iCs/>
          <w:color w:val="1C1E29"/>
        </w:rPr>
        <w:t xml:space="preserve">.2 </w:t>
      </w:r>
      <w:r w:rsidR="00AD25D2">
        <w:rPr>
          <w:rFonts w:ascii="Arial" w:hAnsi="Arial" w:cs="Arial"/>
          <w:b/>
          <w:bCs/>
          <w:i/>
          <w:iCs/>
          <w:color w:val="1C1E29"/>
        </w:rPr>
        <w:t xml:space="preserve">Inventory Turnover </w:t>
      </w:r>
    </w:p>
    <w:p w14:paraId="2E4C7961" w14:textId="77777777" w:rsidR="00E570E2" w:rsidRPr="00053B8A" w:rsidRDefault="00E570E2" w:rsidP="009925B2">
      <w:pPr>
        <w:pStyle w:val="NormalWeb"/>
        <w:spacing w:before="0" w:beforeAutospacing="0" w:after="0" w:afterAutospacing="0" w:line="360" w:lineRule="auto"/>
        <w:ind w:firstLine="720"/>
        <w:rPr>
          <w:rFonts w:ascii="Arial" w:hAnsi="Arial" w:cs="Arial"/>
          <w:color w:val="1C1E29"/>
        </w:rPr>
      </w:pPr>
      <w:r w:rsidRPr="00053B8A">
        <w:rPr>
          <w:rFonts w:ascii="Arial" w:hAnsi="Arial" w:cs="Arial"/>
          <w:color w:val="1C1E29"/>
        </w:rPr>
        <w:t>This ratio is a measure of performance that shows how a firm is effectively managing its inventory. This is done by comparing the cost of goods sold against the average stock in the given period. That way, the ratio can show how the number of times the average stock has been sold. For ABF, inventory turnover ratio number of times to sell inventory remained the same (10 times). This shows that the company has control over its stock. </w:t>
      </w:r>
    </w:p>
    <w:p w14:paraId="46D94AE4" w14:textId="50F75525" w:rsidR="00E570E2" w:rsidRPr="00053B8A" w:rsidRDefault="00AD25D2" w:rsidP="00E570E2">
      <w:pPr>
        <w:pStyle w:val="NormalWeb"/>
        <w:spacing w:before="0" w:beforeAutospacing="0" w:after="0" w:afterAutospacing="0" w:line="360" w:lineRule="auto"/>
        <w:rPr>
          <w:rFonts w:ascii="Arial" w:hAnsi="Arial" w:cs="Arial"/>
          <w:b/>
          <w:bCs/>
          <w:i/>
          <w:iCs/>
          <w:color w:val="1C1E29"/>
        </w:rPr>
      </w:pPr>
      <w:r>
        <w:rPr>
          <w:rFonts w:ascii="Arial" w:hAnsi="Arial" w:cs="Arial"/>
          <w:b/>
          <w:bCs/>
          <w:i/>
          <w:iCs/>
          <w:color w:val="1C1E29"/>
        </w:rPr>
        <w:t>4.3</w:t>
      </w:r>
      <w:r w:rsidR="00027B66">
        <w:rPr>
          <w:rFonts w:ascii="Arial" w:hAnsi="Arial" w:cs="Arial"/>
          <w:b/>
          <w:bCs/>
          <w:i/>
          <w:iCs/>
          <w:color w:val="1C1E29"/>
        </w:rPr>
        <w:t xml:space="preserve">.3 </w:t>
      </w:r>
      <w:r w:rsidR="00E570E2" w:rsidRPr="00053B8A">
        <w:rPr>
          <w:rFonts w:ascii="Arial" w:hAnsi="Arial" w:cs="Arial"/>
          <w:b/>
          <w:bCs/>
          <w:i/>
          <w:iCs/>
          <w:color w:val="1C1E29"/>
        </w:rPr>
        <w:t>Accounts Receivable Turnover</w:t>
      </w:r>
    </w:p>
    <w:p w14:paraId="191ADFB4" w14:textId="77777777" w:rsidR="00E570E2" w:rsidRPr="00053B8A" w:rsidRDefault="00E570E2" w:rsidP="009925B2">
      <w:pPr>
        <w:pStyle w:val="NormalWeb"/>
        <w:spacing w:before="0" w:beforeAutospacing="0" w:after="0" w:afterAutospacing="0" w:line="360" w:lineRule="auto"/>
        <w:ind w:firstLine="720"/>
        <w:rPr>
          <w:rFonts w:ascii="Arial" w:hAnsi="Arial" w:cs="Arial"/>
          <w:color w:val="1C1E29"/>
        </w:rPr>
      </w:pPr>
      <w:r w:rsidRPr="00053B8A">
        <w:rPr>
          <w:rFonts w:ascii="Arial" w:hAnsi="Arial" w:cs="Arial"/>
          <w:color w:val="1C1E29"/>
        </w:rPr>
        <w:t>This ratio measures the number of times a company can turn its accounts receivables into cash. It determines how well the company collects its average account receivables in one accounting period. For ABF, accounts receivable turnover ratio shows that the number of days taken to collect a decline from 25 days in 2017 to 24 days in 2018. </w:t>
      </w:r>
    </w:p>
    <w:p w14:paraId="3704ABD2" w14:textId="04A98D42" w:rsidR="00E570E2" w:rsidRPr="00053B8A" w:rsidRDefault="00AD25D2" w:rsidP="00E570E2">
      <w:pPr>
        <w:pStyle w:val="NormalWeb"/>
        <w:spacing w:before="0" w:beforeAutospacing="0" w:after="0" w:afterAutospacing="0" w:line="360" w:lineRule="auto"/>
        <w:rPr>
          <w:rFonts w:ascii="Arial" w:hAnsi="Arial" w:cs="Arial"/>
          <w:b/>
          <w:bCs/>
          <w:color w:val="1C1E29"/>
        </w:rPr>
      </w:pPr>
      <w:r>
        <w:rPr>
          <w:rFonts w:ascii="Arial" w:hAnsi="Arial" w:cs="Arial"/>
          <w:b/>
          <w:bCs/>
          <w:color w:val="1C1E29"/>
        </w:rPr>
        <w:t>4.4</w:t>
      </w:r>
      <w:r w:rsidR="00027B66">
        <w:rPr>
          <w:rFonts w:ascii="Arial" w:hAnsi="Arial" w:cs="Arial"/>
          <w:b/>
          <w:bCs/>
          <w:color w:val="1C1E29"/>
        </w:rPr>
        <w:t xml:space="preserve"> </w:t>
      </w:r>
      <w:r w:rsidR="00E570E2" w:rsidRPr="00053B8A">
        <w:rPr>
          <w:rFonts w:ascii="Arial" w:hAnsi="Arial" w:cs="Arial"/>
          <w:b/>
          <w:bCs/>
          <w:color w:val="1C1E29"/>
        </w:rPr>
        <w:t xml:space="preserve">Gearing Ratios </w:t>
      </w:r>
    </w:p>
    <w:p w14:paraId="4940704E" w14:textId="7C63F89C" w:rsidR="00E570E2" w:rsidRPr="00053B8A" w:rsidRDefault="00E570E2" w:rsidP="009925B2">
      <w:pPr>
        <w:pStyle w:val="NormalWeb"/>
        <w:spacing w:before="0" w:beforeAutospacing="0" w:after="0" w:afterAutospacing="0" w:line="360" w:lineRule="auto"/>
        <w:ind w:firstLine="720"/>
        <w:rPr>
          <w:rFonts w:ascii="Arial" w:hAnsi="Arial" w:cs="Arial"/>
          <w:color w:val="1C1E29"/>
        </w:rPr>
      </w:pPr>
      <w:r w:rsidRPr="00053B8A">
        <w:rPr>
          <w:rFonts w:ascii="Arial" w:hAnsi="Arial" w:cs="Arial"/>
          <w:color w:val="1C1E29"/>
        </w:rPr>
        <w:t xml:space="preserve">Gearing is a measure that is used to determine the company’s financial leverage. </w:t>
      </w:r>
      <w:r w:rsidR="00094430">
        <w:rPr>
          <w:rFonts w:ascii="Arial" w:hAnsi="Arial" w:cs="Arial"/>
          <w:color w:val="1C1E29"/>
        </w:rPr>
        <w:t>They show how much debt they are borrowing that is from the bank instead of shareholders or owners (</w:t>
      </w:r>
      <w:proofErr w:type="spellStart"/>
      <w:r w:rsidR="00094430">
        <w:rPr>
          <w:rFonts w:ascii="Arial" w:hAnsi="Arial" w:cs="Arial"/>
          <w:color w:val="1C1E29"/>
        </w:rPr>
        <w:t>Antrill</w:t>
      </w:r>
      <w:proofErr w:type="spellEnd"/>
      <w:r w:rsidR="00094430">
        <w:rPr>
          <w:rFonts w:ascii="Arial" w:hAnsi="Arial" w:cs="Arial"/>
          <w:color w:val="1C1E29"/>
        </w:rPr>
        <w:t xml:space="preserve">, 2011). For this analysis, Debt to Equity ratio and Times Interest Earned will be used. </w:t>
      </w:r>
      <w:r w:rsidR="0026022E" w:rsidRPr="00053B8A">
        <w:rPr>
          <w:rFonts w:ascii="Arial" w:hAnsi="Arial" w:cs="Arial"/>
          <w:color w:val="1C1E29"/>
        </w:rPr>
        <w:t xml:space="preserve"> </w:t>
      </w:r>
    </w:p>
    <w:p w14:paraId="48213215" w14:textId="073B4835" w:rsidR="00E570E2" w:rsidRPr="00053B8A" w:rsidRDefault="00AD25D2" w:rsidP="00E570E2">
      <w:pPr>
        <w:pStyle w:val="NormalWeb"/>
        <w:spacing w:before="0" w:beforeAutospacing="0" w:after="0" w:afterAutospacing="0" w:line="360" w:lineRule="auto"/>
        <w:rPr>
          <w:rFonts w:ascii="Arial" w:hAnsi="Arial" w:cs="Arial"/>
          <w:b/>
          <w:bCs/>
          <w:i/>
          <w:iCs/>
          <w:color w:val="1C1E29"/>
        </w:rPr>
      </w:pPr>
      <w:r>
        <w:rPr>
          <w:rFonts w:ascii="Arial" w:hAnsi="Arial" w:cs="Arial"/>
          <w:b/>
          <w:bCs/>
          <w:i/>
          <w:iCs/>
          <w:color w:val="1C1E29"/>
        </w:rPr>
        <w:t>4.4</w:t>
      </w:r>
      <w:r w:rsidR="00027B66">
        <w:rPr>
          <w:rFonts w:ascii="Arial" w:hAnsi="Arial" w:cs="Arial"/>
          <w:b/>
          <w:bCs/>
          <w:i/>
          <w:iCs/>
          <w:color w:val="1C1E29"/>
        </w:rPr>
        <w:t xml:space="preserve">.1 </w:t>
      </w:r>
      <w:r w:rsidR="00E570E2" w:rsidRPr="00053B8A">
        <w:rPr>
          <w:rFonts w:ascii="Arial" w:hAnsi="Arial" w:cs="Arial"/>
          <w:b/>
          <w:bCs/>
          <w:i/>
          <w:iCs/>
          <w:color w:val="1C1E29"/>
        </w:rPr>
        <w:t>Debt-to-Equity Ratio</w:t>
      </w:r>
    </w:p>
    <w:p w14:paraId="3C8B2FFD" w14:textId="6B91E81A" w:rsidR="00E570E2" w:rsidRPr="00053B8A" w:rsidRDefault="00E570E2" w:rsidP="009925B2">
      <w:pPr>
        <w:pStyle w:val="NormalWeb"/>
        <w:spacing w:before="0" w:beforeAutospacing="0" w:after="0" w:afterAutospacing="0" w:line="360" w:lineRule="auto"/>
        <w:ind w:firstLine="720"/>
        <w:rPr>
          <w:rFonts w:ascii="Arial" w:hAnsi="Arial" w:cs="Arial"/>
          <w:color w:val="1C1E29"/>
        </w:rPr>
      </w:pPr>
      <w:r w:rsidRPr="00053B8A">
        <w:rPr>
          <w:rFonts w:ascii="Arial" w:hAnsi="Arial" w:cs="Arial"/>
          <w:color w:val="1C1E29"/>
        </w:rPr>
        <w:t xml:space="preserve">This is a ratio that is used to compare the firm’s debt to its equity. For ABF, this ratio will show the percentage of financing that is obtained from investors and creditors. ABF debt to equity ratio decreased from 0.53 to 0.48 in 2017 and 2018, respectively. This shows that the company is using more </w:t>
      </w:r>
      <w:r w:rsidR="003D1934" w:rsidRPr="00053B8A">
        <w:rPr>
          <w:rFonts w:ascii="Arial" w:hAnsi="Arial" w:cs="Arial"/>
          <w:color w:val="1C1E29"/>
        </w:rPr>
        <w:t>creditors</w:t>
      </w:r>
      <w:r w:rsidRPr="00053B8A">
        <w:rPr>
          <w:rFonts w:ascii="Arial" w:hAnsi="Arial" w:cs="Arial"/>
          <w:color w:val="1C1E29"/>
        </w:rPr>
        <w:t xml:space="preserve"> financing that investor financing. </w:t>
      </w:r>
    </w:p>
    <w:p w14:paraId="42BCC704" w14:textId="01DF0A5A" w:rsidR="00E570E2" w:rsidRPr="00053B8A" w:rsidRDefault="00AD25D2" w:rsidP="00E570E2">
      <w:pPr>
        <w:pStyle w:val="NormalWeb"/>
        <w:spacing w:before="0" w:beforeAutospacing="0" w:after="0" w:afterAutospacing="0" w:line="360" w:lineRule="auto"/>
        <w:rPr>
          <w:rFonts w:ascii="Arial" w:hAnsi="Arial" w:cs="Arial"/>
          <w:b/>
          <w:bCs/>
          <w:i/>
          <w:iCs/>
          <w:color w:val="1C1E29"/>
        </w:rPr>
      </w:pPr>
      <w:r>
        <w:rPr>
          <w:rFonts w:ascii="Arial" w:hAnsi="Arial" w:cs="Arial"/>
          <w:b/>
          <w:bCs/>
          <w:i/>
          <w:iCs/>
          <w:color w:val="1C1E29"/>
        </w:rPr>
        <w:t>4.4</w:t>
      </w:r>
      <w:r w:rsidR="00027B66">
        <w:rPr>
          <w:rFonts w:ascii="Arial" w:hAnsi="Arial" w:cs="Arial"/>
          <w:b/>
          <w:bCs/>
          <w:i/>
          <w:iCs/>
          <w:color w:val="1C1E29"/>
        </w:rPr>
        <w:t xml:space="preserve">.2 </w:t>
      </w:r>
      <w:r w:rsidR="00E570E2" w:rsidRPr="00053B8A">
        <w:rPr>
          <w:rFonts w:ascii="Arial" w:hAnsi="Arial" w:cs="Arial"/>
          <w:b/>
          <w:bCs/>
          <w:i/>
          <w:iCs/>
          <w:color w:val="1C1E29"/>
        </w:rPr>
        <w:t>Times Interest Earned Ratio</w:t>
      </w:r>
    </w:p>
    <w:p w14:paraId="5F2BB094" w14:textId="360A42E7" w:rsidR="00E570E2" w:rsidRDefault="00E570E2" w:rsidP="009925B2">
      <w:pPr>
        <w:pStyle w:val="NormalWeb"/>
        <w:spacing w:before="0" w:beforeAutospacing="0" w:after="0" w:afterAutospacing="0" w:line="360" w:lineRule="auto"/>
        <w:ind w:firstLine="720"/>
        <w:rPr>
          <w:rFonts w:ascii="Arial" w:hAnsi="Arial" w:cs="Arial"/>
          <w:color w:val="1C1E29"/>
        </w:rPr>
      </w:pPr>
      <w:r w:rsidRPr="00053B8A">
        <w:rPr>
          <w:rFonts w:ascii="Arial" w:hAnsi="Arial" w:cs="Arial"/>
          <w:color w:val="1C1E29"/>
        </w:rPr>
        <w:t xml:space="preserve">This ratio is used to measure the amount of income that will be used to cover future interest expense. It is calculated by dividing EBIT (Earnings </w:t>
      </w:r>
      <w:r w:rsidR="003D1934" w:rsidRPr="00053B8A">
        <w:rPr>
          <w:rFonts w:ascii="Arial" w:hAnsi="Arial" w:cs="Arial"/>
          <w:color w:val="1C1E29"/>
        </w:rPr>
        <w:t>before</w:t>
      </w:r>
      <w:r w:rsidRPr="00053B8A">
        <w:rPr>
          <w:rFonts w:ascii="Arial" w:hAnsi="Arial" w:cs="Arial"/>
          <w:color w:val="1C1E29"/>
        </w:rPr>
        <w:t xml:space="preserve"> Interest and Taxes) by interest expense. For ABF, times interest earned ratio increased from 21 times to 25 times in 2017 and 2018 respectively. This shows that ABF’s ability to </w:t>
      </w:r>
      <w:r w:rsidRPr="00053B8A">
        <w:rPr>
          <w:rFonts w:ascii="Arial" w:hAnsi="Arial" w:cs="Arial"/>
          <w:color w:val="1C1E29"/>
        </w:rPr>
        <w:lastRenderedPageBreak/>
        <w:t>pay interest ratio is higher compared to the previous period and can quickly pay interest payments when they are due. </w:t>
      </w:r>
    </w:p>
    <w:p w14:paraId="547CB315" w14:textId="77777777" w:rsidR="006B330F" w:rsidRDefault="006B330F" w:rsidP="006B330F">
      <w:pPr>
        <w:pStyle w:val="NormalWeb"/>
        <w:spacing w:before="0" w:beforeAutospacing="0" w:after="0" w:afterAutospacing="0" w:line="360" w:lineRule="auto"/>
        <w:rPr>
          <w:rFonts w:ascii="Arial" w:hAnsi="Arial" w:cs="Arial"/>
          <w:color w:val="1C1E29"/>
        </w:rPr>
      </w:pPr>
    </w:p>
    <w:p w14:paraId="3EABF762" w14:textId="47FE6DFC" w:rsidR="006B330F" w:rsidRPr="006B330F" w:rsidRDefault="006B330F" w:rsidP="006B330F">
      <w:pPr>
        <w:pStyle w:val="NormalWeb"/>
        <w:spacing w:before="0" w:beforeAutospacing="0" w:after="0" w:afterAutospacing="0" w:line="360" w:lineRule="auto"/>
        <w:rPr>
          <w:rFonts w:ascii="Arial" w:hAnsi="Arial" w:cs="Arial"/>
          <w:b/>
          <w:color w:val="1C1E29"/>
        </w:rPr>
      </w:pPr>
      <w:r w:rsidRPr="006B330F">
        <w:rPr>
          <w:rFonts w:ascii="Arial" w:hAnsi="Arial" w:cs="Arial"/>
          <w:b/>
          <w:color w:val="1C1E29"/>
        </w:rPr>
        <w:t>4.5 Investment Ratios</w:t>
      </w:r>
    </w:p>
    <w:p w14:paraId="66A51B64" w14:textId="4AC04697" w:rsidR="006B330F" w:rsidRPr="00094430" w:rsidRDefault="006B1CC4" w:rsidP="006B330F">
      <w:pPr>
        <w:pStyle w:val="NormalWeb"/>
        <w:spacing w:before="0" w:beforeAutospacing="0" w:after="0" w:afterAutospacing="0" w:line="360" w:lineRule="auto"/>
        <w:rPr>
          <w:rFonts w:ascii="Arial" w:hAnsi="Arial" w:cs="Arial"/>
          <w:bCs/>
          <w:iCs/>
          <w:color w:val="1C1E29"/>
        </w:rPr>
      </w:pPr>
      <w:r w:rsidRPr="00094430">
        <w:rPr>
          <w:rFonts w:ascii="Arial" w:hAnsi="Arial" w:cs="Arial"/>
          <w:bCs/>
          <w:iCs/>
          <w:color w:val="1C1E29"/>
        </w:rPr>
        <w:t xml:space="preserve">Investment ratios are used to help </w:t>
      </w:r>
      <w:r w:rsidR="00094430" w:rsidRPr="00094430">
        <w:rPr>
          <w:rFonts w:ascii="Arial" w:hAnsi="Arial" w:cs="Arial"/>
          <w:bCs/>
          <w:iCs/>
          <w:color w:val="1C1E29"/>
        </w:rPr>
        <w:t>investors to decide on which businesses it would be advantageous to put their mone</w:t>
      </w:r>
      <w:r w:rsidR="00094430">
        <w:rPr>
          <w:rFonts w:ascii="Arial" w:hAnsi="Arial" w:cs="Arial"/>
          <w:bCs/>
          <w:iCs/>
          <w:color w:val="1C1E29"/>
        </w:rPr>
        <w:t>y into (</w:t>
      </w:r>
      <w:proofErr w:type="spellStart"/>
      <w:r w:rsidR="00094430">
        <w:rPr>
          <w:rFonts w:ascii="Arial" w:hAnsi="Arial" w:cs="Arial"/>
          <w:bCs/>
          <w:iCs/>
          <w:color w:val="1C1E29"/>
        </w:rPr>
        <w:t>Antrill</w:t>
      </w:r>
      <w:proofErr w:type="spellEnd"/>
      <w:r w:rsidR="00094430">
        <w:rPr>
          <w:rFonts w:ascii="Arial" w:hAnsi="Arial" w:cs="Arial"/>
          <w:bCs/>
          <w:iCs/>
          <w:color w:val="1C1E29"/>
        </w:rPr>
        <w:t>, 2011).</w:t>
      </w:r>
    </w:p>
    <w:p w14:paraId="6718BA38" w14:textId="77777777" w:rsidR="006B330F" w:rsidRDefault="006B330F" w:rsidP="006B330F">
      <w:pPr>
        <w:pStyle w:val="NormalWeb"/>
        <w:spacing w:before="0" w:beforeAutospacing="0" w:after="0" w:afterAutospacing="0" w:line="360" w:lineRule="auto"/>
        <w:rPr>
          <w:rFonts w:ascii="Arial" w:hAnsi="Arial" w:cs="Arial"/>
          <w:b/>
          <w:bCs/>
          <w:i/>
          <w:iCs/>
          <w:color w:val="1C1E29"/>
        </w:rPr>
      </w:pPr>
    </w:p>
    <w:p w14:paraId="06CE3FE8" w14:textId="2F1F8103" w:rsidR="006B330F" w:rsidRPr="00053B8A" w:rsidRDefault="006B330F" w:rsidP="006B330F">
      <w:pPr>
        <w:pStyle w:val="NormalWeb"/>
        <w:spacing w:before="0" w:beforeAutospacing="0" w:after="0" w:afterAutospacing="0" w:line="360" w:lineRule="auto"/>
        <w:rPr>
          <w:rFonts w:ascii="Arial" w:hAnsi="Arial" w:cs="Arial"/>
          <w:b/>
          <w:bCs/>
          <w:i/>
          <w:iCs/>
          <w:color w:val="1C1E29"/>
        </w:rPr>
      </w:pPr>
      <w:r>
        <w:rPr>
          <w:rFonts w:ascii="Arial" w:hAnsi="Arial" w:cs="Arial"/>
          <w:b/>
          <w:bCs/>
          <w:i/>
          <w:iCs/>
          <w:color w:val="1C1E29"/>
        </w:rPr>
        <w:t>4.5.1</w:t>
      </w:r>
      <w:r>
        <w:rPr>
          <w:rFonts w:ascii="Arial" w:hAnsi="Arial" w:cs="Arial"/>
          <w:b/>
          <w:bCs/>
          <w:i/>
          <w:iCs/>
          <w:color w:val="1C1E29"/>
        </w:rPr>
        <w:t xml:space="preserve"> </w:t>
      </w:r>
      <w:r w:rsidRPr="00053B8A">
        <w:rPr>
          <w:rFonts w:ascii="Arial" w:hAnsi="Arial" w:cs="Arial"/>
          <w:b/>
          <w:bCs/>
          <w:i/>
          <w:iCs/>
          <w:color w:val="1C1E29"/>
        </w:rPr>
        <w:t>Return on Equity (RO</w:t>
      </w:r>
      <w:r>
        <w:rPr>
          <w:rFonts w:ascii="Arial" w:hAnsi="Arial" w:cs="Arial"/>
          <w:b/>
          <w:bCs/>
          <w:i/>
          <w:iCs/>
          <w:color w:val="1C1E29"/>
        </w:rPr>
        <w:t>E)</w:t>
      </w:r>
    </w:p>
    <w:p w14:paraId="663E4AF5" w14:textId="4B07DB53" w:rsidR="006B330F" w:rsidRPr="00053B8A" w:rsidRDefault="006B330F" w:rsidP="006B1CC4">
      <w:pPr>
        <w:pStyle w:val="NormalWeb"/>
        <w:spacing w:before="0" w:beforeAutospacing="0" w:after="0" w:afterAutospacing="0" w:line="360" w:lineRule="auto"/>
        <w:ind w:firstLine="720"/>
        <w:rPr>
          <w:rFonts w:ascii="Arial" w:hAnsi="Arial" w:cs="Arial"/>
          <w:color w:val="1C1E29"/>
        </w:rPr>
      </w:pPr>
      <w:r>
        <w:rPr>
          <w:rFonts w:ascii="Arial" w:hAnsi="Arial" w:cs="Arial"/>
          <w:color w:val="1C1E29"/>
        </w:rPr>
        <w:t>Return on Equity is utilised to show how well a business is able to use investments, which were provided by shareholders, to generate profits</w:t>
      </w:r>
      <w:r w:rsidRPr="00053B8A">
        <w:rPr>
          <w:rFonts w:ascii="Arial" w:hAnsi="Arial" w:cs="Arial"/>
          <w:color w:val="1C1E29"/>
        </w:rPr>
        <w:t>. It is used to gauge the amount of profit generated by each pound of shareholders’ equity (</w:t>
      </w:r>
      <w:proofErr w:type="spellStart"/>
      <w:r w:rsidRPr="00053B8A">
        <w:rPr>
          <w:rFonts w:ascii="Arial" w:hAnsi="Arial" w:cs="Arial"/>
          <w:szCs w:val="28"/>
        </w:rPr>
        <w:t>Doukas</w:t>
      </w:r>
      <w:proofErr w:type="spellEnd"/>
      <w:r w:rsidRPr="00053B8A">
        <w:rPr>
          <w:rFonts w:ascii="Arial" w:hAnsi="Arial" w:cs="Arial"/>
          <w:szCs w:val="28"/>
        </w:rPr>
        <w:t xml:space="preserve"> &amp; </w:t>
      </w:r>
      <w:proofErr w:type="spellStart"/>
      <w:r w:rsidRPr="00053B8A">
        <w:rPr>
          <w:rFonts w:ascii="Arial" w:hAnsi="Arial" w:cs="Arial"/>
          <w:szCs w:val="28"/>
        </w:rPr>
        <w:t>Travlos</w:t>
      </w:r>
      <w:proofErr w:type="spellEnd"/>
      <w:r w:rsidRPr="00053B8A">
        <w:rPr>
          <w:rFonts w:ascii="Arial" w:hAnsi="Arial" w:cs="Arial"/>
          <w:szCs w:val="28"/>
        </w:rPr>
        <w:t>, 2008)</w:t>
      </w:r>
      <w:r w:rsidRPr="00053B8A">
        <w:rPr>
          <w:rFonts w:ascii="Arial" w:hAnsi="Arial" w:cs="Arial"/>
          <w:color w:val="1C1E29"/>
        </w:rPr>
        <w:t>. It is an essential ratio because investors want to see how well the firm is using their investment to generate profits. For ABF, ROE decreased by 3%; from 14% in 2017 to 11% in 2018. Although shareholders’ equity increased from 2017 to 2018, there was a decrease in net income which contributed to the decline in ROE. This is an indication that the company is not using investments from shareholders’ equity efficiently; thus, a decrease in ROE. </w:t>
      </w:r>
    </w:p>
    <w:p w14:paraId="477B07B3" w14:textId="77777777" w:rsidR="00027B66" w:rsidRDefault="00027B66" w:rsidP="00027B66">
      <w:pPr>
        <w:pStyle w:val="NormalWeb"/>
        <w:spacing w:before="0" w:beforeAutospacing="0" w:after="0" w:afterAutospacing="0" w:line="360" w:lineRule="auto"/>
        <w:rPr>
          <w:rFonts w:ascii="Arial" w:hAnsi="Arial" w:cs="Arial"/>
          <w:b/>
          <w:bCs/>
          <w:color w:val="1C1E29"/>
        </w:rPr>
      </w:pPr>
    </w:p>
    <w:p w14:paraId="2A220C96" w14:textId="6F82704B" w:rsidR="00E570E2" w:rsidRPr="00053B8A" w:rsidRDefault="00E570E2" w:rsidP="00AD25D2">
      <w:pPr>
        <w:pStyle w:val="NormalWeb"/>
        <w:numPr>
          <w:ilvl w:val="0"/>
          <w:numId w:val="3"/>
        </w:numPr>
        <w:spacing w:before="0" w:beforeAutospacing="0" w:after="0" w:afterAutospacing="0" w:line="360" w:lineRule="auto"/>
        <w:rPr>
          <w:rFonts w:ascii="Arial" w:hAnsi="Arial" w:cs="Arial"/>
          <w:b/>
          <w:bCs/>
          <w:color w:val="1C1E29"/>
        </w:rPr>
      </w:pPr>
      <w:r w:rsidRPr="00053B8A">
        <w:rPr>
          <w:rFonts w:ascii="Arial" w:hAnsi="Arial" w:cs="Arial"/>
          <w:b/>
          <w:bCs/>
          <w:color w:val="1C1E29"/>
        </w:rPr>
        <w:t>Limitations of Ratio Analysis</w:t>
      </w:r>
    </w:p>
    <w:p w14:paraId="7749A2C4" w14:textId="77777777" w:rsidR="00E570E2" w:rsidRPr="00053B8A" w:rsidRDefault="00E570E2" w:rsidP="009925B2">
      <w:pPr>
        <w:pStyle w:val="NormalWeb"/>
        <w:spacing w:before="0" w:beforeAutospacing="0" w:after="0" w:afterAutospacing="0" w:line="360" w:lineRule="auto"/>
        <w:ind w:firstLine="720"/>
        <w:rPr>
          <w:rFonts w:ascii="Arial" w:hAnsi="Arial" w:cs="Arial"/>
          <w:color w:val="1C1E29"/>
        </w:rPr>
      </w:pPr>
      <w:r w:rsidRPr="00053B8A">
        <w:rPr>
          <w:rFonts w:ascii="Arial" w:hAnsi="Arial" w:cs="Arial"/>
          <w:color w:val="1C1E29"/>
        </w:rPr>
        <w:t>Despite being a popular financial analysis technique, ratio analysis has limitations. They include:</w:t>
      </w:r>
    </w:p>
    <w:p w14:paraId="5EF635F5" w14:textId="77777777" w:rsidR="00E570E2" w:rsidRPr="00053B8A" w:rsidRDefault="00E570E2" w:rsidP="009925B2">
      <w:pPr>
        <w:pStyle w:val="NormalWeb"/>
        <w:numPr>
          <w:ilvl w:val="0"/>
          <w:numId w:val="1"/>
        </w:numPr>
        <w:spacing w:before="0" w:beforeAutospacing="0" w:after="0" w:afterAutospacing="0" w:line="360" w:lineRule="auto"/>
        <w:rPr>
          <w:rFonts w:ascii="Arial" w:hAnsi="Arial" w:cs="Arial"/>
          <w:color w:val="1C1E29"/>
        </w:rPr>
      </w:pPr>
      <w:r w:rsidRPr="00053B8A">
        <w:rPr>
          <w:rFonts w:ascii="Arial" w:hAnsi="Arial" w:cs="Arial"/>
          <w:color w:val="1C1E29"/>
        </w:rPr>
        <w:t>Historical information: the data used in ratio analysis is obtained from past operations; hence, they are not accurate representations of the firm’s future performances.</w:t>
      </w:r>
    </w:p>
    <w:p w14:paraId="2680E27B" w14:textId="627B44F9" w:rsidR="00E570E2" w:rsidRPr="00053B8A" w:rsidRDefault="00E570E2" w:rsidP="009925B2">
      <w:pPr>
        <w:pStyle w:val="NormalWeb"/>
        <w:numPr>
          <w:ilvl w:val="0"/>
          <w:numId w:val="1"/>
        </w:numPr>
        <w:spacing w:before="0" w:beforeAutospacing="0" w:after="0" w:afterAutospacing="0" w:line="360" w:lineRule="auto"/>
        <w:rPr>
          <w:rFonts w:ascii="Arial" w:hAnsi="Arial" w:cs="Arial"/>
          <w:color w:val="1C1E29"/>
        </w:rPr>
      </w:pPr>
      <w:r w:rsidRPr="00053B8A">
        <w:rPr>
          <w:rFonts w:ascii="Arial" w:hAnsi="Arial" w:cs="Arial"/>
          <w:color w:val="1C1E29"/>
        </w:rPr>
        <w:t xml:space="preserve">Inflationary effects: </w:t>
      </w:r>
      <w:r w:rsidR="00912E71">
        <w:rPr>
          <w:rFonts w:ascii="Arial" w:hAnsi="Arial" w:cs="Arial"/>
          <w:color w:val="1C1E29"/>
        </w:rPr>
        <w:t xml:space="preserve">inflationary costs that have occurred that are not shown within the ratios that could account for price increases on cost of sales etc. This also occurs with the delay in the data being published and current inflation. </w:t>
      </w:r>
    </w:p>
    <w:p w14:paraId="642B7E9F" w14:textId="77777777" w:rsidR="009925B2" w:rsidRPr="00053B8A" w:rsidRDefault="00E570E2" w:rsidP="00E570E2">
      <w:pPr>
        <w:pStyle w:val="NormalWeb"/>
        <w:numPr>
          <w:ilvl w:val="0"/>
          <w:numId w:val="1"/>
        </w:numPr>
        <w:spacing w:before="0" w:beforeAutospacing="0" w:after="0" w:afterAutospacing="0" w:line="360" w:lineRule="auto"/>
        <w:rPr>
          <w:rFonts w:ascii="Arial" w:hAnsi="Arial" w:cs="Arial"/>
          <w:color w:val="1C1E29"/>
        </w:rPr>
      </w:pPr>
      <w:r w:rsidRPr="00053B8A">
        <w:rPr>
          <w:rFonts w:ascii="Arial" w:hAnsi="Arial" w:cs="Arial"/>
          <w:color w:val="1C1E29"/>
        </w:rPr>
        <w:t>Operational changes: a firm may decide to change their operational structure; hence, when these changes occur, comparisons made on financial metrics before the change in operations may lead to wrong conclusions regarding firm’s financial performance as well as its prospects.</w:t>
      </w:r>
    </w:p>
    <w:p w14:paraId="151D9B33" w14:textId="7311FEF8" w:rsidR="00E570E2" w:rsidRPr="00053B8A" w:rsidRDefault="00E570E2" w:rsidP="00E570E2">
      <w:pPr>
        <w:pStyle w:val="NormalWeb"/>
        <w:numPr>
          <w:ilvl w:val="0"/>
          <w:numId w:val="1"/>
        </w:numPr>
        <w:spacing w:before="0" w:beforeAutospacing="0" w:after="0" w:afterAutospacing="0" w:line="360" w:lineRule="auto"/>
        <w:rPr>
          <w:rFonts w:ascii="Arial" w:hAnsi="Arial" w:cs="Arial"/>
          <w:color w:val="1C1E29"/>
        </w:rPr>
      </w:pPr>
      <w:r w:rsidRPr="00053B8A">
        <w:rPr>
          <w:rFonts w:ascii="Arial" w:hAnsi="Arial" w:cs="Arial"/>
          <w:color w:val="1C1E29"/>
        </w:rPr>
        <w:lastRenderedPageBreak/>
        <w:t>Manipulation of financial statements: firms may manipulate their financial figures to create a good impression by reporting better results</w:t>
      </w:r>
      <w:r w:rsidR="0026022E" w:rsidRPr="00053B8A">
        <w:rPr>
          <w:rFonts w:ascii="Arial" w:hAnsi="Arial" w:cs="Arial"/>
          <w:color w:val="1C1E29"/>
        </w:rPr>
        <w:t xml:space="preserve"> (</w:t>
      </w:r>
      <w:r w:rsidR="0026022E" w:rsidRPr="00053B8A">
        <w:rPr>
          <w:rFonts w:ascii="Arial" w:hAnsi="Arial" w:cs="Arial"/>
          <w:szCs w:val="28"/>
        </w:rPr>
        <w:t>Lesakova, 2007)</w:t>
      </w:r>
      <w:r w:rsidRPr="00053B8A">
        <w:rPr>
          <w:rFonts w:ascii="Arial" w:hAnsi="Arial" w:cs="Arial"/>
          <w:color w:val="1C1E29"/>
        </w:rPr>
        <w:t>. As such, use of ratios can be relied upon to make an informed conclusion on the true nature of the business.  </w:t>
      </w:r>
    </w:p>
    <w:p w14:paraId="67730456" w14:textId="77777777" w:rsidR="00053B8A" w:rsidRDefault="00053B8A" w:rsidP="00053B8A">
      <w:pPr>
        <w:pStyle w:val="NormalWeb"/>
        <w:spacing w:before="0" w:beforeAutospacing="0" w:after="0" w:afterAutospacing="0" w:line="360" w:lineRule="auto"/>
        <w:rPr>
          <w:rStyle w:val="Strong"/>
          <w:rFonts w:ascii="Arial" w:hAnsi="Arial" w:cs="Arial"/>
          <w:color w:val="1C1E29"/>
        </w:rPr>
      </w:pPr>
    </w:p>
    <w:p w14:paraId="2BD7A1D6" w14:textId="5B807894" w:rsidR="00E570E2" w:rsidRPr="00053B8A" w:rsidRDefault="004C1272" w:rsidP="00AD25D2">
      <w:pPr>
        <w:pStyle w:val="NormalWeb"/>
        <w:numPr>
          <w:ilvl w:val="0"/>
          <w:numId w:val="3"/>
        </w:numPr>
        <w:spacing w:before="0" w:beforeAutospacing="0" w:after="0" w:afterAutospacing="0" w:line="360" w:lineRule="auto"/>
        <w:rPr>
          <w:rFonts w:ascii="Arial" w:hAnsi="Arial" w:cs="Arial"/>
          <w:color w:val="1C1E29"/>
        </w:rPr>
      </w:pPr>
      <w:r>
        <w:rPr>
          <w:rStyle w:val="Strong"/>
          <w:rFonts w:ascii="Arial" w:hAnsi="Arial" w:cs="Arial"/>
          <w:color w:val="1C1E29"/>
        </w:rPr>
        <w:t>Recommendations</w:t>
      </w:r>
    </w:p>
    <w:p w14:paraId="17D32B90" w14:textId="37C4F95E" w:rsidR="0030389F" w:rsidRDefault="0030389F" w:rsidP="004C1272">
      <w:pPr>
        <w:pStyle w:val="NormalWeb"/>
        <w:spacing w:before="0" w:beforeAutospacing="0" w:after="0" w:afterAutospacing="0" w:line="360" w:lineRule="auto"/>
        <w:rPr>
          <w:rFonts w:ascii="Arial" w:hAnsi="Arial" w:cs="Arial"/>
          <w:color w:val="1C1E29"/>
        </w:rPr>
      </w:pPr>
    </w:p>
    <w:p w14:paraId="1A9F654A" w14:textId="731034A5" w:rsidR="004C1272" w:rsidRDefault="004C1272" w:rsidP="004C1272">
      <w:pPr>
        <w:pStyle w:val="NormalWeb"/>
        <w:spacing w:before="0" w:beforeAutospacing="0" w:after="0" w:afterAutospacing="0" w:line="360" w:lineRule="auto"/>
        <w:rPr>
          <w:rFonts w:ascii="Arial" w:hAnsi="Arial" w:cs="Arial"/>
          <w:color w:val="1C1E29"/>
        </w:rPr>
      </w:pPr>
      <w:r>
        <w:rPr>
          <w:rFonts w:ascii="Arial" w:hAnsi="Arial" w:cs="Arial"/>
          <w:color w:val="1C1E29"/>
        </w:rPr>
        <w:t xml:space="preserve">As per the limitations of financial ratios, it is also important to consider the economic environment when giving recommendations and analysing ABF performance. Since 2016, the UK has been facing a VUCA environment with the decision of Brexit was observed. This radical change in the market area of Britain has brought uncertainty and can certainly attribute some effect on the </w:t>
      </w:r>
      <w:r w:rsidR="00B072AF">
        <w:rPr>
          <w:rFonts w:ascii="Arial" w:hAnsi="Arial" w:cs="Arial"/>
          <w:color w:val="1C1E29"/>
        </w:rPr>
        <w:t xml:space="preserve">current assets that ABF may have. This being said the recommendations that can be offered are: </w:t>
      </w:r>
    </w:p>
    <w:p w14:paraId="40439901" w14:textId="77777777" w:rsidR="00671B8E" w:rsidRDefault="00671B8E" w:rsidP="009925B2">
      <w:pPr>
        <w:pStyle w:val="NormalWeb"/>
        <w:spacing w:before="0" w:beforeAutospacing="0" w:after="0" w:afterAutospacing="0" w:line="360" w:lineRule="auto"/>
        <w:ind w:firstLine="720"/>
        <w:rPr>
          <w:rFonts w:ascii="Arial" w:hAnsi="Arial" w:cs="Arial"/>
          <w:color w:val="1C1E29"/>
        </w:rPr>
      </w:pPr>
    </w:p>
    <w:p w14:paraId="1A45E5DF" w14:textId="150C6539" w:rsidR="0030389F" w:rsidRDefault="00E570E2" w:rsidP="0030389F">
      <w:pPr>
        <w:pStyle w:val="NormalWeb"/>
        <w:numPr>
          <w:ilvl w:val="0"/>
          <w:numId w:val="5"/>
        </w:numPr>
        <w:spacing w:before="0" w:beforeAutospacing="0" w:after="0" w:afterAutospacing="0" w:line="360" w:lineRule="auto"/>
        <w:rPr>
          <w:rFonts w:ascii="Arial" w:hAnsi="Arial" w:cs="Arial"/>
          <w:color w:val="1C1E29"/>
        </w:rPr>
      </w:pPr>
      <w:r w:rsidRPr="00053B8A">
        <w:rPr>
          <w:rFonts w:ascii="Arial" w:hAnsi="Arial" w:cs="Arial"/>
          <w:color w:val="1C1E29"/>
        </w:rPr>
        <w:t>The company should increase its current assets – cash, cash equivalents, and marketable investmen</w:t>
      </w:r>
      <w:r w:rsidR="00B072AF">
        <w:rPr>
          <w:rFonts w:ascii="Arial" w:hAnsi="Arial" w:cs="Arial"/>
          <w:color w:val="1C1E29"/>
        </w:rPr>
        <w:t xml:space="preserve">ts. They can do this by renegotiating payables, selling larger assets and then renting them to give a cash injection or offering a sale to increase sales quickly. </w:t>
      </w:r>
    </w:p>
    <w:p w14:paraId="6B7C5545" w14:textId="0EC2145F" w:rsidR="0030389F" w:rsidRDefault="0030389F" w:rsidP="0030389F">
      <w:pPr>
        <w:pStyle w:val="NormalWeb"/>
        <w:numPr>
          <w:ilvl w:val="0"/>
          <w:numId w:val="5"/>
        </w:numPr>
        <w:spacing w:before="0" w:beforeAutospacing="0" w:after="0" w:afterAutospacing="0" w:line="360" w:lineRule="auto"/>
        <w:rPr>
          <w:rFonts w:ascii="Arial" w:hAnsi="Arial" w:cs="Arial"/>
          <w:color w:val="1C1E29"/>
        </w:rPr>
      </w:pPr>
      <w:r>
        <w:rPr>
          <w:rFonts w:ascii="Arial" w:hAnsi="Arial" w:cs="Arial"/>
          <w:color w:val="1C1E29"/>
        </w:rPr>
        <w:t>ABF should focus</w:t>
      </w:r>
      <w:r w:rsidR="00E570E2" w:rsidRPr="00053B8A">
        <w:rPr>
          <w:rFonts w:ascii="Arial" w:hAnsi="Arial" w:cs="Arial"/>
          <w:color w:val="1C1E29"/>
        </w:rPr>
        <w:t xml:space="preserve"> on increasing their net revenues and reduce operational expenses to increase their net income. </w:t>
      </w:r>
      <w:r w:rsidR="00B072AF">
        <w:rPr>
          <w:rFonts w:ascii="Arial" w:hAnsi="Arial" w:cs="Arial"/>
          <w:color w:val="1C1E29"/>
        </w:rPr>
        <w:t xml:space="preserve">They can do this by doing a detailed review into staff efficiency. They can also look in depth into their costs and analyse where they can cut areas in order to increase profitability. </w:t>
      </w:r>
    </w:p>
    <w:p w14:paraId="0A684BF6" w14:textId="1AFC76CD" w:rsidR="00E570E2" w:rsidRDefault="00E570E2" w:rsidP="0030389F">
      <w:pPr>
        <w:pStyle w:val="NormalWeb"/>
        <w:numPr>
          <w:ilvl w:val="0"/>
          <w:numId w:val="5"/>
        </w:numPr>
        <w:spacing w:before="0" w:beforeAutospacing="0" w:after="0" w:afterAutospacing="0" w:line="360" w:lineRule="auto"/>
        <w:rPr>
          <w:rFonts w:ascii="Arial" w:hAnsi="Arial" w:cs="Arial"/>
          <w:color w:val="1C1E29"/>
        </w:rPr>
      </w:pPr>
      <w:r w:rsidRPr="00053B8A">
        <w:rPr>
          <w:rFonts w:ascii="Arial" w:hAnsi="Arial" w:cs="Arial"/>
          <w:color w:val="1C1E29"/>
        </w:rPr>
        <w:t>They should also revise measures used to collect receivables. </w:t>
      </w:r>
      <w:r w:rsidR="00B072AF">
        <w:rPr>
          <w:rFonts w:ascii="Arial" w:hAnsi="Arial" w:cs="Arial"/>
          <w:color w:val="1C1E29"/>
        </w:rPr>
        <w:t>This could be done by offering discounts on customers that quick pay or taking legal action or penalties that do not pay on time. They could also use a debt collecting method in order to receive debts that are outstanding.</w:t>
      </w:r>
    </w:p>
    <w:p w14:paraId="4C0337CE" w14:textId="77777777" w:rsidR="0076252D" w:rsidRDefault="0076252D" w:rsidP="0076252D">
      <w:pPr>
        <w:pStyle w:val="NormalWeb"/>
        <w:spacing w:before="0" w:beforeAutospacing="0" w:after="0" w:afterAutospacing="0" w:line="360" w:lineRule="auto"/>
        <w:ind w:left="1080"/>
        <w:rPr>
          <w:rFonts w:ascii="Arial" w:hAnsi="Arial" w:cs="Arial"/>
          <w:color w:val="1C1E29"/>
        </w:rPr>
      </w:pPr>
    </w:p>
    <w:p w14:paraId="442E26E1" w14:textId="77777777" w:rsidR="00912E71" w:rsidRDefault="00912E71" w:rsidP="0076252D">
      <w:pPr>
        <w:pStyle w:val="NormalWeb"/>
        <w:spacing w:before="0" w:beforeAutospacing="0" w:after="0" w:afterAutospacing="0" w:line="360" w:lineRule="auto"/>
        <w:ind w:left="1080"/>
        <w:rPr>
          <w:rFonts w:ascii="Arial" w:hAnsi="Arial" w:cs="Arial"/>
          <w:color w:val="1C1E29"/>
        </w:rPr>
      </w:pPr>
    </w:p>
    <w:p w14:paraId="39965FE1" w14:textId="77777777" w:rsidR="00912E71" w:rsidRDefault="00912E71" w:rsidP="0076252D">
      <w:pPr>
        <w:pStyle w:val="NormalWeb"/>
        <w:spacing w:before="0" w:beforeAutospacing="0" w:after="0" w:afterAutospacing="0" w:line="360" w:lineRule="auto"/>
        <w:ind w:left="1080"/>
        <w:rPr>
          <w:rFonts w:ascii="Arial" w:hAnsi="Arial" w:cs="Arial"/>
          <w:color w:val="1C1E29"/>
        </w:rPr>
      </w:pPr>
    </w:p>
    <w:p w14:paraId="58E901EB" w14:textId="77777777" w:rsidR="00912E71" w:rsidRDefault="00912E71" w:rsidP="0076252D">
      <w:pPr>
        <w:pStyle w:val="NormalWeb"/>
        <w:spacing w:before="0" w:beforeAutospacing="0" w:after="0" w:afterAutospacing="0" w:line="360" w:lineRule="auto"/>
        <w:ind w:left="1080"/>
        <w:rPr>
          <w:rFonts w:ascii="Arial" w:hAnsi="Arial" w:cs="Arial"/>
          <w:color w:val="1C1E29"/>
        </w:rPr>
      </w:pPr>
    </w:p>
    <w:p w14:paraId="7DFB83A3" w14:textId="77777777" w:rsidR="00912E71" w:rsidRDefault="00912E71" w:rsidP="0076252D">
      <w:pPr>
        <w:pStyle w:val="NormalWeb"/>
        <w:spacing w:before="0" w:beforeAutospacing="0" w:after="0" w:afterAutospacing="0" w:line="360" w:lineRule="auto"/>
        <w:ind w:left="1080"/>
        <w:rPr>
          <w:rFonts w:ascii="Arial" w:hAnsi="Arial" w:cs="Arial"/>
          <w:color w:val="1C1E29"/>
        </w:rPr>
      </w:pPr>
    </w:p>
    <w:p w14:paraId="34F5FA4E" w14:textId="77777777" w:rsidR="00912E71" w:rsidRPr="00053B8A" w:rsidRDefault="00912E71" w:rsidP="0076252D">
      <w:pPr>
        <w:pStyle w:val="NormalWeb"/>
        <w:spacing w:before="0" w:beforeAutospacing="0" w:after="0" w:afterAutospacing="0" w:line="360" w:lineRule="auto"/>
        <w:ind w:left="1080"/>
        <w:rPr>
          <w:rFonts w:ascii="Arial" w:hAnsi="Arial" w:cs="Arial"/>
          <w:color w:val="1C1E29"/>
        </w:rPr>
      </w:pPr>
    </w:p>
    <w:p w14:paraId="5E36DF34" w14:textId="5DD61F26" w:rsidR="009925B2" w:rsidRPr="00053B8A" w:rsidRDefault="00E570E2" w:rsidP="00E570E2">
      <w:pPr>
        <w:pStyle w:val="NormalWeb"/>
        <w:spacing w:before="0" w:beforeAutospacing="0" w:after="0" w:afterAutospacing="0" w:line="360" w:lineRule="auto"/>
        <w:rPr>
          <w:rFonts w:ascii="Arial" w:hAnsi="Arial" w:cs="Arial"/>
          <w:color w:val="1C1E29"/>
        </w:rPr>
      </w:pPr>
      <w:r w:rsidRPr="00053B8A">
        <w:rPr>
          <w:rFonts w:ascii="Arial" w:hAnsi="Arial" w:cs="Arial"/>
          <w:color w:val="1C1E29"/>
        </w:rPr>
        <w:t> </w:t>
      </w:r>
    </w:p>
    <w:p w14:paraId="1DDB3CE2" w14:textId="05758565" w:rsidR="009925B2" w:rsidRPr="00F31DD8" w:rsidRDefault="009925B2" w:rsidP="00AD25D2">
      <w:pPr>
        <w:pStyle w:val="ListParagraph"/>
        <w:numPr>
          <w:ilvl w:val="0"/>
          <w:numId w:val="3"/>
        </w:numPr>
        <w:rPr>
          <w:rFonts w:ascii="Arial" w:eastAsia="Times New Roman" w:hAnsi="Arial" w:cs="Arial"/>
          <w:color w:val="1C1E29"/>
          <w:sz w:val="24"/>
          <w:szCs w:val="24"/>
          <w:lang w:eastAsia="en-GB"/>
        </w:rPr>
      </w:pPr>
      <w:r w:rsidRPr="00AD25D2">
        <w:rPr>
          <w:rFonts w:ascii="Arial" w:hAnsi="Arial" w:cs="Arial"/>
          <w:b/>
          <w:color w:val="1C1E29"/>
          <w:sz w:val="24"/>
        </w:rPr>
        <w:lastRenderedPageBreak/>
        <w:t>References</w:t>
      </w:r>
    </w:p>
    <w:p w14:paraId="5DDE43B2" w14:textId="77777777" w:rsidR="00F31DD8" w:rsidRDefault="00F31DD8" w:rsidP="00F31DD8">
      <w:pPr>
        <w:pStyle w:val="ListParagraph"/>
        <w:ind w:left="360"/>
        <w:rPr>
          <w:rFonts w:ascii="Arial" w:hAnsi="Arial" w:cs="Arial"/>
          <w:b/>
          <w:color w:val="1C1E29"/>
          <w:sz w:val="24"/>
        </w:rPr>
      </w:pPr>
    </w:p>
    <w:p w14:paraId="1872D963" w14:textId="2D3C9461" w:rsidR="00007A4F" w:rsidRPr="00007A4F" w:rsidRDefault="00007A4F" w:rsidP="00F31DD8">
      <w:pPr>
        <w:rPr>
          <w:rFonts w:ascii="Arial" w:hAnsi="Arial" w:cs="Arial"/>
          <w:color w:val="000000"/>
          <w:sz w:val="24"/>
          <w:szCs w:val="24"/>
        </w:rPr>
      </w:pPr>
      <w:proofErr w:type="gramStart"/>
      <w:r w:rsidRPr="00007A4F">
        <w:rPr>
          <w:rFonts w:ascii="Arial" w:hAnsi="Arial" w:cs="Arial"/>
          <w:color w:val="000000"/>
          <w:sz w:val="24"/>
          <w:szCs w:val="24"/>
        </w:rPr>
        <w:t>Accounting tools.</w:t>
      </w:r>
      <w:proofErr w:type="gramEnd"/>
      <w:r w:rsidRPr="00007A4F">
        <w:rPr>
          <w:rFonts w:ascii="Arial" w:hAnsi="Arial" w:cs="Arial"/>
          <w:color w:val="000000"/>
          <w:sz w:val="24"/>
          <w:szCs w:val="24"/>
        </w:rPr>
        <w:t xml:space="preserve"> </w:t>
      </w:r>
      <w:proofErr w:type="gramStart"/>
      <w:r w:rsidRPr="00007A4F">
        <w:rPr>
          <w:rFonts w:ascii="Arial" w:hAnsi="Arial" w:cs="Arial"/>
          <w:color w:val="000000"/>
          <w:sz w:val="24"/>
          <w:szCs w:val="24"/>
        </w:rPr>
        <w:t>(2019). </w:t>
      </w:r>
      <w:r w:rsidRPr="00007A4F">
        <w:rPr>
          <w:rFonts w:ascii="Arial" w:hAnsi="Arial" w:cs="Arial"/>
          <w:i/>
          <w:iCs/>
          <w:color w:val="000000"/>
          <w:sz w:val="24"/>
          <w:szCs w:val="24"/>
        </w:rPr>
        <w:t>Net Profit Margin.</w:t>
      </w:r>
      <w:proofErr w:type="gramEnd"/>
      <w:r w:rsidRPr="00007A4F">
        <w:rPr>
          <w:rFonts w:ascii="Arial" w:hAnsi="Arial" w:cs="Arial"/>
          <w:color w:val="000000"/>
          <w:sz w:val="24"/>
          <w:szCs w:val="24"/>
        </w:rPr>
        <w:t> Available: https://www.accountingtools.com/articles/what-is-net-profit-margin.html. Last accessed 13th Sept 2019.</w:t>
      </w:r>
    </w:p>
    <w:p w14:paraId="057E3FF2" w14:textId="063C79EA" w:rsidR="009A0BD0" w:rsidRDefault="009A0BD0" w:rsidP="00F31DD8">
      <w:pPr>
        <w:rPr>
          <w:rFonts w:ascii="Arial" w:hAnsi="Arial" w:cs="Arial"/>
          <w:color w:val="000000"/>
          <w:sz w:val="24"/>
          <w:szCs w:val="20"/>
        </w:rPr>
      </w:pPr>
      <w:proofErr w:type="spellStart"/>
      <w:r>
        <w:rPr>
          <w:rFonts w:ascii="Arial" w:hAnsi="Arial" w:cs="Arial"/>
          <w:color w:val="000000"/>
          <w:sz w:val="24"/>
          <w:szCs w:val="20"/>
        </w:rPr>
        <w:t>Antrill</w:t>
      </w:r>
      <w:proofErr w:type="spellEnd"/>
      <w:r>
        <w:rPr>
          <w:rFonts w:ascii="Arial" w:hAnsi="Arial" w:cs="Arial"/>
          <w:color w:val="000000"/>
          <w:sz w:val="24"/>
          <w:szCs w:val="20"/>
        </w:rPr>
        <w:t>, P (2011</w:t>
      </w:r>
      <w:r w:rsidRPr="005D2E09">
        <w:rPr>
          <w:rFonts w:ascii="Arial" w:hAnsi="Arial" w:cs="Arial"/>
          <w:color w:val="000000"/>
          <w:sz w:val="24"/>
          <w:szCs w:val="20"/>
        </w:rPr>
        <w:t>). </w:t>
      </w:r>
      <w:proofErr w:type="gramStart"/>
      <w:r w:rsidRPr="005D2E09">
        <w:rPr>
          <w:rFonts w:ascii="Arial" w:hAnsi="Arial" w:cs="Arial"/>
          <w:i/>
          <w:iCs/>
          <w:color w:val="000000"/>
          <w:sz w:val="24"/>
          <w:szCs w:val="20"/>
        </w:rPr>
        <w:t>Financial management for decision makers</w:t>
      </w:r>
      <w:r w:rsidRPr="005D2E09">
        <w:rPr>
          <w:rFonts w:ascii="Arial" w:hAnsi="Arial" w:cs="Arial"/>
          <w:color w:val="000000"/>
          <w:sz w:val="24"/>
          <w:szCs w:val="20"/>
        </w:rPr>
        <w:t>.</w:t>
      </w:r>
      <w:proofErr w:type="gramEnd"/>
      <w:r>
        <w:rPr>
          <w:rFonts w:ascii="Arial" w:hAnsi="Arial" w:cs="Arial"/>
          <w:color w:val="000000"/>
          <w:sz w:val="24"/>
          <w:szCs w:val="20"/>
        </w:rPr>
        <w:t xml:space="preserve"> London: Pearson Education MUA. p68</w:t>
      </w:r>
      <w:r w:rsidRPr="005D2E09">
        <w:rPr>
          <w:rFonts w:ascii="Arial" w:hAnsi="Arial" w:cs="Arial"/>
          <w:color w:val="000000"/>
          <w:sz w:val="24"/>
          <w:szCs w:val="20"/>
        </w:rPr>
        <w:t>.</w:t>
      </w:r>
    </w:p>
    <w:p w14:paraId="2BF64429" w14:textId="1B20939E" w:rsidR="00007A4F" w:rsidRDefault="00007A4F" w:rsidP="00F31DD8">
      <w:pPr>
        <w:rPr>
          <w:rFonts w:ascii="Arial" w:hAnsi="Arial" w:cs="Arial"/>
          <w:color w:val="000000"/>
          <w:sz w:val="24"/>
          <w:szCs w:val="20"/>
        </w:rPr>
      </w:pPr>
      <w:proofErr w:type="spellStart"/>
      <w:r>
        <w:rPr>
          <w:rFonts w:ascii="Arial" w:hAnsi="Arial" w:cs="Arial"/>
          <w:color w:val="000000"/>
          <w:sz w:val="24"/>
          <w:szCs w:val="20"/>
        </w:rPr>
        <w:t>Antrill</w:t>
      </w:r>
      <w:proofErr w:type="spellEnd"/>
      <w:r>
        <w:rPr>
          <w:rFonts w:ascii="Arial" w:hAnsi="Arial" w:cs="Arial"/>
          <w:color w:val="000000"/>
          <w:sz w:val="24"/>
          <w:szCs w:val="20"/>
        </w:rPr>
        <w:t>, P (2011</w:t>
      </w:r>
      <w:r w:rsidRPr="005D2E09">
        <w:rPr>
          <w:rFonts w:ascii="Arial" w:hAnsi="Arial" w:cs="Arial"/>
          <w:color w:val="000000"/>
          <w:sz w:val="24"/>
          <w:szCs w:val="20"/>
        </w:rPr>
        <w:t>). </w:t>
      </w:r>
      <w:proofErr w:type="gramStart"/>
      <w:r w:rsidRPr="005D2E09">
        <w:rPr>
          <w:rFonts w:ascii="Arial" w:hAnsi="Arial" w:cs="Arial"/>
          <w:i/>
          <w:iCs/>
          <w:color w:val="000000"/>
          <w:sz w:val="24"/>
          <w:szCs w:val="20"/>
        </w:rPr>
        <w:t>Financial management for decision makers</w:t>
      </w:r>
      <w:r w:rsidRPr="005D2E09">
        <w:rPr>
          <w:rFonts w:ascii="Arial" w:hAnsi="Arial" w:cs="Arial"/>
          <w:color w:val="000000"/>
          <w:sz w:val="24"/>
          <w:szCs w:val="20"/>
        </w:rPr>
        <w:t>.</w:t>
      </w:r>
      <w:proofErr w:type="gramEnd"/>
      <w:r>
        <w:rPr>
          <w:rFonts w:ascii="Arial" w:hAnsi="Arial" w:cs="Arial"/>
          <w:color w:val="000000"/>
          <w:sz w:val="24"/>
          <w:szCs w:val="20"/>
        </w:rPr>
        <w:t xml:space="preserve"> London: Pearson Education MUA. p6</w:t>
      </w:r>
      <w:r>
        <w:rPr>
          <w:rFonts w:ascii="Arial" w:hAnsi="Arial" w:cs="Arial"/>
          <w:color w:val="000000"/>
          <w:sz w:val="24"/>
          <w:szCs w:val="20"/>
        </w:rPr>
        <w:t>9</w:t>
      </w:r>
      <w:r w:rsidRPr="005D2E09">
        <w:rPr>
          <w:rFonts w:ascii="Arial" w:hAnsi="Arial" w:cs="Arial"/>
          <w:color w:val="000000"/>
          <w:sz w:val="24"/>
          <w:szCs w:val="20"/>
        </w:rPr>
        <w:t>.</w:t>
      </w:r>
    </w:p>
    <w:p w14:paraId="566CD8CC" w14:textId="591DC6BF" w:rsidR="009A0BD0" w:rsidRDefault="005D2E09" w:rsidP="00F31DD8">
      <w:pPr>
        <w:rPr>
          <w:rFonts w:ascii="Arial" w:hAnsi="Arial" w:cs="Arial"/>
          <w:color w:val="000000"/>
          <w:sz w:val="24"/>
          <w:szCs w:val="20"/>
        </w:rPr>
      </w:pPr>
      <w:proofErr w:type="spellStart"/>
      <w:r w:rsidRPr="005D2E09">
        <w:rPr>
          <w:rFonts w:ascii="Arial" w:hAnsi="Arial" w:cs="Arial"/>
          <w:color w:val="000000"/>
          <w:sz w:val="24"/>
          <w:szCs w:val="20"/>
        </w:rPr>
        <w:t>Antrill</w:t>
      </w:r>
      <w:proofErr w:type="spellEnd"/>
      <w:r w:rsidRPr="005D2E09">
        <w:rPr>
          <w:rFonts w:ascii="Arial" w:hAnsi="Arial" w:cs="Arial"/>
          <w:color w:val="000000"/>
          <w:sz w:val="24"/>
          <w:szCs w:val="20"/>
        </w:rPr>
        <w:t>, P (2012). </w:t>
      </w:r>
      <w:proofErr w:type="gramStart"/>
      <w:r w:rsidRPr="005D2E09">
        <w:rPr>
          <w:rFonts w:ascii="Arial" w:hAnsi="Arial" w:cs="Arial"/>
          <w:i/>
          <w:iCs/>
          <w:color w:val="000000"/>
          <w:sz w:val="24"/>
          <w:szCs w:val="20"/>
        </w:rPr>
        <w:t>Financial management for decision makers</w:t>
      </w:r>
      <w:r w:rsidRPr="005D2E09">
        <w:rPr>
          <w:rFonts w:ascii="Arial" w:hAnsi="Arial" w:cs="Arial"/>
          <w:color w:val="000000"/>
          <w:sz w:val="24"/>
          <w:szCs w:val="20"/>
        </w:rPr>
        <w:t>.</w:t>
      </w:r>
      <w:proofErr w:type="gramEnd"/>
      <w:r w:rsidRPr="005D2E09">
        <w:rPr>
          <w:rFonts w:ascii="Arial" w:hAnsi="Arial" w:cs="Arial"/>
          <w:color w:val="000000"/>
          <w:sz w:val="24"/>
          <w:szCs w:val="20"/>
        </w:rPr>
        <w:t xml:space="preserve"> Harlow: Financial Times Prentice Hall. p2.</w:t>
      </w:r>
    </w:p>
    <w:p w14:paraId="59087655" w14:textId="726EB203" w:rsidR="00094430" w:rsidRPr="00094430" w:rsidRDefault="00094430" w:rsidP="00F31DD8">
      <w:pPr>
        <w:rPr>
          <w:rFonts w:ascii="Arial" w:hAnsi="Arial" w:cs="Arial"/>
          <w:color w:val="000000"/>
          <w:sz w:val="24"/>
          <w:szCs w:val="24"/>
        </w:rPr>
      </w:pPr>
      <w:proofErr w:type="gramStart"/>
      <w:r w:rsidRPr="00F31DD8">
        <w:rPr>
          <w:rFonts w:ascii="Arial" w:hAnsi="Arial" w:cs="Arial"/>
          <w:color w:val="000000"/>
          <w:sz w:val="24"/>
          <w:szCs w:val="24"/>
        </w:rPr>
        <w:t>Associated British Foods plc.</w:t>
      </w:r>
      <w:proofErr w:type="gramEnd"/>
      <w:r w:rsidRPr="00F31DD8">
        <w:rPr>
          <w:rFonts w:ascii="Arial" w:hAnsi="Arial" w:cs="Arial"/>
          <w:color w:val="000000"/>
          <w:sz w:val="24"/>
          <w:szCs w:val="24"/>
        </w:rPr>
        <w:t xml:space="preserve"> </w:t>
      </w:r>
      <w:proofErr w:type="gramStart"/>
      <w:r w:rsidRPr="00F31DD8">
        <w:rPr>
          <w:rFonts w:ascii="Arial" w:hAnsi="Arial" w:cs="Arial"/>
          <w:color w:val="000000"/>
          <w:sz w:val="24"/>
          <w:szCs w:val="24"/>
        </w:rPr>
        <w:t>(2018). </w:t>
      </w:r>
      <w:r w:rsidRPr="00F31DD8">
        <w:rPr>
          <w:rFonts w:ascii="Arial" w:hAnsi="Arial" w:cs="Arial"/>
          <w:i/>
          <w:iCs/>
          <w:color w:val="000000"/>
          <w:sz w:val="24"/>
          <w:szCs w:val="24"/>
        </w:rPr>
        <w:t>Annual Report and Accounts.</w:t>
      </w:r>
      <w:proofErr w:type="gramEnd"/>
      <w:r w:rsidRPr="00F31DD8">
        <w:rPr>
          <w:rFonts w:ascii="Arial" w:hAnsi="Arial" w:cs="Arial"/>
          <w:color w:val="000000"/>
          <w:sz w:val="24"/>
          <w:szCs w:val="24"/>
        </w:rPr>
        <w:t> Available: https://www.abf.co.uk/file.axd?pointerid=c0e82f2ed99b41edb692e249f1231d1a. Last accessed 5th Sept 2019.</w:t>
      </w:r>
    </w:p>
    <w:p w14:paraId="5D6A37BB" w14:textId="1C21AB70" w:rsidR="009925B2" w:rsidRDefault="009925B2" w:rsidP="009925B2">
      <w:pPr>
        <w:pStyle w:val="Bibliography"/>
        <w:ind w:left="720" w:hanging="720"/>
        <w:rPr>
          <w:rFonts w:ascii="Arial" w:hAnsi="Arial" w:cs="Arial"/>
          <w:sz w:val="24"/>
          <w:szCs w:val="28"/>
        </w:rPr>
      </w:pPr>
      <w:proofErr w:type="spellStart"/>
      <w:r w:rsidRPr="00053B8A">
        <w:rPr>
          <w:rFonts w:ascii="Arial" w:hAnsi="Arial" w:cs="Arial"/>
          <w:sz w:val="24"/>
          <w:szCs w:val="28"/>
        </w:rPr>
        <w:t>Doukas</w:t>
      </w:r>
      <w:proofErr w:type="spellEnd"/>
      <w:r w:rsidR="0076252D">
        <w:rPr>
          <w:rFonts w:ascii="Arial" w:hAnsi="Arial" w:cs="Arial"/>
          <w:sz w:val="24"/>
          <w:szCs w:val="28"/>
        </w:rPr>
        <w:t xml:space="preserve"> et al </w:t>
      </w:r>
      <w:r w:rsidR="0026022E" w:rsidRPr="00053B8A">
        <w:rPr>
          <w:rFonts w:ascii="Arial" w:hAnsi="Arial" w:cs="Arial"/>
          <w:sz w:val="24"/>
          <w:szCs w:val="28"/>
        </w:rPr>
        <w:t>200</w:t>
      </w:r>
      <w:r w:rsidRPr="00053B8A">
        <w:rPr>
          <w:rFonts w:ascii="Arial" w:hAnsi="Arial" w:cs="Arial"/>
          <w:sz w:val="24"/>
          <w:szCs w:val="28"/>
        </w:rPr>
        <w:t xml:space="preserve">8. The effect of corporate multinationalism on shareholders’ wealth: Evidence from international acquisitions. </w:t>
      </w:r>
      <w:proofErr w:type="gramStart"/>
      <w:r w:rsidRPr="00053B8A">
        <w:rPr>
          <w:rFonts w:ascii="Arial" w:hAnsi="Arial" w:cs="Arial"/>
          <w:i/>
          <w:iCs/>
          <w:sz w:val="24"/>
          <w:szCs w:val="28"/>
        </w:rPr>
        <w:t>The Journal of Finance</w:t>
      </w:r>
      <w:r w:rsidRPr="00053B8A">
        <w:rPr>
          <w:rFonts w:ascii="Arial" w:hAnsi="Arial" w:cs="Arial"/>
          <w:sz w:val="24"/>
          <w:szCs w:val="28"/>
        </w:rPr>
        <w:t xml:space="preserve">, </w:t>
      </w:r>
      <w:r w:rsidRPr="00053B8A">
        <w:rPr>
          <w:rFonts w:ascii="Arial" w:hAnsi="Arial" w:cs="Arial"/>
          <w:i/>
          <w:iCs/>
          <w:sz w:val="24"/>
          <w:szCs w:val="28"/>
        </w:rPr>
        <w:t>43</w:t>
      </w:r>
      <w:r w:rsidRPr="00053B8A">
        <w:rPr>
          <w:rFonts w:ascii="Arial" w:hAnsi="Arial" w:cs="Arial"/>
          <w:sz w:val="24"/>
          <w:szCs w:val="28"/>
        </w:rPr>
        <w:t xml:space="preserve">(5), </w:t>
      </w:r>
      <w:r w:rsidR="00094430">
        <w:rPr>
          <w:rFonts w:ascii="Arial" w:hAnsi="Arial" w:cs="Arial"/>
          <w:sz w:val="24"/>
          <w:szCs w:val="28"/>
        </w:rPr>
        <w:t>p</w:t>
      </w:r>
      <w:r w:rsidRPr="00053B8A">
        <w:rPr>
          <w:rFonts w:ascii="Arial" w:hAnsi="Arial" w:cs="Arial"/>
          <w:sz w:val="24"/>
          <w:szCs w:val="28"/>
        </w:rPr>
        <w:t>1161–</w:t>
      </w:r>
      <w:r w:rsidR="00094430">
        <w:rPr>
          <w:rFonts w:ascii="Arial" w:hAnsi="Arial" w:cs="Arial"/>
          <w:sz w:val="24"/>
          <w:szCs w:val="28"/>
        </w:rPr>
        <w:t>p</w:t>
      </w:r>
      <w:r w:rsidRPr="00053B8A">
        <w:rPr>
          <w:rFonts w:ascii="Arial" w:hAnsi="Arial" w:cs="Arial"/>
          <w:sz w:val="24"/>
          <w:szCs w:val="28"/>
        </w:rPr>
        <w:t>1175.</w:t>
      </w:r>
      <w:proofErr w:type="gramEnd"/>
    </w:p>
    <w:p w14:paraId="25BDF83B" w14:textId="1F2D7AE5" w:rsidR="00F31DD8" w:rsidRPr="00F31DD8" w:rsidRDefault="00F31DD8" w:rsidP="00F31DD8">
      <w:pPr>
        <w:rPr>
          <w:rFonts w:ascii="Arial" w:hAnsi="Arial" w:cs="Arial"/>
          <w:sz w:val="28"/>
        </w:rPr>
      </w:pPr>
      <w:r w:rsidRPr="00F31DD8">
        <w:rPr>
          <w:rFonts w:ascii="Arial" w:hAnsi="Arial" w:cs="Arial"/>
          <w:color w:val="000000"/>
          <w:sz w:val="24"/>
          <w:szCs w:val="20"/>
        </w:rPr>
        <w:t>Investing.com. (2019). </w:t>
      </w:r>
      <w:r w:rsidRPr="00F31DD8">
        <w:rPr>
          <w:rFonts w:ascii="Arial" w:hAnsi="Arial" w:cs="Arial"/>
          <w:i/>
          <w:iCs/>
          <w:color w:val="000000"/>
          <w:sz w:val="24"/>
          <w:szCs w:val="20"/>
        </w:rPr>
        <w:t>Associated British Foods PLC (ABF).</w:t>
      </w:r>
      <w:r w:rsidRPr="00F31DD8">
        <w:rPr>
          <w:rFonts w:ascii="Arial" w:hAnsi="Arial" w:cs="Arial"/>
          <w:color w:val="000000"/>
          <w:sz w:val="24"/>
          <w:szCs w:val="20"/>
        </w:rPr>
        <w:t> Available: https://www.investing.com/equities/assoc.br.foods. Last accessed 2nd Sept 2019.</w:t>
      </w:r>
    </w:p>
    <w:p w14:paraId="4EE8F705" w14:textId="3CEDBB60" w:rsidR="009925B2" w:rsidRPr="00053B8A" w:rsidRDefault="009925B2" w:rsidP="009925B2">
      <w:pPr>
        <w:pStyle w:val="Bibliography"/>
        <w:ind w:left="720" w:hanging="720"/>
        <w:rPr>
          <w:rFonts w:ascii="Arial" w:hAnsi="Arial" w:cs="Arial"/>
          <w:sz w:val="24"/>
          <w:szCs w:val="28"/>
        </w:rPr>
      </w:pPr>
      <w:r w:rsidRPr="00053B8A">
        <w:rPr>
          <w:rFonts w:ascii="Arial" w:hAnsi="Arial" w:cs="Arial"/>
          <w:sz w:val="24"/>
          <w:szCs w:val="28"/>
        </w:rPr>
        <w:t xml:space="preserve">Lesakova, L. 2007. Uses and limitations of profitability ratio analysis in managerial practice. In </w:t>
      </w:r>
      <w:r w:rsidRPr="00053B8A">
        <w:rPr>
          <w:rFonts w:ascii="Arial" w:hAnsi="Arial" w:cs="Arial"/>
          <w:i/>
          <w:iCs/>
          <w:sz w:val="24"/>
          <w:szCs w:val="28"/>
        </w:rPr>
        <w:t>International Conference on Management, Enterprise and Benchmarking</w:t>
      </w:r>
      <w:r w:rsidRPr="00053B8A">
        <w:rPr>
          <w:rFonts w:ascii="Arial" w:hAnsi="Arial" w:cs="Arial"/>
          <w:sz w:val="24"/>
          <w:szCs w:val="28"/>
        </w:rPr>
        <w:t xml:space="preserve"> (pp. 1–2).</w:t>
      </w:r>
    </w:p>
    <w:p w14:paraId="5A595ED8" w14:textId="10AA302A" w:rsidR="009925B2" w:rsidRPr="00053B8A" w:rsidRDefault="009925B2" w:rsidP="009925B2">
      <w:pPr>
        <w:pStyle w:val="Bibliography"/>
        <w:ind w:left="720" w:hanging="720"/>
        <w:rPr>
          <w:rFonts w:ascii="Arial" w:hAnsi="Arial" w:cs="Arial"/>
          <w:sz w:val="24"/>
          <w:szCs w:val="28"/>
        </w:rPr>
      </w:pPr>
      <w:proofErr w:type="spellStart"/>
      <w:proofErr w:type="gramStart"/>
      <w:r w:rsidRPr="00053B8A">
        <w:rPr>
          <w:rFonts w:ascii="Arial" w:hAnsi="Arial" w:cs="Arial"/>
          <w:sz w:val="24"/>
          <w:szCs w:val="28"/>
        </w:rPr>
        <w:t>Nissim</w:t>
      </w:r>
      <w:proofErr w:type="spellEnd"/>
      <w:r w:rsidR="0076252D">
        <w:rPr>
          <w:rFonts w:ascii="Arial" w:hAnsi="Arial" w:cs="Arial"/>
          <w:sz w:val="24"/>
          <w:szCs w:val="28"/>
        </w:rPr>
        <w:t xml:space="preserve"> et al. </w:t>
      </w:r>
      <w:r w:rsidRPr="00053B8A">
        <w:rPr>
          <w:rFonts w:ascii="Arial" w:hAnsi="Arial" w:cs="Arial"/>
          <w:sz w:val="24"/>
          <w:szCs w:val="28"/>
        </w:rPr>
        <w:t>20</w:t>
      </w:r>
      <w:r w:rsidR="0026022E" w:rsidRPr="00053B8A">
        <w:rPr>
          <w:rFonts w:ascii="Arial" w:hAnsi="Arial" w:cs="Arial"/>
          <w:sz w:val="24"/>
          <w:szCs w:val="28"/>
        </w:rPr>
        <w:t>1</w:t>
      </w:r>
      <w:r w:rsidRPr="00053B8A">
        <w:rPr>
          <w:rFonts w:ascii="Arial" w:hAnsi="Arial" w:cs="Arial"/>
          <w:sz w:val="24"/>
          <w:szCs w:val="28"/>
        </w:rPr>
        <w:t>3.</w:t>
      </w:r>
      <w:proofErr w:type="gramEnd"/>
      <w:r w:rsidRPr="00053B8A">
        <w:rPr>
          <w:rFonts w:ascii="Arial" w:hAnsi="Arial" w:cs="Arial"/>
          <w:sz w:val="24"/>
          <w:szCs w:val="28"/>
        </w:rPr>
        <w:t xml:space="preserve"> Financial statement analysis of leverage and how it informs about profitability and price-to-book ratios. </w:t>
      </w:r>
      <w:r w:rsidRPr="00053B8A">
        <w:rPr>
          <w:rFonts w:ascii="Arial" w:hAnsi="Arial" w:cs="Arial"/>
          <w:i/>
          <w:iCs/>
          <w:sz w:val="24"/>
          <w:szCs w:val="28"/>
        </w:rPr>
        <w:t>Review of Accounting Studies</w:t>
      </w:r>
      <w:r w:rsidRPr="00053B8A">
        <w:rPr>
          <w:rFonts w:ascii="Arial" w:hAnsi="Arial" w:cs="Arial"/>
          <w:sz w:val="24"/>
          <w:szCs w:val="28"/>
        </w:rPr>
        <w:t xml:space="preserve">, </w:t>
      </w:r>
      <w:r w:rsidRPr="00053B8A">
        <w:rPr>
          <w:rFonts w:ascii="Arial" w:hAnsi="Arial" w:cs="Arial"/>
          <w:i/>
          <w:iCs/>
          <w:sz w:val="24"/>
          <w:szCs w:val="28"/>
        </w:rPr>
        <w:t>8</w:t>
      </w:r>
      <w:r w:rsidRPr="00053B8A">
        <w:rPr>
          <w:rFonts w:ascii="Arial" w:hAnsi="Arial" w:cs="Arial"/>
          <w:sz w:val="24"/>
          <w:szCs w:val="28"/>
        </w:rPr>
        <w:t>(4), 531–560.</w:t>
      </w:r>
    </w:p>
    <w:p w14:paraId="2BA80161" w14:textId="6AFDA663" w:rsidR="00B072AF" w:rsidRDefault="00B072AF" w:rsidP="00B072AF">
      <w:pPr>
        <w:rPr>
          <w:rFonts w:ascii="Arial" w:hAnsi="Arial" w:cs="Arial"/>
          <w:color w:val="000000"/>
          <w:sz w:val="24"/>
          <w:szCs w:val="20"/>
        </w:rPr>
      </w:pPr>
      <w:r w:rsidRPr="00B072AF">
        <w:rPr>
          <w:rFonts w:ascii="Arial" w:hAnsi="Arial" w:cs="Arial"/>
          <w:color w:val="000000"/>
          <w:sz w:val="24"/>
          <w:szCs w:val="20"/>
        </w:rPr>
        <w:t>Pemberton, C. (2019). </w:t>
      </w:r>
      <w:r w:rsidRPr="00B072AF">
        <w:rPr>
          <w:rFonts w:ascii="Arial" w:hAnsi="Arial" w:cs="Arial"/>
          <w:i/>
          <w:iCs/>
          <w:color w:val="000000"/>
          <w:sz w:val="24"/>
          <w:szCs w:val="20"/>
        </w:rPr>
        <w:t>Brexit, VUCA and Resilience.</w:t>
      </w:r>
      <w:r w:rsidRPr="00B072AF">
        <w:rPr>
          <w:rFonts w:ascii="Arial" w:hAnsi="Arial" w:cs="Arial"/>
          <w:color w:val="000000"/>
          <w:sz w:val="24"/>
          <w:szCs w:val="20"/>
        </w:rPr>
        <w:t> Available: https://carolepemberton.co.uk/brexit-vuca-and-resilience/. Last accessed 5th Sept 2019.</w:t>
      </w:r>
    </w:p>
    <w:p w14:paraId="5F940140" w14:textId="77777777" w:rsidR="00094430" w:rsidRPr="00BA7217" w:rsidRDefault="00094430" w:rsidP="00094430">
      <w:pPr>
        <w:pStyle w:val="Bibliography"/>
        <w:ind w:left="720" w:hanging="720"/>
        <w:rPr>
          <w:rFonts w:ascii="Arial" w:hAnsi="Arial" w:cs="Arial"/>
          <w:color w:val="333333"/>
          <w:sz w:val="24"/>
          <w:shd w:val="clear" w:color="auto" w:fill="FFFFFF"/>
        </w:rPr>
      </w:pPr>
      <w:proofErr w:type="gramStart"/>
      <w:r w:rsidRPr="00BA7217">
        <w:rPr>
          <w:rFonts w:ascii="Arial" w:hAnsi="Arial" w:cs="Arial"/>
          <w:color w:val="333333"/>
          <w:sz w:val="24"/>
          <w:shd w:val="clear" w:color="auto" w:fill="FFFFFF"/>
        </w:rPr>
        <w:t xml:space="preserve">Y. A. </w:t>
      </w:r>
      <w:proofErr w:type="spellStart"/>
      <w:r w:rsidRPr="00BA7217">
        <w:rPr>
          <w:rFonts w:ascii="Arial" w:hAnsi="Arial" w:cs="Arial"/>
          <w:color w:val="333333"/>
          <w:sz w:val="24"/>
          <w:shd w:val="clear" w:color="auto" w:fill="FFFFFF"/>
        </w:rPr>
        <w:t>Babalola</w:t>
      </w:r>
      <w:proofErr w:type="spellEnd"/>
      <w:r w:rsidRPr="00BA7217">
        <w:rPr>
          <w:rFonts w:ascii="Arial" w:hAnsi="Arial" w:cs="Arial"/>
          <w:color w:val="333333"/>
          <w:sz w:val="24"/>
          <w:shd w:val="clear" w:color="auto" w:fill="FFFFFF"/>
        </w:rPr>
        <w:t xml:space="preserve"> &amp; F. R. </w:t>
      </w:r>
      <w:proofErr w:type="spellStart"/>
      <w:r w:rsidRPr="00BA7217">
        <w:rPr>
          <w:rFonts w:ascii="Arial" w:hAnsi="Arial" w:cs="Arial"/>
          <w:color w:val="333333"/>
          <w:sz w:val="24"/>
          <w:shd w:val="clear" w:color="auto" w:fill="FFFFFF"/>
        </w:rPr>
        <w:t>Abiola</w:t>
      </w:r>
      <w:proofErr w:type="spellEnd"/>
      <w:r w:rsidRPr="00BA7217">
        <w:rPr>
          <w:rFonts w:ascii="Arial" w:hAnsi="Arial" w:cs="Arial"/>
          <w:color w:val="333333"/>
          <w:sz w:val="24"/>
          <w:shd w:val="clear" w:color="auto" w:fill="FFFFFF"/>
        </w:rPr>
        <w:t>, 2013.</w:t>
      </w:r>
      <w:proofErr w:type="gramEnd"/>
      <w:r w:rsidRPr="00BA7217">
        <w:rPr>
          <w:rFonts w:ascii="Arial" w:hAnsi="Arial" w:cs="Arial"/>
          <w:color w:val="333333"/>
          <w:sz w:val="24"/>
          <w:shd w:val="clear" w:color="auto" w:fill="FFFFFF"/>
        </w:rPr>
        <w:t xml:space="preserve"> "</w:t>
      </w:r>
      <w:r w:rsidRPr="00BA7217">
        <w:rPr>
          <w:rFonts w:ascii="Arial" w:hAnsi="Arial" w:cs="Arial"/>
          <w:bCs/>
          <w:color w:val="333333"/>
          <w:sz w:val="24"/>
        </w:rPr>
        <w:t>Financial Ratio Analysis of Firms: A Tool for Decision Making</w:t>
      </w:r>
      <w:r w:rsidRPr="00BA7217">
        <w:rPr>
          <w:rFonts w:ascii="Arial" w:hAnsi="Arial" w:cs="Arial"/>
          <w:color w:val="333333"/>
          <w:sz w:val="24"/>
          <w:shd w:val="clear" w:color="auto" w:fill="FFFFFF"/>
        </w:rPr>
        <w:t>," </w:t>
      </w:r>
      <w:r w:rsidRPr="00BA7217">
        <w:rPr>
          <w:rFonts w:ascii="Arial" w:hAnsi="Arial" w:cs="Arial"/>
          <w:sz w:val="24"/>
        </w:rPr>
        <w:t>International Journal of Management Sciences</w:t>
      </w:r>
      <w:r w:rsidRPr="00BA7217">
        <w:rPr>
          <w:rFonts w:ascii="Arial" w:hAnsi="Arial" w:cs="Arial"/>
          <w:color w:val="333333"/>
          <w:sz w:val="24"/>
          <w:shd w:val="clear" w:color="auto" w:fill="FFFFFF"/>
        </w:rPr>
        <w:t>, Research Academy of Social Sciences, vol. 1(4), pages 132-137.</w:t>
      </w:r>
    </w:p>
    <w:p w14:paraId="0D75BF70" w14:textId="77777777" w:rsidR="00BA7217" w:rsidRPr="00B072AF" w:rsidRDefault="00BA7217" w:rsidP="00B072AF">
      <w:pPr>
        <w:rPr>
          <w:rFonts w:ascii="Arial" w:hAnsi="Arial" w:cs="Arial"/>
          <w:sz w:val="28"/>
        </w:rPr>
      </w:pPr>
    </w:p>
    <w:p w14:paraId="75A04644" w14:textId="77777777" w:rsidR="00E570E2" w:rsidRDefault="00E570E2" w:rsidP="00E570E2">
      <w:pPr>
        <w:spacing w:line="360" w:lineRule="auto"/>
      </w:pPr>
    </w:p>
    <w:p w14:paraId="75E101EC" w14:textId="77777777" w:rsidR="00680C88" w:rsidRDefault="00680C88" w:rsidP="00E570E2">
      <w:pPr>
        <w:spacing w:line="360" w:lineRule="auto"/>
      </w:pPr>
    </w:p>
    <w:p w14:paraId="5413C3C7" w14:textId="77777777" w:rsidR="00680C88" w:rsidRDefault="00680C88" w:rsidP="00E570E2">
      <w:pPr>
        <w:spacing w:line="360" w:lineRule="auto"/>
      </w:pPr>
    </w:p>
    <w:p w14:paraId="154A8BAD" w14:textId="77777777" w:rsidR="00680C88" w:rsidRDefault="00680C88" w:rsidP="00E570E2">
      <w:pPr>
        <w:spacing w:line="360" w:lineRule="auto"/>
      </w:pPr>
    </w:p>
    <w:p w14:paraId="67DD3247" w14:textId="77777777" w:rsidR="00680C88" w:rsidRDefault="00680C88" w:rsidP="00E570E2">
      <w:pPr>
        <w:spacing w:line="360" w:lineRule="auto"/>
      </w:pPr>
    </w:p>
    <w:p w14:paraId="2BDEC41B" w14:textId="77777777" w:rsidR="00680C88" w:rsidRDefault="00680C88" w:rsidP="00E570E2">
      <w:pPr>
        <w:spacing w:line="360" w:lineRule="auto"/>
      </w:pPr>
    </w:p>
    <w:p w14:paraId="65D1581E" w14:textId="77777777" w:rsidR="00FD59D1" w:rsidRDefault="00FD59D1" w:rsidP="00E570E2">
      <w:pPr>
        <w:spacing w:line="360" w:lineRule="auto"/>
      </w:pPr>
    </w:p>
    <w:p w14:paraId="2B2E6C63" w14:textId="77777777" w:rsidR="00FD59D1" w:rsidRDefault="00FD59D1" w:rsidP="00E570E2">
      <w:pPr>
        <w:spacing w:line="360" w:lineRule="auto"/>
      </w:pPr>
    </w:p>
    <w:p w14:paraId="2F00E49D" w14:textId="77777777" w:rsidR="00FD59D1" w:rsidRDefault="00FD59D1" w:rsidP="00E570E2">
      <w:pPr>
        <w:spacing w:line="360" w:lineRule="auto"/>
      </w:pPr>
    </w:p>
    <w:p w14:paraId="1C161262" w14:textId="77777777" w:rsidR="00680C88" w:rsidRDefault="00680C88" w:rsidP="00E570E2">
      <w:pPr>
        <w:spacing w:line="360" w:lineRule="auto"/>
      </w:pPr>
    </w:p>
    <w:p w14:paraId="504F1BEC" w14:textId="77777777" w:rsidR="00FD59D1" w:rsidRDefault="00FD59D1" w:rsidP="00E570E2">
      <w:pPr>
        <w:spacing w:line="360" w:lineRule="auto"/>
      </w:pPr>
    </w:p>
    <w:p w14:paraId="05EF121E" w14:textId="77777777" w:rsidR="00FD59D1" w:rsidRDefault="00FD59D1" w:rsidP="00E570E2">
      <w:pPr>
        <w:spacing w:line="360" w:lineRule="auto"/>
      </w:pPr>
    </w:p>
    <w:p w14:paraId="3F96B329" w14:textId="77777777" w:rsidR="00FD59D1" w:rsidRDefault="00FD59D1" w:rsidP="00E570E2">
      <w:pPr>
        <w:spacing w:line="360" w:lineRule="auto"/>
      </w:pPr>
    </w:p>
    <w:p w14:paraId="1363F075" w14:textId="77777777" w:rsidR="00FD59D1" w:rsidRDefault="00FD59D1" w:rsidP="00E570E2">
      <w:pPr>
        <w:spacing w:line="360" w:lineRule="auto"/>
      </w:pPr>
    </w:p>
    <w:p w14:paraId="7C0C73B2" w14:textId="77777777" w:rsidR="00FD59D1" w:rsidRDefault="00FD59D1" w:rsidP="00E570E2">
      <w:pPr>
        <w:spacing w:line="360" w:lineRule="auto"/>
      </w:pPr>
    </w:p>
    <w:p w14:paraId="584FD720" w14:textId="10ABBB25" w:rsidR="00680C88" w:rsidRPr="00053B8A" w:rsidRDefault="00680C88" w:rsidP="00680C88">
      <w:pPr>
        <w:pStyle w:val="NormalWeb"/>
        <w:spacing w:before="0" w:beforeAutospacing="0" w:after="0" w:afterAutospacing="0" w:line="360" w:lineRule="auto"/>
        <w:jc w:val="center"/>
        <w:rPr>
          <w:rFonts w:ascii="Arial" w:hAnsi="Arial" w:cs="Arial"/>
          <w:color w:val="1C1E29"/>
        </w:rPr>
      </w:pPr>
      <w:r>
        <w:t xml:space="preserve">   </w:t>
      </w:r>
      <w:r>
        <w:rPr>
          <w:rFonts w:ascii="Arial" w:hAnsi="Arial" w:cs="Arial"/>
          <w:color w:val="1C1E29"/>
        </w:rPr>
        <w:t>PART 2</w:t>
      </w:r>
    </w:p>
    <w:p w14:paraId="09FCC6C3" w14:textId="77777777" w:rsidR="00680C88" w:rsidRPr="00053B8A" w:rsidRDefault="00680C88" w:rsidP="00680C88">
      <w:pPr>
        <w:pStyle w:val="NormalWeb"/>
        <w:spacing w:before="0" w:beforeAutospacing="0" w:after="0" w:afterAutospacing="0" w:line="360" w:lineRule="auto"/>
        <w:jc w:val="center"/>
        <w:rPr>
          <w:rFonts w:ascii="Arial" w:hAnsi="Arial" w:cs="Arial"/>
          <w:color w:val="1C1E29"/>
        </w:rPr>
      </w:pPr>
    </w:p>
    <w:p w14:paraId="4161DC0A" w14:textId="6B328464" w:rsidR="00680C88" w:rsidRPr="00053B8A" w:rsidRDefault="00680C88" w:rsidP="00680C88">
      <w:pPr>
        <w:pStyle w:val="NormalWeb"/>
        <w:spacing w:before="0" w:beforeAutospacing="0" w:after="0" w:afterAutospacing="0" w:line="360" w:lineRule="auto"/>
        <w:jc w:val="center"/>
        <w:rPr>
          <w:rFonts w:ascii="Arial" w:hAnsi="Arial" w:cs="Arial"/>
          <w:color w:val="1C1E29"/>
        </w:rPr>
      </w:pPr>
      <w:r>
        <w:rPr>
          <w:rFonts w:ascii="Arial" w:hAnsi="Arial" w:cs="Arial"/>
          <w:color w:val="1C1E29"/>
        </w:rPr>
        <w:t>JAMES PLC</w:t>
      </w:r>
    </w:p>
    <w:p w14:paraId="6243441F" w14:textId="77777777" w:rsidR="00680C88" w:rsidRPr="00053B8A" w:rsidRDefault="00680C88" w:rsidP="00680C88">
      <w:pPr>
        <w:pStyle w:val="NormalWeb"/>
        <w:spacing w:before="0" w:beforeAutospacing="0" w:after="0" w:afterAutospacing="0" w:line="360" w:lineRule="auto"/>
        <w:jc w:val="center"/>
        <w:rPr>
          <w:rFonts w:ascii="Arial" w:hAnsi="Arial" w:cs="Arial"/>
          <w:color w:val="1C1E29"/>
        </w:rPr>
      </w:pPr>
    </w:p>
    <w:p w14:paraId="499946F5" w14:textId="77777777" w:rsidR="00680C88" w:rsidRPr="00053B8A" w:rsidRDefault="00680C88" w:rsidP="00680C88">
      <w:pPr>
        <w:pStyle w:val="NormalWeb"/>
        <w:spacing w:before="0" w:beforeAutospacing="0" w:after="0" w:afterAutospacing="0" w:line="360" w:lineRule="auto"/>
        <w:jc w:val="center"/>
        <w:rPr>
          <w:rFonts w:ascii="Arial" w:hAnsi="Arial" w:cs="Arial"/>
          <w:color w:val="1C1E29"/>
        </w:rPr>
      </w:pPr>
      <w:r w:rsidRPr="00053B8A">
        <w:rPr>
          <w:rFonts w:ascii="Arial" w:hAnsi="Arial" w:cs="Arial"/>
          <w:color w:val="1C1E29"/>
        </w:rPr>
        <w:t>STUDENT: 1706958</w:t>
      </w:r>
    </w:p>
    <w:p w14:paraId="1843FBD9" w14:textId="77777777" w:rsidR="00680C88" w:rsidRPr="00053B8A" w:rsidRDefault="00680C88" w:rsidP="00680C88">
      <w:pPr>
        <w:pStyle w:val="NormalWeb"/>
        <w:spacing w:before="0" w:beforeAutospacing="0" w:after="0" w:afterAutospacing="0" w:line="360" w:lineRule="auto"/>
        <w:jc w:val="center"/>
        <w:rPr>
          <w:rFonts w:ascii="Arial" w:hAnsi="Arial" w:cs="Arial"/>
          <w:color w:val="1C1E29"/>
        </w:rPr>
      </w:pPr>
    </w:p>
    <w:p w14:paraId="03217B51" w14:textId="77777777" w:rsidR="00680C88" w:rsidRPr="00053B8A" w:rsidRDefault="00680C88" w:rsidP="00680C88">
      <w:pPr>
        <w:pStyle w:val="NormalWeb"/>
        <w:spacing w:before="0" w:beforeAutospacing="0" w:after="0" w:afterAutospacing="0" w:line="360" w:lineRule="auto"/>
        <w:jc w:val="center"/>
        <w:rPr>
          <w:rFonts w:ascii="Arial" w:hAnsi="Arial" w:cs="Arial"/>
          <w:color w:val="1C1E29"/>
        </w:rPr>
      </w:pPr>
      <w:r w:rsidRPr="00053B8A">
        <w:rPr>
          <w:rFonts w:ascii="Arial" w:hAnsi="Arial" w:cs="Arial"/>
          <w:color w:val="1C1E29"/>
        </w:rPr>
        <w:t>SUBMISSION DATE: 13.09.19</w:t>
      </w:r>
    </w:p>
    <w:p w14:paraId="15CBF386" w14:textId="408C1008" w:rsidR="00680C88" w:rsidRDefault="00680C88" w:rsidP="00E570E2">
      <w:pPr>
        <w:spacing w:line="360" w:lineRule="auto"/>
        <w:rPr>
          <w:rFonts w:ascii="Arial" w:hAnsi="Arial" w:cs="Arial"/>
        </w:rPr>
      </w:pPr>
    </w:p>
    <w:p w14:paraId="3DAFC834" w14:textId="77777777" w:rsidR="00465D6B" w:rsidRDefault="00465D6B" w:rsidP="00E570E2">
      <w:pPr>
        <w:spacing w:line="360" w:lineRule="auto"/>
        <w:rPr>
          <w:rFonts w:ascii="Arial" w:hAnsi="Arial" w:cs="Arial"/>
        </w:rPr>
      </w:pPr>
    </w:p>
    <w:p w14:paraId="1BA049F6" w14:textId="77777777" w:rsidR="00465D6B" w:rsidRDefault="00465D6B" w:rsidP="00E570E2">
      <w:pPr>
        <w:spacing w:line="360" w:lineRule="auto"/>
        <w:rPr>
          <w:rFonts w:ascii="Arial" w:hAnsi="Arial" w:cs="Arial"/>
        </w:rPr>
      </w:pPr>
    </w:p>
    <w:p w14:paraId="6F421863" w14:textId="77777777" w:rsidR="00465D6B" w:rsidRDefault="00465D6B" w:rsidP="00E570E2">
      <w:pPr>
        <w:spacing w:line="360" w:lineRule="auto"/>
        <w:rPr>
          <w:rFonts w:ascii="Arial" w:hAnsi="Arial" w:cs="Arial"/>
        </w:rPr>
      </w:pPr>
    </w:p>
    <w:p w14:paraId="55AE8CBE" w14:textId="77777777" w:rsidR="00465D6B" w:rsidRDefault="00465D6B" w:rsidP="00E570E2">
      <w:pPr>
        <w:spacing w:line="360" w:lineRule="auto"/>
        <w:rPr>
          <w:rFonts w:ascii="Arial" w:hAnsi="Arial" w:cs="Arial"/>
        </w:rPr>
      </w:pPr>
    </w:p>
    <w:p w14:paraId="245A3BC1" w14:textId="77777777" w:rsidR="00465D6B" w:rsidRDefault="00465D6B" w:rsidP="00E570E2">
      <w:pPr>
        <w:spacing w:line="360" w:lineRule="auto"/>
        <w:rPr>
          <w:rFonts w:ascii="Arial" w:hAnsi="Arial" w:cs="Arial"/>
        </w:rPr>
      </w:pPr>
    </w:p>
    <w:p w14:paraId="34B30FB7" w14:textId="77777777" w:rsidR="00465D6B" w:rsidRDefault="00465D6B" w:rsidP="00E570E2">
      <w:pPr>
        <w:spacing w:line="360" w:lineRule="auto"/>
        <w:rPr>
          <w:rFonts w:ascii="Arial" w:hAnsi="Arial" w:cs="Arial"/>
        </w:rPr>
      </w:pPr>
    </w:p>
    <w:p w14:paraId="546EA696" w14:textId="77777777" w:rsidR="00465D6B" w:rsidRDefault="00465D6B" w:rsidP="00E570E2">
      <w:pPr>
        <w:spacing w:line="360" w:lineRule="auto"/>
        <w:rPr>
          <w:rFonts w:ascii="Arial" w:hAnsi="Arial" w:cs="Arial"/>
        </w:rPr>
      </w:pPr>
    </w:p>
    <w:p w14:paraId="41A64CC8" w14:textId="77777777" w:rsidR="00912E71" w:rsidRDefault="00912E71" w:rsidP="00465D6B">
      <w:pPr>
        <w:spacing w:line="360" w:lineRule="auto"/>
        <w:rPr>
          <w:rFonts w:ascii="Arial" w:hAnsi="Arial" w:cs="Arial"/>
        </w:rPr>
      </w:pPr>
    </w:p>
    <w:p w14:paraId="35383867" w14:textId="77777777" w:rsidR="00465D6B" w:rsidRPr="00465D6B" w:rsidRDefault="00465D6B" w:rsidP="00465D6B">
      <w:pPr>
        <w:spacing w:line="360" w:lineRule="auto"/>
        <w:rPr>
          <w:rFonts w:ascii="Arial" w:hAnsi="Arial" w:cs="Arial"/>
          <w:b/>
          <w:bCs/>
          <w:sz w:val="24"/>
          <w:szCs w:val="24"/>
        </w:rPr>
      </w:pPr>
      <w:r w:rsidRPr="00465D6B">
        <w:rPr>
          <w:rFonts w:ascii="Arial" w:hAnsi="Arial" w:cs="Arial"/>
          <w:b/>
          <w:bCs/>
          <w:sz w:val="24"/>
          <w:szCs w:val="24"/>
        </w:rPr>
        <w:lastRenderedPageBreak/>
        <w:t>Introduction</w:t>
      </w:r>
    </w:p>
    <w:p w14:paraId="48D89784" w14:textId="77C90FCD" w:rsidR="00465D6B" w:rsidRPr="00465D6B" w:rsidRDefault="00465D6B" w:rsidP="00465D6B">
      <w:pPr>
        <w:spacing w:line="360" w:lineRule="auto"/>
        <w:ind w:firstLine="720"/>
        <w:rPr>
          <w:rFonts w:ascii="Arial" w:hAnsi="Arial" w:cs="Arial"/>
          <w:sz w:val="24"/>
          <w:szCs w:val="24"/>
          <w:lang w:val="en-US"/>
        </w:rPr>
      </w:pPr>
      <w:r w:rsidRPr="00465D6B">
        <w:rPr>
          <w:rFonts w:ascii="Arial" w:hAnsi="Arial" w:cs="Arial"/>
          <w:sz w:val="24"/>
          <w:szCs w:val="24"/>
        </w:rPr>
        <w:t xml:space="preserve">For a firm to grow, become profitable and succeed in the current competitive business environment, it must invest in projects that sustain its growth, funds operations, and generate profits. Typically, investments are often in forms of projects or financial assets such as securities. However, before a firm makes an investment, they should evaluate each of the investment opportunity to make feasible decisions. </w:t>
      </w:r>
      <w:r w:rsidRPr="00465D6B">
        <w:rPr>
          <w:rFonts w:ascii="Arial" w:hAnsi="Arial" w:cs="Arial"/>
          <w:sz w:val="24"/>
          <w:szCs w:val="24"/>
          <w:lang w:val="en-US"/>
        </w:rPr>
        <w:t>Capital budgeting techniques have widely been used to evaluate investment opportunities</w:t>
      </w:r>
      <w:r>
        <w:rPr>
          <w:rFonts w:ascii="Arial" w:hAnsi="Arial" w:cs="Arial"/>
          <w:sz w:val="24"/>
          <w:szCs w:val="24"/>
          <w:lang w:val="en-US"/>
        </w:rPr>
        <w:t xml:space="preserve"> (Seitz &amp; Ellison, 2009)</w:t>
      </w:r>
      <w:r w:rsidRPr="00465D6B">
        <w:rPr>
          <w:rFonts w:ascii="Arial" w:hAnsi="Arial" w:cs="Arial"/>
          <w:sz w:val="24"/>
          <w:szCs w:val="24"/>
          <w:lang w:val="en-US"/>
        </w:rPr>
        <w:t xml:space="preserve">. This purpose for this report is to provide James PLC with calculations for evaluating long-term investment opportunities. The report also offers insight on better financing option between equity financing and debt financing by offering calculations, benefits, and drawbacks for each option. </w:t>
      </w:r>
    </w:p>
    <w:p w14:paraId="38398376" w14:textId="77701A83" w:rsidR="00465D6B" w:rsidRPr="00465D6B" w:rsidRDefault="00465D6B" w:rsidP="00465D6B">
      <w:pPr>
        <w:spacing w:line="360" w:lineRule="auto"/>
        <w:ind w:firstLine="720"/>
        <w:rPr>
          <w:rFonts w:ascii="Arial" w:hAnsi="Arial" w:cs="Arial"/>
          <w:sz w:val="24"/>
          <w:szCs w:val="24"/>
          <w:lang w:val="en-US"/>
        </w:rPr>
      </w:pPr>
      <w:r w:rsidRPr="00465D6B">
        <w:rPr>
          <w:rFonts w:ascii="Arial" w:hAnsi="Arial" w:cs="Arial"/>
          <w:sz w:val="24"/>
          <w:szCs w:val="24"/>
          <w:lang w:val="en-US"/>
        </w:rPr>
        <w:t xml:space="preserve">Capital budgeting can be defined as the technique or process in which a company computes the acceptability as well as the feasibility of long-term investment </w:t>
      </w:r>
      <w:r w:rsidRPr="00465D6B">
        <w:rPr>
          <w:rFonts w:ascii="Arial" w:hAnsi="Arial" w:cs="Arial"/>
          <w:sz w:val="24"/>
          <w:szCs w:val="24"/>
          <w:lang w:val="en-US"/>
        </w:rPr>
        <w:fldChar w:fldCharType="begin"/>
      </w:r>
      <w:r w:rsidRPr="00465D6B">
        <w:rPr>
          <w:rFonts w:ascii="Arial" w:hAnsi="Arial" w:cs="Arial"/>
          <w:sz w:val="24"/>
          <w:szCs w:val="24"/>
          <w:lang w:val="en-US"/>
        </w:rPr>
        <w:instrText xml:space="preserve"> ADDIN ZOTERO_ITEM CSL_CITATION {"citationID":"qOeAO97v","properties":{"formattedCitation":"(Pike &amp; Wolfe, 1988)","plainCitation":"(Pike &amp; Wolfe, 1988)","noteIndex":0},"citationItems":[{"id":730,"uris":["http://zotero.org/users/local/SIKpUXFh/items/AUW3VQP7"],"uri":["http://zotero.org/users/local/SIKpUXFh/items/AUW3VQP7"],"itemData":{"id":730,"type":"book","title":"Capital budgeting for the 1990's: a review of capital investment trends in larger companies","publisher":"Chartered Institute of Management Accountants","author":[{"family":"Pike","given":"Richard H."},{"family":"Wolfe","given":"Mitchell B."}],"issued":{"date-parts":[["1988"]]}}}],"schema":"https://github.com/citation-style-language/schema/raw/master/csl-citation.json"} </w:instrText>
      </w:r>
      <w:r w:rsidRPr="00465D6B">
        <w:rPr>
          <w:rFonts w:ascii="Arial" w:hAnsi="Arial" w:cs="Arial"/>
          <w:sz w:val="24"/>
          <w:szCs w:val="24"/>
          <w:lang w:val="en-US"/>
        </w:rPr>
        <w:fldChar w:fldCharType="separate"/>
      </w:r>
      <w:r w:rsidRPr="00465D6B">
        <w:rPr>
          <w:rFonts w:ascii="Arial" w:hAnsi="Arial" w:cs="Arial"/>
          <w:sz w:val="24"/>
          <w:szCs w:val="24"/>
          <w:lang w:val="en-US"/>
        </w:rPr>
        <w:t>(Pike &amp; Wolfe, 2008)</w:t>
      </w:r>
      <w:r w:rsidRPr="00465D6B">
        <w:rPr>
          <w:rFonts w:ascii="Arial" w:hAnsi="Arial" w:cs="Arial"/>
          <w:sz w:val="24"/>
          <w:szCs w:val="24"/>
        </w:rPr>
        <w:fldChar w:fldCharType="end"/>
      </w:r>
      <w:r w:rsidRPr="00465D6B">
        <w:rPr>
          <w:rFonts w:ascii="Arial" w:hAnsi="Arial" w:cs="Arial"/>
          <w:sz w:val="24"/>
          <w:szCs w:val="24"/>
          <w:lang w:val="en-US"/>
        </w:rPr>
        <w:t>. For James PLC, the management can use capital budgeting methods to evaluate which project is economically good to invest on and reject, which does not generate positive revenues. Using these formal ways of evaluating an investment, the company can make the right decisions that ensure they benefit from the project. Besides, these projects require huge funds and time. For the company to commit such funds, it needs to be sure of the returns</w:t>
      </w:r>
      <w:r w:rsidRPr="00465D6B">
        <w:rPr>
          <w:rFonts w:ascii="Arial" w:hAnsi="Arial" w:cs="Arial"/>
          <w:sz w:val="24"/>
          <w:szCs w:val="24"/>
          <w:lang w:val="en-US"/>
        </w:rPr>
        <w:fldChar w:fldCharType="begin"/>
      </w:r>
      <w:r w:rsidRPr="00465D6B">
        <w:rPr>
          <w:rFonts w:ascii="Arial" w:hAnsi="Arial" w:cs="Arial"/>
          <w:sz w:val="24"/>
          <w:szCs w:val="24"/>
          <w:lang w:val="en-US"/>
        </w:rPr>
        <w:instrText xml:space="preserve"> ADDIN ZOTERO_ITEM CSL_CITATION {"citationID":"EohR6GnZ","properties":{"formattedCitation":"(Haka, Gordon, &amp; Pinches, 1985)","plainCitation":"(Haka, Gordon, &amp; Pinches, 1985)","noteIndex":0},"citationItems":[{"id":733,"uris":["http://zotero.org/users/local/SIKpUXFh/items/SQMJ8HD3"],"uri":["http://zotero.org/users/local/SIKpUXFh/items/SQMJ8HD3"],"itemData":{"id":733,"type":"chapter","title":"Sophisticated capital budgeting selection techniques and firm performance","container-title":"Readings in Accounting for Management Control","publisher":"Springer","page":"521-545","author":[{"family":"Haka","given":"Susan F."},{"family":"Gordon","given":"Lawrence A."},{"family":"Pinches","given":"George E."}],"issued":{"date-parts":[["1985"]]}}}],"schema":"https://github.com/citation-style-language/schema/raw/master/csl-citation.json"} </w:instrText>
      </w:r>
      <w:r w:rsidRPr="00465D6B">
        <w:rPr>
          <w:rFonts w:ascii="Arial" w:hAnsi="Arial" w:cs="Arial"/>
          <w:sz w:val="24"/>
          <w:szCs w:val="24"/>
          <w:lang w:val="en-US"/>
        </w:rPr>
        <w:fldChar w:fldCharType="separate"/>
      </w:r>
      <w:r w:rsidRPr="00465D6B">
        <w:rPr>
          <w:rFonts w:ascii="Arial" w:hAnsi="Arial" w:cs="Arial"/>
          <w:sz w:val="24"/>
          <w:szCs w:val="24"/>
          <w:lang w:val="en-US"/>
        </w:rPr>
        <w:t>(Haka, Gordon, &amp; Pinches, 2005)</w:t>
      </w:r>
      <w:r w:rsidRPr="00465D6B">
        <w:rPr>
          <w:rFonts w:ascii="Arial" w:hAnsi="Arial" w:cs="Arial"/>
          <w:sz w:val="24"/>
          <w:szCs w:val="24"/>
        </w:rPr>
        <w:fldChar w:fldCharType="end"/>
      </w:r>
      <w:r w:rsidRPr="00465D6B">
        <w:rPr>
          <w:rFonts w:ascii="Arial" w:hAnsi="Arial" w:cs="Arial"/>
          <w:sz w:val="24"/>
          <w:szCs w:val="24"/>
          <w:lang w:val="en-US"/>
        </w:rPr>
        <w:t xml:space="preserve">. Some of capital budgeting techniques to be discussed in this report in connection with company investment include Net Present Value (NPV) and Interest Rate of Return (IRR) </w:t>
      </w:r>
      <w:r w:rsidRPr="00465D6B">
        <w:rPr>
          <w:rFonts w:ascii="Arial" w:hAnsi="Arial" w:cs="Arial"/>
          <w:sz w:val="24"/>
          <w:szCs w:val="24"/>
          <w:lang w:val="en-US"/>
        </w:rPr>
        <w:fldChar w:fldCharType="begin"/>
      </w:r>
      <w:r w:rsidRPr="00465D6B">
        <w:rPr>
          <w:rFonts w:ascii="Arial" w:hAnsi="Arial" w:cs="Arial"/>
          <w:sz w:val="24"/>
          <w:szCs w:val="24"/>
          <w:lang w:val="en-US"/>
        </w:rPr>
        <w:instrText xml:space="preserve"> ADDIN ZOTERO_ITEM CSL_CITATION {"citationID":"Ey8bQv0E","properties":{"formattedCitation":"(Shinoda, 2010)","plainCitation":"(Shinoda, 2010)","noteIndex":0},"citationItems":[{"id":729,"uris":["http://zotero.org/users/local/SIKpUXFh/items/Y5BH4KLZ"],"uri":["http://zotero.org/users/local/SIKpUXFh/items/Y5BH4KLZ"],"itemData":{"id":729,"type":"article-journal","title":"Capital budgeting management practices in Japan: a focus on the use of capital budgeting methods","container-title":"Economic Journal of Hokkaido University","page":"39-50","volume":"39","author":[{"family":"Shinoda","given":"Tomonari"}],"issued":{"date-parts":[["2010"]]}}}],"schema":"https://github.com/citation-style-language/schema/raw/master/csl-citation.json"} </w:instrText>
      </w:r>
      <w:r w:rsidRPr="00465D6B">
        <w:rPr>
          <w:rFonts w:ascii="Arial" w:hAnsi="Arial" w:cs="Arial"/>
          <w:sz w:val="24"/>
          <w:szCs w:val="24"/>
          <w:lang w:val="en-US"/>
        </w:rPr>
        <w:fldChar w:fldCharType="separate"/>
      </w:r>
      <w:r w:rsidRPr="00465D6B">
        <w:rPr>
          <w:rFonts w:ascii="Arial" w:hAnsi="Arial" w:cs="Arial"/>
          <w:sz w:val="24"/>
          <w:szCs w:val="24"/>
          <w:lang w:val="en-US"/>
        </w:rPr>
        <w:t>(Shinoda, 2010)</w:t>
      </w:r>
      <w:r w:rsidRPr="00465D6B">
        <w:rPr>
          <w:rFonts w:ascii="Arial" w:hAnsi="Arial" w:cs="Arial"/>
          <w:sz w:val="24"/>
          <w:szCs w:val="24"/>
        </w:rPr>
        <w:fldChar w:fldCharType="end"/>
      </w:r>
      <w:r w:rsidRPr="00465D6B">
        <w:rPr>
          <w:rFonts w:ascii="Arial" w:hAnsi="Arial" w:cs="Arial"/>
          <w:sz w:val="24"/>
          <w:szCs w:val="24"/>
          <w:lang w:val="en-US"/>
        </w:rPr>
        <w:t>. These project appraisal methods that tells the management which project to undertake and which to reject based on which generate positive cash flows and NPV and IRR that is higher than cost of capital.</w:t>
      </w:r>
    </w:p>
    <w:p w14:paraId="11751DE9" w14:textId="75D35F6A" w:rsidR="00465D6B" w:rsidRPr="00465D6B" w:rsidRDefault="00465D6B" w:rsidP="00465D6B">
      <w:pPr>
        <w:spacing w:line="360" w:lineRule="auto"/>
        <w:rPr>
          <w:rFonts w:ascii="Arial" w:hAnsi="Arial" w:cs="Arial"/>
          <w:b/>
          <w:bCs/>
          <w:i/>
          <w:iCs/>
          <w:sz w:val="24"/>
          <w:szCs w:val="24"/>
          <w:lang w:val="en-US"/>
        </w:rPr>
      </w:pPr>
      <w:r>
        <w:rPr>
          <w:rFonts w:ascii="Arial" w:hAnsi="Arial" w:cs="Arial"/>
          <w:b/>
          <w:bCs/>
          <w:i/>
          <w:iCs/>
          <w:sz w:val="24"/>
          <w:szCs w:val="24"/>
          <w:lang w:val="en-US"/>
        </w:rPr>
        <w:t>Summaris</w:t>
      </w:r>
      <w:r w:rsidRPr="00465D6B">
        <w:rPr>
          <w:rFonts w:ascii="Arial" w:hAnsi="Arial" w:cs="Arial"/>
          <w:b/>
          <w:bCs/>
          <w:i/>
          <w:iCs/>
          <w:sz w:val="24"/>
          <w:szCs w:val="24"/>
          <w:lang w:val="en-US"/>
        </w:rPr>
        <w:t>ed information of the projects</w:t>
      </w:r>
    </w:p>
    <w:p w14:paraId="55093787" w14:textId="50E56EF3" w:rsidR="00465D6B" w:rsidRPr="00465D6B" w:rsidRDefault="00465D6B" w:rsidP="00465D6B">
      <w:pPr>
        <w:spacing w:line="360" w:lineRule="auto"/>
        <w:rPr>
          <w:rFonts w:ascii="Arial" w:hAnsi="Arial" w:cs="Arial"/>
          <w:sz w:val="24"/>
          <w:szCs w:val="24"/>
          <w:lang w:val="en-US"/>
        </w:rPr>
      </w:pPr>
      <w:r w:rsidRPr="00465D6B">
        <w:rPr>
          <w:rFonts w:ascii="Arial" w:hAnsi="Arial" w:cs="Arial"/>
          <w:sz w:val="24"/>
          <w:szCs w:val="24"/>
        </w:rPr>
        <w:t>James Plc produces a variety of high-quality garden furniture and associated items</w:t>
      </w:r>
      <w:r>
        <w:rPr>
          <w:rFonts w:ascii="Arial" w:hAnsi="Arial" w:cs="Arial"/>
          <w:sz w:val="24"/>
          <w:szCs w:val="24"/>
        </w:rPr>
        <w:t xml:space="preserve"> and</w:t>
      </w:r>
      <w:r w:rsidRPr="00465D6B">
        <w:rPr>
          <w:rFonts w:ascii="Arial" w:hAnsi="Arial" w:cs="Arial"/>
          <w:sz w:val="24"/>
          <w:szCs w:val="24"/>
        </w:rPr>
        <w:t xml:space="preserve"> </w:t>
      </w:r>
      <w:r>
        <w:rPr>
          <w:rFonts w:ascii="Arial" w:hAnsi="Arial" w:cs="Arial"/>
          <w:sz w:val="24"/>
          <w:szCs w:val="24"/>
        </w:rPr>
        <w:t xml:space="preserve">is </w:t>
      </w:r>
      <w:r w:rsidRPr="00465D6B">
        <w:rPr>
          <w:rFonts w:ascii="Arial" w:hAnsi="Arial" w:cs="Arial"/>
          <w:sz w:val="24"/>
          <w:szCs w:val="24"/>
        </w:rPr>
        <w:t>considering whether to invest in the potential to expand the business. The directors have identified three ma</w:t>
      </w:r>
      <w:r>
        <w:rPr>
          <w:rFonts w:ascii="Arial" w:hAnsi="Arial" w:cs="Arial"/>
          <w:sz w:val="24"/>
          <w:szCs w:val="24"/>
        </w:rPr>
        <w:t>in options for a four-year plan:</w:t>
      </w:r>
      <w:r w:rsidRPr="00465D6B">
        <w:rPr>
          <w:rFonts w:ascii="Arial" w:hAnsi="Arial" w:cs="Arial"/>
          <w:sz w:val="24"/>
          <w:szCs w:val="24"/>
        </w:rPr>
        <w:br/>
      </w:r>
      <w:r w:rsidRPr="00465D6B">
        <w:rPr>
          <w:rFonts w:ascii="Arial" w:hAnsi="Arial" w:cs="Arial"/>
          <w:sz w:val="24"/>
          <w:szCs w:val="24"/>
        </w:rPr>
        <w:br/>
        <w:t>A. Expand its flourishing retail outlet to include all products.</w:t>
      </w:r>
      <w:r w:rsidRPr="00465D6B">
        <w:rPr>
          <w:rFonts w:ascii="Arial" w:hAnsi="Arial" w:cs="Arial"/>
          <w:sz w:val="24"/>
          <w:szCs w:val="24"/>
        </w:rPr>
        <w:br/>
        <w:t>B. Develop into internet sales.</w:t>
      </w:r>
      <w:r w:rsidRPr="00465D6B">
        <w:rPr>
          <w:rFonts w:ascii="Arial" w:hAnsi="Arial" w:cs="Arial"/>
          <w:sz w:val="24"/>
          <w:szCs w:val="24"/>
        </w:rPr>
        <w:br/>
        <w:t>C. Produce greenhouses and conservatories.</w:t>
      </w:r>
      <w:r w:rsidRPr="00465D6B">
        <w:rPr>
          <w:rFonts w:ascii="Arial" w:hAnsi="Arial" w:cs="Arial"/>
          <w:sz w:val="24"/>
          <w:szCs w:val="24"/>
        </w:rPr>
        <w:br/>
      </w:r>
      <w:r w:rsidRPr="00465D6B">
        <w:rPr>
          <w:rFonts w:ascii="Arial" w:hAnsi="Arial" w:cs="Arial"/>
          <w:sz w:val="24"/>
          <w:szCs w:val="24"/>
        </w:rPr>
        <w:lastRenderedPageBreak/>
        <w:t>These options would require initial expenditure of (A) £750,000, (B) £1,200,000, or (C) £2,000,000. The most recent estimates on year-end cash flows are as follows</w:t>
      </w:r>
      <w:r w:rsidRPr="00465D6B">
        <w:rPr>
          <w:rFonts w:ascii="Arial" w:hAnsi="Arial" w:cs="Arial"/>
          <w:sz w:val="24"/>
          <w:szCs w:val="24"/>
        </w:rPr>
        <w:br/>
        <w:t>Year 1 Year 2 Year 3 Year 4</w:t>
      </w:r>
      <w:r w:rsidRPr="00465D6B">
        <w:rPr>
          <w:rFonts w:ascii="Arial" w:hAnsi="Arial" w:cs="Arial"/>
          <w:sz w:val="24"/>
          <w:szCs w:val="24"/>
        </w:rPr>
        <w:br/>
        <w:t>£’000 £’000 £’000 £’000</w:t>
      </w:r>
      <w:r w:rsidRPr="00465D6B">
        <w:rPr>
          <w:rFonts w:ascii="Arial" w:hAnsi="Arial" w:cs="Arial"/>
          <w:sz w:val="24"/>
          <w:szCs w:val="24"/>
        </w:rPr>
        <w:br/>
        <w:t>(A) 400 500 500 500</w:t>
      </w:r>
      <w:r w:rsidRPr="00465D6B">
        <w:rPr>
          <w:rFonts w:ascii="Arial" w:hAnsi="Arial" w:cs="Arial"/>
          <w:sz w:val="24"/>
          <w:szCs w:val="24"/>
        </w:rPr>
        <w:br/>
        <w:t>(B) 500 600 800 1,000</w:t>
      </w:r>
      <w:r w:rsidRPr="00465D6B">
        <w:rPr>
          <w:rFonts w:ascii="Arial" w:hAnsi="Arial" w:cs="Arial"/>
          <w:sz w:val="24"/>
          <w:szCs w:val="24"/>
        </w:rPr>
        <w:br/>
        <w:t>(C) 500 1,000 1,500 1,500</w:t>
      </w:r>
    </w:p>
    <w:p w14:paraId="5DA4259C" w14:textId="77777777" w:rsidR="00465D6B" w:rsidRPr="00465D6B" w:rsidRDefault="00465D6B" w:rsidP="00465D6B">
      <w:pPr>
        <w:spacing w:line="360" w:lineRule="auto"/>
        <w:jc w:val="center"/>
        <w:rPr>
          <w:rFonts w:ascii="Arial" w:hAnsi="Arial" w:cs="Arial"/>
          <w:b/>
          <w:bCs/>
          <w:sz w:val="24"/>
          <w:szCs w:val="24"/>
          <w:lang w:val="en-US"/>
        </w:rPr>
      </w:pPr>
      <w:r w:rsidRPr="00465D6B">
        <w:rPr>
          <w:rFonts w:ascii="Arial" w:hAnsi="Arial" w:cs="Arial"/>
          <w:b/>
          <w:bCs/>
          <w:sz w:val="24"/>
          <w:szCs w:val="24"/>
          <w:lang w:val="en-US"/>
        </w:rPr>
        <w:t>Net Present Value (NPV)</w:t>
      </w:r>
    </w:p>
    <w:p w14:paraId="7D43BD44" w14:textId="77777777" w:rsidR="00465D6B" w:rsidRPr="00465D6B" w:rsidRDefault="00465D6B" w:rsidP="00465D6B">
      <w:pPr>
        <w:spacing w:line="360" w:lineRule="auto"/>
        <w:rPr>
          <w:rFonts w:ascii="Arial" w:hAnsi="Arial" w:cs="Arial"/>
          <w:sz w:val="24"/>
          <w:szCs w:val="24"/>
          <w:lang w:val="en-US"/>
        </w:rPr>
      </w:pPr>
      <w:r w:rsidRPr="00465D6B">
        <w:rPr>
          <w:rFonts w:ascii="Arial" w:hAnsi="Arial" w:cs="Arial"/>
          <w:sz w:val="24"/>
          <w:szCs w:val="24"/>
          <w:lang w:val="en-US"/>
        </w:rPr>
        <w:t xml:space="preserve">This is the most popular and widely capital budgeting technique used in evaluating the profitability of a project. Business entities use NPV to evaluate whether they should pursue or reject a project based on cash flows generated. </w:t>
      </w:r>
    </w:p>
    <w:p w14:paraId="2AC0D39D" w14:textId="77777777" w:rsidR="00465D6B" w:rsidRPr="00465D6B" w:rsidRDefault="00465D6B" w:rsidP="00465D6B">
      <w:pPr>
        <w:spacing w:line="360" w:lineRule="auto"/>
        <w:rPr>
          <w:rFonts w:ascii="Arial" w:hAnsi="Arial" w:cs="Arial"/>
          <w:b/>
          <w:bCs/>
          <w:i/>
          <w:iCs/>
          <w:sz w:val="24"/>
          <w:szCs w:val="24"/>
          <w:u w:val="single"/>
          <w:lang w:val="en-US"/>
        </w:rPr>
      </w:pPr>
      <w:r w:rsidRPr="00465D6B">
        <w:rPr>
          <w:rFonts w:ascii="Arial" w:hAnsi="Arial" w:cs="Arial"/>
          <w:b/>
          <w:bCs/>
          <w:i/>
          <w:iCs/>
          <w:sz w:val="24"/>
          <w:szCs w:val="24"/>
          <w:u w:val="single"/>
          <w:lang w:val="en-US"/>
        </w:rPr>
        <w:t xml:space="preserve">Calculations </w:t>
      </w:r>
    </w:p>
    <w:p w14:paraId="4282F5E4" w14:textId="77777777" w:rsidR="00465D6B" w:rsidRPr="00465D6B" w:rsidRDefault="00465D6B" w:rsidP="00465D6B">
      <w:pPr>
        <w:spacing w:line="360" w:lineRule="auto"/>
        <w:rPr>
          <w:rFonts w:ascii="Arial" w:hAnsi="Arial" w:cs="Arial"/>
          <w:b/>
          <w:bCs/>
          <w:i/>
          <w:iCs/>
          <w:sz w:val="24"/>
          <w:szCs w:val="24"/>
          <w:u w:val="single"/>
          <w:lang w:val="en-US"/>
        </w:rPr>
      </w:pPr>
      <w:r w:rsidRPr="00465D6B">
        <w:rPr>
          <w:rFonts w:ascii="Arial" w:hAnsi="Arial" w:cs="Arial"/>
          <w:b/>
          <w:bCs/>
          <w:i/>
          <w:iCs/>
          <w:sz w:val="24"/>
          <w:szCs w:val="24"/>
          <w:u w:val="single"/>
          <w:lang w:val="en-US"/>
        </w:rPr>
        <w:t xml:space="preserve">Project A - </w:t>
      </w:r>
      <w:r w:rsidRPr="00465D6B">
        <w:rPr>
          <w:rFonts w:ascii="Arial" w:hAnsi="Arial" w:cs="Arial"/>
          <w:b/>
          <w:bCs/>
          <w:i/>
          <w:iCs/>
          <w:sz w:val="24"/>
          <w:szCs w:val="24"/>
          <w:u w:val="single"/>
        </w:rPr>
        <w:t>Expand its flourishing retail outlet to include all products</w:t>
      </w:r>
    </w:p>
    <w:p w14:paraId="35200D16"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lang w:val="en-US"/>
        </w:rPr>
        <w:t xml:space="preserve">This project has an initial expenditure of </w:t>
      </w:r>
      <w:r w:rsidRPr="00465D6B">
        <w:rPr>
          <w:rFonts w:ascii="Arial" w:hAnsi="Arial" w:cs="Arial"/>
          <w:sz w:val="24"/>
          <w:szCs w:val="24"/>
        </w:rPr>
        <w:t xml:space="preserve">£750,000 and cash flows of 400,000, 500,000, 500,000, and 500,000 in a four-year plan and 8% cost of capital. </w:t>
      </w:r>
    </w:p>
    <w:tbl>
      <w:tblPr>
        <w:tblStyle w:val="TableGrid"/>
        <w:tblW w:w="0" w:type="auto"/>
        <w:tblLook w:val="04A0" w:firstRow="1" w:lastRow="0" w:firstColumn="1" w:lastColumn="0" w:noHBand="0" w:noVBand="1"/>
      </w:tblPr>
      <w:tblGrid>
        <w:gridCol w:w="1468"/>
        <w:gridCol w:w="2366"/>
        <w:gridCol w:w="1790"/>
        <w:gridCol w:w="3013"/>
      </w:tblGrid>
      <w:tr w:rsidR="00465D6B" w:rsidRPr="00465D6B" w14:paraId="54F0A80D" w14:textId="77777777" w:rsidTr="00465D6B">
        <w:trPr>
          <w:trHeight w:val="354"/>
        </w:trPr>
        <w:tc>
          <w:tcPr>
            <w:tcW w:w="1468" w:type="dxa"/>
            <w:noWrap/>
            <w:hideMark/>
          </w:tcPr>
          <w:p w14:paraId="29A2D5FE"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Year</w:t>
            </w:r>
          </w:p>
        </w:tc>
        <w:tc>
          <w:tcPr>
            <w:tcW w:w="2366" w:type="dxa"/>
            <w:noWrap/>
            <w:hideMark/>
          </w:tcPr>
          <w:p w14:paraId="66F8324F"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Cash flow</w:t>
            </w:r>
          </w:p>
        </w:tc>
        <w:tc>
          <w:tcPr>
            <w:tcW w:w="1790" w:type="dxa"/>
            <w:noWrap/>
            <w:hideMark/>
          </w:tcPr>
          <w:p w14:paraId="5AAEF403"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PVIF</w:t>
            </w:r>
          </w:p>
        </w:tc>
        <w:tc>
          <w:tcPr>
            <w:tcW w:w="3013" w:type="dxa"/>
            <w:noWrap/>
            <w:hideMark/>
          </w:tcPr>
          <w:p w14:paraId="04D405D6"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Present Value</w:t>
            </w:r>
          </w:p>
        </w:tc>
      </w:tr>
      <w:tr w:rsidR="00465D6B" w:rsidRPr="00465D6B" w14:paraId="4F8A5AA8" w14:textId="77777777" w:rsidTr="00465D6B">
        <w:trPr>
          <w:trHeight w:val="354"/>
        </w:trPr>
        <w:tc>
          <w:tcPr>
            <w:tcW w:w="1468" w:type="dxa"/>
            <w:noWrap/>
            <w:hideMark/>
          </w:tcPr>
          <w:p w14:paraId="2F6BD53D"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0</w:t>
            </w:r>
          </w:p>
        </w:tc>
        <w:tc>
          <w:tcPr>
            <w:tcW w:w="2366" w:type="dxa"/>
            <w:noWrap/>
            <w:hideMark/>
          </w:tcPr>
          <w:p w14:paraId="56E048D2"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-750,000</w:t>
            </w:r>
          </w:p>
        </w:tc>
        <w:tc>
          <w:tcPr>
            <w:tcW w:w="1790" w:type="dxa"/>
            <w:noWrap/>
            <w:hideMark/>
          </w:tcPr>
          <w:p w14:paraId="75567AF3"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w:t>
            </w:r>
          </w:p>
        </w:tc>
        <w:tc>
          <w:tcPr>
            <w:tcW w:w="3013" w:type="dxa"/>
            <w:noWrap/>
            <w:hideMark/>
          </w:tcPr>
          <w:p w14:paraId="11B7B43E"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-750,000</w:t>
            </w:r>
          </w:p>
        </w:tc>
      </w:tr>
      <w:tr w:rsidR="00465D6B" w:rsidRPr="00465D6B" w14:paraId="054B122E" w14:textId="77777777" w:rsidTr="00465D6B">
        <w:trPr>
          <w:trHeight w:val="354"/>
        </w:trPr>
        <w:tc>
          <w:tcPr>
            <w:tcW w:w="1468" w:type="dxa"/>
            <w:noWrap/>
            <w:hideMark/>
          </w:tcPr>
          <w:p w14:paraId="09C4B859"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w:t>
            </w:r>
          </w:p>
        </w:tc>
        <w:tc>
          <w:tcPr>
            <w:tcW w:w="2366" w:type="dxa"/>
            <w:noWrap/>
            <w:hideMark/>
          </w:tcPr>
          <w:p w14:paraId="5AE0F596"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400,000</w:t>
            </w:r>
          </w:p>
        </w:tc>
        <w:tc>
          <w:tcPr>
            <w:tcW w:w="1790" w:type="dxa"/>
            <w:noWrap/>
            <w:hideMark/>
          </w:tcPr>
          <w:p w14:paraId="033A71BC"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0.9259</w:t>
            </w:r>
          </w:p>
        </w:tc>
        <w:tc>
          <w:tcPr>
            <w:tcW w:w="3013" w:type="dxa"/>
            <w:noWrap/>
            <w:hideMark/>
          </w:tcPr>
          <w:p w14:paraId="7429DE89"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370,360</w:t>
            </w:r>
          </w:p>
        </w:tc>
      </w:tr>
      <w:tr w:rsidR="00465D6B" w:rsidRPr="00465D6B" w14:paraId="7204D925" w14:textId="77777777" w:rsidTr="00465D6B">
        <w:trPr>
          <w:trHeight w:val="354"/>
        </w:trPr>
        <w:tc>
          <w:tcPr>
            <w:tcW w:w="1468" w:type="dxa"/>
            <w:noWrap/>
            <w:hideMark/>
          </w:tcPr>
          <w:p w14:paraId="2C05220A"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2</w:t>
            </w:r>
          </w:p>
        </w:tc>
        <w:tc>
          <w:tcPr>
            <w:tcW w:w="2366" w:type="dxa"/>
            <w:noWrap/>
            <w:hideMark/>
          </w:tcPr>
          <w:p w14:paraId="5BF79D5E"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500,000</w:t>
            </w:r>
          </w:p>
        </w:tc>
        <w:tc>
          <w:tcPr>
            <w:tcW w:w="1790" w:type="dxa"/>
            <w:noWrap/>
            <w:hideMark/>
          </w:tcPr>
          <w:p w14:paraId="455D00C8"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0.8573</w:t>
            </w:r>
          </w:p>
        </w:tc>
        <w:tc>
          <w:tcPr>
            <w:tcW w:w="3013" w:type="dxa"/>
            <w:noWrap/>
            <w:hideMark/>
          </w:tcPr>
          <w:p w14:paraId="1BF3C622"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428,650</w:t>
            </w:r>
          </w:p>
        </w:tc>
      </w:tr>
      <w:tr w:rsidR="00465D6B" w:rsidRPr="00465D6B" w14:paraId="3D44ED2A" w14:textId="77777777" w:rsidTr="00465D6B">
        <w:trPr>
          <w:trHeight w:val="354"/>
        </w:trPr>
        <w:tc>
          <w:tcPr>
            <w:tcW w:w="1468" w:type="dxa"/>
            <w:noWrap/>
            <w:hideMark/>
          </w:tcPr>
          <w:p w14:paraId="3F0B55A1"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3</w:t>
            </w:r>
          </w:p>
        </w:tc>
        <w:tc>
          <w:tcPr>
            <w:tcW w:w="2366" w:type="dxa"/>
            <w:noWrap/>
            <w:hideMark/>
          </w:tcPr>
          <w:p w14:paraId="30E0DEA0"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500,000</w:t>
            </w:r>
          </w:p>
        </w:tc>
        <w:tc>
          <w:tcPr>
            <w:tcW w:w="1790" w:type="dxa"/>
            <w:noWrap/>
            <w:hideMark/>
          </w:tcPr>
          <w:p w14:paraId="3DC9717F"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0.7938</w:t>
            </w:r>
          </w:p>
        </w:tc>
        <w:tc>
          <w:tcPr>
            <w:tcW w:w="3013" w:type="dxa"/>
            <w:noWrap/>
            <w:hideMark/>
          </w:tcPr>
          <w:p w14:paraId="7413F903"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396,960</w:t>
            </w:r>
          </w:p>
        </w:tc>
      </w:tr>
      <w:tr w:rsidR="00465D6B" w:rsidRPr="00465D6B" w14:paraId="00AF135C" w14:textId="77777777" w:rsidTr="00465D6B">
        <w:trPr>
          <w:trHeight w:val="354"/>
        </w:trPr>
        <w:tc>
          <w:tcPr>
            <w:tcW w:w="1468" w:type="dxa"/>
            <w:noWrap/>
            <w:hideMark/>
          </w:tcPr>
          <w:p w14:paraId="184B2E84"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4</w:t>
            </w:r>
          </w:p>
        </w:tc>
        <w:tc>
          <w:tcPr>
            <w:tcW w:w="2366" w:type="dxa"/>
            <w:noWrap/>
            <w:hideMark/>
          </w:tcPr>
          <w:p w14:paraId="174431A8"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500,000</w:t>
            </w:r>
          </w:p>
        </w:tc>
        <w:tc>
          <w:tcPr>
            <w:tcW w:w="1790" w:type="dxa"/>
            <w:noWrap/>
            <w:hideMark/>
          </w:tcPr>
          <w:p w14:paraId="2E31BA3F"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0.7350</w:t>
            </w:r>
          </w:p>
        </w:tc>
        <w:tc>
          <w:tcPr>
            <w:tcW w:w="3013" w:type="dxa"/>
            <w:noWrap/>
            <w:hideMark/>
          </w:tcPr>
          <w:p w14:paraId="44C2CFEA"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367,500</w:t>
            </w:r>
          </w:p>
        </w:tc>
      </w:tr>
      <w:tr w:rsidR="00465D6B" w:rsidRPr="00465D6B" w14:paraId="4C0CA545" w14:textId="77777777" w:rsidTr="00465D6B">
        <w:trPr>
          <w:trHeight w:val="354"/>
        </w:trPr>
        <w:tc>
          <w:tcPr>
            <w:tcW w:w="1468" w:type="dxa"/>
            <w:shd w:val="clear" w:color="auto" w:fill="FFFF00"/>
            <w:noWrap/>
            <w:hideMark/>
          </w:tcPr>
          <w:p w14:paraId="5786719C"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NPV</w:t>
            </w:r>
          </w:p>
        </w:tc>
        <w:tc>
          <w:tcPr>
            <w:tcW w:w="2366" w:type="dxa"/>
            <w:shd w:val="clear" w:color="auto" w:fill="FFFF00"/>
            <w:noWrap/>
            <w:hideMark/>
          </w:tcPr>
          <w:p w14:paraId="5BC1488F" w14:textId="77777777" w:rsidR="00465D6B" w:rsidRPr="00465D6B" w:rsidRDefault="00465D6B" w:rsidP="00465D6B">
            <w:pPr>
              <w:spacing w:line="360" w:lineRule="auto"/>
              <w:rPr>
                <w:rFonts w:ascii="Arial" w:hAnsi="Arial" w:cs="Arial"/>
                <w:sz w:val="24"/>
                <w:szCs w:val="24"/>
              </w:rPr>
            </w:pPr>
          </w:p>
        </w:tc>
        <w:tc>
          <w:tcPr>
            <w:tcW w:w="1790" w:type="dxa"/>
            <w:shd w:val="clear" w:color="auto" w:fill="FFFF00"/>
            <w:noWrap/>
            <w:hideMark/>
          </w:tcPr>
          <w:p w14:paraId="210987EB" w14:textId="77777777" w:rsidR="00465D6B" w:rsidRPr="00465D6B" w:rsidRDefault="00465D6B" w:rsidP="00465D6B">
            <w:pPr>
              <w:spacing w:line="360" w:lineRule="auto"/>
              <w:rPr>
                <w:rFonts w:ascii="Arial" w:hAnsi="Arial" w:cs="Arial"/>
                <w:sz w:val="24"/>
                <w:szCs w:val="24"/>
              </w:rPr>
            </w:pPr>
          </w:p>
        </w:tc>
        <w:tc>
          <w:tcPr>
            <w:tcW w:w="3013" w:type="dxa"/>
            <w:shd w:val="clear" w:color="auto" w:fill="FFFF00"/>
            <w:noWrap/>
            <w:hideMark/>
          </w:tcPr>
          <w:p w14:paraId="05B0006A"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813,470</w:t>
            </w:r>
          </w:p>
        </w:tc>
      </w:tr>
    </w:tbl>
    <w:p w14:paraId="1C2D1BD7" w14:textId="77777777" w:rsidR="00465D6B" w:rsidRPr="00465D6B" w:rsidRDefault="00465D6B" w:rsidP="00465D6B">
      <w:pPr>
        <w:spacing w:line="360" w:lineRule="auto"/>
        <w:rPr>
          <w:rFonts w:ascii="Arial" w:hAnsi="Arial" w:cs="Arial"/>
          <w:sz w:val="24"/>
          <w:szCs w:val="24"/>
        </w:rPr>
      </w:pPr>
    </w:p>
    <w:p w14:paraId="0991BD6F" w14:textId="77777777" w:rsidR="00465D6B" w:rsidRPr="00465D6B" w:rsidRDefault="00465D6B" w:rsidP="00465D6B">
      <w:pPr>
        <w:spacing w:line="360" w:lineRule="auto"/>
        <w:rPr>
          <w:rFonts w:ascii="Arial" w:hAnsi="Arial" w:cs="Arial"/>
          <w:sz w:val="24"/>
          <w:szCs w:val="24"/>
          <w:lang w:val="en-US"/>
        </w:rPr>
      </w:pPr>
      <w:r w:rsidRPr="00465D6B">
        <w:rPr>
          <w:rFonts w:ascii="Arial" w:hAnsi="Arial" w:cs="Arial"/>
          <w:sz w:val="24"/>
          <w:szCs w:val="24"/>
          <w:lang w:val="en-US"/>
        </w:rPr>
        <w:t xml:space="preserve">The NPV for Project A is </w:t>
      </w:r>
      <w:r w:rsidRPr="00465D6B">
        <w:rPr>
          <w:rFonts w:ascii="Arial" w:hAnsi="Arial" w:cs="Arial"/>
          <w:sz w:val="24"/>
          <w:szCs w:val="24"/>
          <w:highlight w:val="yellow"/>
        </w:rPr>
        <w:t>£813,470.</w:t>
      </w:r>
    </w:p>
    <w:p w14:paraId="371CF2E3" w14:textId="77777777" w:rsidR="00465D6B" w:rsidRPr="00465D6B" w:rsidRDefault="00465D6B" w:rsidP="00465D6B">
      <w:pPr>
        <w:spacing w:line="360" w:lineRule="auto"/>
        <w:rPr>
          <w:rFonts w:ascii="Arial" w:hAnsi="Arial" w:cs="Arial"/>
          <w:b/>
          <w:bCs/>
          <w:i/>
          <w:iCs/>
          <w:sz w:val="24"/>
          <w:szCs w:val="24"/>
          <w:u w:val="single"/>
        </w:rPr>
      </w:pPr>
      <w:r w:rsidRPr="00465D6B">
        <w:rPr>
          <w:rFonts w:ascii="Arial" w:hAnsi="Arial" w:cs="Arial"/>
          <w:b/>
          <w:bCs/>
          <w:i/>
          <w:iCs/>
          <w:sz w:val="24"/>
          <w:szCs w:val="24"/>
          <w:u w:val="single"/>
        </w:rPr>
        <w:t>Project B - Develop into internet sales</w:t>
      </w:r>
    </w:p>
    <w:p w14:paraId="6C9EC4B4"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 xml:space="preserve">The project has an initial capital of £1,200,000 and annual cash flows of £500,000, £600,000, £800,000, and £1,000,000. </w:t>
      </w:r>
    </w:p>
    <w:tbl>
      <w:tblPr>
        <w:tblStyle w:val="TableGrid"/>
        <w:tblW w:w="9221" w:type="dxa"/>
        <w:tblLook w:val="04A0" w:firstRow="1" w:lastRow="0" w:firstColumn="1" w:lastColumn="0" w:noHBand="0" w:noVBand="1"/>
      </w:tblPr>
      <w:tblGrid>
        <w:gridCol w:w="1780"/>
        <w:gridCol w:w="2552"/>
        <w:gridCol w:w="1780"/>
        <w:gridCol w:w="3109"/>
      </w:tblGrid>
      <w:tr w:rsidR="00465D6B" w:rsidRPr="00465D6B" w14:paraId="674C21B4" w14:textId="77777777" w:rsidTr="00465D6B">
        <w:trPr>
          <w:trHeight w:val="349"/>
        </w:trPr>
        <w:tc>
          <w:tcPr>
            <w:tcW w:w="1780" w:type="dxa"/>
            <w:noWrap/>
            <w:hideMark/>
          </w:tcPr>
          <w:p w14:paraId="21ED3038"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Year</w:t>
            </w:r>
          </w:p>
        </w:tc>
        <w:tc>
          <w:tcPr>
            <w:tcW w:w="2552" w:type="dxa"/>
            <w:noWrap/>
            <w:hideMark/>
          </w:tcPr>
          <w:p w14:paraId="235F8D5E"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Cash flow</w:t>
            </w:r>
          </w:p>
        </w:tc>
        <w:tc>
          <w:tcPr>
            <w:tcW w:w="1780" w:type="dxa"/>
            <w:noWrap/>
            <w:hideMark/>
          </w:tcPr>
          <w:p w14:paraId="23BF0B65"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PVIF</w:t>
            </w:r>
          </w:p>
        </w:tc>
        <w:tc>
          <w:tcPr>
            <w:tcW w:w="3109" w:type="dxa"/>
            <w:noWrap/>
            <w:hideMark/>
          </w:tcPr>
          <w:p w14:paraId="7324D6AA"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Present Value</w:t>
            </w:r>
          </w:p>
        </w:tc>
      </w:tr>
      <w:tr w:rsidR="00465D6B" w:rsidRPr="00465D6B" w14:paraId="7894CC88" w14:textId="77777777" w:rsidTr="00465D6B">
        <w:trPr>
          <w:trHeight w:val="349"/>
        </w:trPr>
        <w:tc>
          <w:tcPr>
            <w:tcW w:w="1780" w:type="dxa"/>
            <w:noWrap/>
            <w:hideMark/>
          </w:tcPr>
          <w:p w14:paraId="6EB5F072"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0</w:t>
            </w:r>
          </w:p>
        </w:tc>
        <w:tc>
          <w:tcPr>
            <w:tcW w:w="2552" w:type="dxa"/>
            <w:noWrap/>
            <w:hideMark/>
          </w:tcPr>
          <w:p w14:paraId="54D6417F"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-1,200,000</w:t>
            </w:r>
          </w:p>
        </w:tc>
        <w:tc>
          <w:tcPr>
            <w:tcW w:w="1780" w:type="dxa"/>
            <w:noWrap/>
            <w:hideMark/>
          </w:tcPr>
          <w:p w14:paraId="3A9B772F"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w:t>
            </w:r>
          </w:p>
        </w:tc>
        <w:tc>
          <w:tcPr>
            <w:tcW w:w="3109" w:type="dxa"/>
            <w:noWrap/>
            <w:hideMark/>
          </w:tcPr>
          <w:p w14:paraId="79381BF0"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-1,200,000</w:t>
            </w:r>
          </w:p>
        </w:tc>
      </w:tr>
      <w:tr w:rsidR="00465D6B" w:rsidRPr="00465D6B" w14:paraId="25B60F60" w14:textId="77777777" w:rsidTr="00465D6B">
        <w:trPr>
          <w:trHeight w:val="349"/>
        </w:trPr>
        <w:tc>
          <w:tcPr>
            <w:tcW w:w="1780" w:type="dxa"/>
            <w:noWrap/>
            <w:hideMark/>
          </w:tcPr>
          <w:p w14:paraId="7F777177"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lastRenderedPageBreak/>
              <w:t>1</w:t>
            </w:r>
          </w:p>
        </w:tc>
        <w:tc>
          <w:tcPr>
            <w:tcW w:w="2552" w:type="dxa"/>
            <w:noWrap/>
            <w:hideMark/>
          </w:tcPr>
          <w:p w14:paraId="2448F05F"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500,000</w:t>
            </w:r>
          </w:p>
        </w:tc>
        <w:tc>
          <w:tcPr>
            <w:tcW w:w="1780" w:type="dxa"/>
            <w:noWrap/>
            <w:hideMark/>
          </w:tcPr>
          <w:p w14:paraId="1D3A3605"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0.9259</w:t>
            </w:r>
          </w:p>
        </w:tc>
        <w:tc>
          <w:tcPr>
            <w:tcW w:w="3109" w:type="dxa"/>
            <w:noWrap/>
            <w:hideMark/>
          </w:tcPr>
          <w:p w14:paraId="5D37188F"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462,950</w:t>
            </w:r>
          </w:p>
        </w:tc>
      </w:tr>
      <w:tr w:rsidR="00465D6B" w:rsidRPr="00465D6B" w14:paraId="6714778D" w14:textId="77777777" w:rsidTr="00465D6B">
        <w:trPr>
          <w:trHeight w:val="349"/>
        </w:trPr>
        <w:tc>
          <w:tcPr>
            <w:tcW w:w="1780" w:type="dxa"/>
            <w:noWrap/>
            <w:hideMark/>
          </w:tcPr>
          <w:p w14:paraId="54789F27"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2</w:t>
            </w:r>
          </w:p>
        </w:tc>
        <w:tc>
          <w:tcPr>
            <w:tcW w:w="2552" w:type="dxa"/>
            <w:noWrap/>
            <w:hideMark/>
          </w:tcPr>
          <w:p w14:paraId="327E8DBC"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600,000</w:t>
            </w:r>
          </w:p>
        </w:tc>
        <w:tc>
          <w:tcPr>
            <w:tcW w:w="1780" w:type="dxa"/>
            <w:noWrap/>
            <w:hideMark/>
          </w:tcPr>
          <w:p w14:paraId="3C1034B9"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0.8573</w:t>
            </w:r>
          </w:p>
        </w:tc>
        <w:tc>
          <w:tcPr>
            <w:tcW w:w="3109" w:type="dxa"/>
            <w:noWrap/>
            <w:hideMark/>
          </w:tcPr>
          <w:p w14:paraId="54C3655D"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514,380</w:t>
            </w:r>
          </w:p>
        </w:tc>
      </w:tr>
      <w:tr w:rsidR="00465D6B" w:rsidRPr="00465D6B" w14:paraId="35BE43F7" w14:textId="77777777" w:rsidTr="00465D6B">
        <w:trPr>
          <w:trHeight w:val="349"/>
        </w:trPr>
        <w:tc>
          <w:tcPr>
            <w:tcW w:w="1780" w:type="dxa"/>
            <w:noWrap/>
            <w:hideMark/>
          </w:tcPr>
          <w:p w14:paraId="173B431A"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3</w:t>
            </w:r>
          </w:p>
        </w:tc>
        <w:tc>
          <w:tcPr>
            <w:tcW w:w="2552" w:type="dxa"/>
            <w:noWrap/>
            <w:hideMark/>
          </w:tcPr>
          <w:p w14:paraId="5789FEFB"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800,000</w:t>
            </w:r>
          </w:p>
        </w:tc>
        <w:tc>
          <w:tcPr>
            <w:tcW w:w="1780" w:type="dxa"/>
            <w:noWrap/>
            <w:hideMark/>
          </w:tcPr>
          <w:p w14:paraId="6407C869"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0.7938</w:t>
            </w:r>
          </w:p>
        </w:tc>
        <w:tc>
          <w:tcPr>
            <w:tcW w:w="3109" w:type="dxa"/>
            <w:noWrap/>
            <w:hideMark/>
          </w:tcPr>
          <w:p w14:paraId="19A04D32"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635,040</w:t>
            </w:r>
          </w:p>
        </w:tc>
      </w:tr>
      <w:tr w:rsidR="00465D6B" w:rsidRPr="00465D6B" w14:paraId="7C363535" w14:textId="77777777" w:rsidTr="00465D6B">
        <w:trPr>
          <w:trHeight w:val="349"/>
        </w:trPr>
        <w:tc>
          <w:tcPr>
            <w:tcW w:w="1780" w:type="dxa"/>
            <w:noWrap/>
            <w:hideMark/>
          </w:tcPr>
          <w:p w14:paraId="5F423B89"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4</w:t>
            </w:r>
          </w:p>
        </w:tc>
        <w:tc>
          <w:tcPr>
            <w:tcW w:w="2552" w:type="dxa"/>
            <w:noWrap/>
            <w:hideMark/>
          </w:tcPr>
          <w:p w14:paraId="0AF2EAB0"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1,000,000</w:t>
            </w:r>
          </w:p>
        </w:tc>
        <w:tc>
          <w:tcPr>
            <w:tcW w:w="1780" w:type="dxa"/>
            <w:noWrap/>
            <w:hideMark/>
          </w:tcPr>
          <w:p w14:paraId="24221557"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0.7350</w:t>
            </w:r>
          </w:p>
        </w:tc>
        <w:tc>
          <w:tcPr>
            <w:tcW w:w="3109" w:type="dxa"/>
            <w:noWrap/>
            <w:hideMark/>
          </w:tcPr>
          <w:p w14:paraId="4A99754F"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735,090</w:t>
            </w:r>
          </w:p>
        </w:tc>
      </w:tr>
      <w:tr w:rsidR="00465D6B" w:rsidRPr="00465D6B" w14:paraId="3C944862" w14:textId="77777777" w:rsidTr="00465D6B">
        <w:trPr>
          <w:trHeight w:val="349"/>
        </w:trPr>
        <w:tc>
          <w:tcPr>
            <w:tcW w:w="1780" w:type="dxa"/>
            <w:shd w:val="clear" w:color="auto" w:fill="FFFF00"/>
            <w:noWrap/>
            <w:hideMark/>
          </w:tcPr>
          <w:p w14:paraId="46A42678"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NPV</w:t>
            </w:r>
          </w:p>
        </w:tc>
        <w:tc>
          <w:tcPr>
            <w:tcW w:w="2552" w:type="dxa"/>
            <w:shd w:val="clear" w:color="auto" w:fill="FFFF00"/>
            <w:noWrap/>
            <w:hideMark/>
          </w:tcPr>
          <w:p w14:paraId="226498F2" w14:textId="77777777" w:rsidR="00465D6B" w:rsidRPr="00465D6B" w:rsidRDefault="00465D6B" w:rsidP="00465D6B">
            <w:pPr>
              <w:spacing w:line="360" w:lineRule="auto"/>
              <w:rPr>
                <w:rFonts w:ascii="Arial" w:hAnsi="Arial" w:cs="Arial"/>
                <w:sz w:val="24"/>
                <w:szCs w:val="24"/>
              </w:rPr>
            </w:pPr>
          </w:p>
        </w:tc>
        <w:tc>
          <w:tcPr>
            <w:tcW w:w="1780" w:type="dxa"/>
            <w:shd w:val="clear" w:color="auto" w:fill="FFFF00"/>
            <w:noWrap/>
            <w:hideMark/>
          </w:tcPr>
          <w:p w14:paraId="084C3D1B" w14:textId="77777777" w:rsidR="00465D6B" w:rsidRPr="00465D6B" w:rsidRDefault="00465D6B" w:rsidP="00465D6B">
            <w:pPr>
              <w:spacing w:line="360" w:lineRule="auto"/>
              <w:rPr>
                <w:rFonts w:ascii="Arial" w:hAnsi="Arial" w:cs="Arial"/>
                <w:sz w:val="24"/>
                <w:szCs w:val="24"/>
              </w:rPr>
            </w:pPr>
          </w:p>
        </w:tc>
        <w:tc>
          <w:tcPr>
            <w:tcW w:w="3109" w:type="dxa"/>
            <w:shd w:val="clear" w:color="auto" w:fill="FFFF00"/>
            <w:noWrap/>
            <w:hideMark/>
          </w:tcPr>
          <w:p w14:paraId="6FD0E955"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1,147,460</w:t>
            </w:r>
          </w:p>
        </w:tc>
      </w:tr>
    </w:tbl>
    <w:p w14:paraId="1FA99DA9" w14:textId="77777777" w:rsidR="00465D6B" w:rsidRPr="00465D6B" w:rsidRDefault="00465D6B" w:rsidP="00465D6B">
      <w:pPr>
        <w:spacing w:line="360" w:lineRule="auto"/>
        <w:rPr>
          <w:rFonts w:ascii="Arial" w:hAnsi="Arial" w:cs="Arial"/>
          <w:sz w:val="24"/>
          <w:szCs w:val="24"/>
        </w:rPr>
      </w:pPr>
    </w:p>
    <w:p w14:paraId="49122FDD"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 xml:space="preserve">Therefore, the NPV of Project B is </w:t>
      </w:r>
      <w:r w:rsidRPr="00465D6B">
        <w:rPr>
          <w:rFonts w:ascii="Arial" w:hAnsi="Arial" w:cs="Arial"/>
          <w:sz w:val="24"/>
          <w:szCs w:val="24"/>
          <w:highlight w:val="yellow"/>
        </w:rPr>
        <w:t>£1,147,460.</w:t>
      </w:r>
      <w:r w:rsidRPr="00465D6B">
        <w:rPr>
          <w:rFonts w:ascii="Arial" w:hAnsi="Arial" w:cs="Arial"/>
          <w:sz w:val="24"/>
          <w:szCs w:val="24"/>
        </w:rPr>
        <w:t xml:space="preserve"> </w:t>
      </w:r>
    </w:p>
    <w:p w14:paraId="59C31876" w14:textId="77777777" w:rsidR="00465D6B" w:rsidRPr="00465D6B" w:rsidRDefault="00465D6B" w:rsidP="00465D6B">
      <w:pPr>
        <w:spacing w:line="360" w:lineRule="auto"/>
        <w:rPr>
          <w:rFonts w:ascii="Arial" w:hAnsi="Arial" w:cs="Arial"/>
          <w:b/>
          <w:bCs/>
          <w:i/>
          <w:iCs/>
          <w:sz w:val="24"/>
          <w:szCs w:val="24"/>
          <w:u w:val="single"/>
        </w:rPr>
      </w:pPr>
      <w:r w:rsidRPr="00465D6B">
        <w:rPr>
          <w:rFonts w:ascii="Arial" w:hAnsi="Arial" w:cs="Arial"/>
          <w:b/>
          <w:bCs/>
          <w:i/>
          <w:iCs/>
          <w:sz w:val="24"/>
          <w:szCs w:val="24"/>
          <w:u w:val="single"/>
        </w:rPr>
        <w:t xml:space="preserve">Project C - </w:t>
      </w:r>
      <w:bookmarkStart w:id="0" w:name="_Hlk19199794"/>
      <w:r w:rsidRPr="00465D6B">
        <w:rPr>
          <w:rFonts w:ascii="Arial" w:hAnsi="Arial" w:cs="Arial"/>
          <w:b/>
          <w:bCs/>
          <w:i/>
          <w:iCs/>
          <w:sz w:val="24"/>
          <w:szCs w:val="24"/>
          <w:u w:val="single"/>
        </w:rPr>
        <w:t>Produce greenhouses and conservatories</w:t>
      </w:r>
      <w:bookmarkEnd w:id="0"/>
    </w:p>
    <w:p w14:paraId="2C8E4547"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 xml:space="preserve">The project has initial capital of £2,000,000 and cash flows of £500,000, </w:t>
      </w:r>
      <w:bookmarkStart w:id="1" w:name="_Hlk19199784"/>
      <w:r w:rsidRPr="00465D6B">
        <w:rPr>
          <w:rFonts w:ascii="Arial" w:hAnsi="Arial" w:cs="Arial"/>
          <w:sz w:val="24"/>
          <w:szCs w:val="24"/>
        </w:rPr>
        <w:t>£</w:t>
      </w:r>
      <w:bookmarkEnd w:id="1"/>
      <w:r w:rsidRPr="00465D6B">
        <w:rPr>
          <w:rFonts w:ascii="Arial" w:hAnsi="Arial" w:cs="Arial"/>
          <w:sz w:val="24"/>
          <w:szCs w:val="24"/>
        </w:rPr>
        <w:t xml:space="preserve">1,000,000, £1,500,000, and £1,500,000. </w:t>
      </w:r>
    </w:p>
    <w:tbl>
      <w:tblPr>
        <w:tblStyle w:val="TableGrid"/>
        <w:tblW w:w="0" w:type="auto"/>
        <w:tblLook w:val="04A0" w:firstRow="1" w:lastRow="0" w:firstColumn="1" w:lastColumn="0" w:noHBand="0" w:noVBand="1"/>
      </w:tblPr>
      <w:tblGrid>
        <w:gridCol w:w="1622"/>
        <w:gridCol w:w="2324"/>
        <w:gridCol w:w="1622"/>
        <w:gridCol w:w="2831"/>
      </w:tblGrid>
      <w:tr w:rsidR="00465D6B" w:rsidRPr="00465D6B" w14:paraId="44F999CF" w14:textId="77777777" w:rsidTr="00465D6B">
        <w:trPr>
          <w:trHeight w:val="354"/>
        </w:trPr>
        <w:tc>
          <w:tcPr>
            <w:tcW w:w="1622" w:type="dxa"/>
            <w:noWrap/>
            <w:hideMark/>
          </w:tcPr>
          <w:p w14:paraId="69048989"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Year</w:t>
            </w:r>
          </w:p>
        </w:tc>
        <w:tc>
          <w:tcPr>
            <w:tcW w:w="2324" w:type="dxa"/>
            <w:noWrap/>
            <w:hideMark/>
          </w:tcPr>
          <w:p w14:paraId="6E1D3751"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Cash flow</w:t>
            </w:r>
          </w:p>
        </w:tc>
        <w:tc>
          <w:tcPr>
            <w:tcW w:w="1622" w:type="dxa"/>
            <w:noWrap/>
            <w:hideMark/>
          </w:tcPr>
          <w:p w14:paraId="71E00380"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PVIF</w:t>
            </w:r>
          </w:p>
        </w:tc>
        <w:tc>
          <w:tcPr>
            <w:tcW w:w="2831" w:type="dxa"/>
            <w:noWrap/>
            <w:hideMark/>
          </w:tcPr>
          <w:p w14:paraId="39F3470D"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Present Value</w:t>
            </w:r>
          </w:p>
        </w:tc>
      </w:tr>
      <w:tr w:rsidR="00465D6B" w:rsidRPr="00465D6B" w14:paraId="1396DC83" w14:textId="77777777" w:rsidTr="00465D6B">
        <w:trPr>
          <w:trHeight w:val="354"/>
        </w:trPr>
        <w:tc>
          <w:tcPr>
            <w:tcW w:w="1622" w:type="dxa"/>
            <w:noWrap/>
            <w:hideMark/>
          </w:tcPr>
          <w:p w14:paraId="368E7D1B" w14:textId="77777777" w:rsidR="00465D6B" w:rsidRPr="00465D6B" w:rsidRDefault="00465D6B" w:rsidP="00465D6B">
            <w:pPr>
              <w:spacing w:line="360" w:lineRule="auto"/>
              <w:rPr>
                <w:rFonts w:ascii="Arial" w:hAnsi="Arial" w:cs="Arial"/>
                <w:sz w:val="24"/>
                <w:szCs w:val="24"/>
              </w:rPr>
            </w:pPr>
            <w:bookmarkStart w:id="2" w:name="_Hlk19203010"/>
            <w:r w:rsidRPr="00465D6B">
              <w:rPr>
                <w:rFonts w:ascii="Arial" w:hAnsi="Arial" w:cs="Arial"/>
                <w:sz w:val="24"/>
                <w:szCs w:val="24"/>
              </w:rPr>
              <w:t>0</w:t>
            </w:r>
          </w:p>
        </w:tc>
        <w:tc>
          <w:tcPr>
            <w:tcW w:w="2324" w:type="dxa"/>
            <w:noWrap/>
            <w:hideMark/>
          </w:tcPr>
          <w:p w14:paraId="136245A9"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-2,000,000</w:t>
            </w:r>
          </w:p>
        </w:tc>
        <w:tc>
          <w:tcPr>
            <w:tcW w:w="1622" w:type="dxa"/>
            <w:noWrap/>
            <w:hideMark/>
          </w:tcPr>
          <w:p w14:paraId="3C17177F"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w:t>
            </w:r>
          </w:p>
        </w:tc>
        <w:tc>
          <w:tcPr>
            <w:tcW w:w="2831" w:type="dxa"/>
            <w:noWrap/>
            <w:hideMark/>
          </w:tcPr>
          <w:p w14:paraId="5CED3854"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-2,000,000</w:t>
            </w:r>
          </w:p>
        </w:tc>
      </w:tr>
      <w:tr w:rsidR="00465D6B" w:rsidRPr="00465D6B" w14:paraId="17649316" w14:textId="77777777" w:rsidTr="00465D6B">
        <w:trPr>
          <w:trHeight w:val="354"/>
        </w:trPr>
        <w:tc>
          <w:tcPr>
            <w:tcW w:w="1622" w:type="dxa"/>
            <w:noWrap/>
            <w:hideMark/>
          </w:tcPr>
          <w:p w14:paraId="1D9659F2"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w:t>
            </w:r>
          </w:p>
        </w:tc>
        <w:tc>
          <w:tcPr>
            <w:tcW w:w="2324" w:type="dxa"/>
            <w:noWrap/>
            <w:hideMark/>
          </w:tcPr>
          <w:p w14:paraId="2C054FEA"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500,000</w:t>
            </w:r>
          </w:p>
        </w:tc>
        <w:tc>
          <w:tcPr>
            <w:tcW w:w="1622" w:type="dxa"/>
            <w:noWrap/>
            <w:hideMark/>
          </w:tcPr>
          <w:p w14:paraId="62D783EB"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0.9259</w:t>
            </w:r>
          </w:p>
        </w:tc>
        <w:tc>
          <w:tcPr>
            <w:tcW w:w="2831" w:type="dxa"/>
            <w:noWrap/>
            <w:hideMark/>
          </w:tcPr>
          <w:p w14:paraId="00ECCC41"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462,950</w:t>
            </w:r>
          </w:p>
        </w:tc>
      </w:tr>
      <w:tr w:rsidR="00465D6B" w:rsidRPr="00465D6B" w14:paraId="73E876F9" w14:textId="77777777" w:rsidTr="00465D6B">
        <w:trPr>
          <w:trHeight w:val="354"/>
        </w:trPr>
        <w:tc>
          <w:tcPr>
            <w:tcW w:w="1622" w:type="dxa"/>
            <w:noWrap/>
            <w:hideMark/>
          </w:tcPr>
          <w:p w14:paraId="086B72B0"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2</w:t>
            </w:r>
          </w:p>
        </w:tc>
        <w:tc>
          <w:tcPr>
            <w:tcW w:w="2324" w:type="dxa"/>
            <w:noWrap/>
            <w:hideMark/>
          </w:tcPr>
          <w:p w14:paraId="1D1B71B0"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1,000,000</w:t>
            </w:r>
          </w:p>
        </w:tc>
        <w:tc>
          <w:tcPr>
            <w:tcW w:w="1622" w:type="dxa"/>
            <w:noWrap/>
            <w:hideMark/>
          </w:tcPr>
          <w:p w14:paraId="40E5416B"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0.8573</w:t>
            </w:r>
          </w:p>
        </w:tc>
        <w:tc>
          <w:tcPr>
            <w:tcW w:w="2831" w:type="dxa"/>
            <w:noWrap/>
            <w:hideMark/>
          </w:tcPr>
          <w:p w14:paraId="360B8B36"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857,380</w:t>
            </w:r>
          </w:p>
        </w:tc>
      </w:tr>
      <w:tr w:rsidR="00465D6B" w:rsidRPr="00465D6B" w14:paraId="20B50A76" w14:textId="77777777" w:rsidTr="00465D6B">
        <w:trPr>
          <w:trHeight w:val="354"/>
        </w:trPr>
        <w:tc>
          <w:tcPr>
            <w:tcW w:w="1622" w:type="dxa"/>
            <w:noWrap/>
            <w:hideMark/>
          </w:tcPr>
          <w:p w14:paraId="38291EED"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3</w:t>
            </w:r>
          </w:p>
        </w:tc>
        <w:tc>
          <w:tcPr>
            <w:tcW w:w="2324" w:type="dxa"/>
            <w:noWrap/>
            <w:hideMark/>
          </w:tcPr>
          <w:p w14:paraId="1C94364D"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1,500,000</w:t>
            </w:r>
          </w:p>
        </w:tc>
        <w:tc>
          <w:tcPr>
            <w:tcW w:w="1622" w:type="dxa"/>
            <w:noWrap/>
            <w:hideMark/>
          </w:tcPr>
          <w:p w14:paraId="7CF3F765"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0.7938</w:t>
            </w:r>
          </w:p>
        </w:tc>
        <w:tc>
          <w:tcPr>
            <w:tcW w:w="2831" w:type="dxa"/>
            <w:noWrap/>
            <w:hideMark/>
          </w:tcPr>
          <w:p w14:paraId="3666CC36"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1,190,760</w:t>
            </w:r>
          </w:p>
        </w:tc>
      </w:tr>
      <w:tr w:rsidR="00465D6B" w:rsidRPr="00465D6B" w14:paraId="2566E224" w14:textId="77777777" w:rsidTr="00465D6B">
        <w:trPr>
          <w:trHeight w:val="354"/>
        </w:trPr>
        <w:tc>
          <w:tcPr>
            <w:tcW w:w="1622" w:type="dxa"/>
            <w:noWrap/>
            <w:hideMark/>
          </w:tcPr>
          <w:p w14:paraId="5C5F1859"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4</w:t>
            </w:r>
          </w:p>
        </w:tc>
        <w:tc>
          <w:tcPr>
            <w:tcW w:w="2324" w:type="dxa"/>
            <w:noWrap/>
            <w:hideMark/>
          </w:tcPr>
          <w:p w14:paraId="4735F31C"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1,500,000</w:t>
            </w:r>
          </w:p>
        </w:tc>
        <w:tc>
          <w:tcPr>
            <w:tcW w:w="1622" w:type="dxa"/>
            <w:noWrap/>
            <w:hideMark/>
          </w:tcPr>
          <w:p w14:paraId="7BBC5EC5"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0.7350</w:t>
            </w:r>
          </w:p>
        </w:tc>
        <w:tc>
          <w:tcPr>
            <w:tcW w:w="2831" w:type="dxa"/>
            <w:noWrap/>
            <w:hideMark/>
          </w:tcPr>
          <w:p w14:paraId="048CB776"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1,102,500</w:t>
            </w:r>
          </w:p>
        </w:tc>
      </w:tr>
      <w:bookmarkEnd w:id="2"/>
      <w:tr w:rsidR="00465D6B" w:rsidRPr="00465D6B" w14:paraId="59CAA360" w14:textId="77777777" w:rsidTr="00465D6B">
        <w:trPr>
          <w:trHeight w:val="354"/>
        </w:trPr>
        <w:tc>
          <w:tcPr>
            <w:tcW w:w="1622" w:type="dxa"/>
            <w:shd w:val="clear" w:color="auto" w:fill="FFFF00"/>
            <w:noWrap/>
            <w:hideMark/>
          </w:tcPr>
          <w:p w14:paraId="76FE425C"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NPV</w:t>
            </w:r>
          </w:p>
        </w:tc>
        <w:tc>
          <w:tcPr>
            <w:tcW w:w="2324" w:type="dxa"/>
            <w:shd w:val="clear" w:color="auto" w:fill="FFFF00"/>
            <w:noWrap/>
            <w:hideMark/>
          </w:tcPr>
          <w:p w14:paraId="1344C7F9" w14:textId="77777777" w:rsidR="00465D6B" w:rsidRPr="00465D6B" w:rsidRDefault="00465D6B" w:rsidP="00465D6B">
            <w:pPr>
              <w:spacing w:line="360" w:lineRule="auto"/>
              <w:rPr>
                <w:rFonts w:ascii="Arial" w:hAnsi="Arial" w:cs="Arial"/>
                <w:sz w:val="24"/>
                <w:szCs w:val="24"/>
              </w:rPr>
            </w:pPr>
          </w:p>
        </w:tc>
        <w:tc>
          <w:tcPr>
            <w:tcW w:w="1622" w:type="dxa"/>
            <w:shd w:val="clear" w:color="auto" w:fill="FFFF00"/>
            <w:noWrap/>
            <w:hideMark/>
          </w:tcPr>
          <w:p w14:paraId="50B85B5F" w14:textId="77777777" w:rsidR="00465D6B" w:rsidRPr="00465D6B" w:rsidRDefault="00465D6B" w:rsidP="00465D6B">
            <w:pPr>
              <w:spacing w:line="360" w:lineRule="auto"/>
              <w:rPr>
                <w:rFonts w:ascii="Arial" w:hAnsi="Arial" w:cs="Arial"/>
                <w:sz w:val="24"/>
                <w:szCs w:val="24"/>
              </w:rPr>
            </w:pPr>
          </w:p>
        </w:tc>
        <w:tc>
          <w:tcPr>
            <w:tcW w:w="2831" w:type="dxa"/>
            <w:shd w:val="clear" w:color="auto" w:fill="FFFF00"/>
            <w:noWrap/>
            <w:hideMark/>
          </w:tcPr>
          <w:p w14:paraId="4B962307" w14:textId="77777777" w:rsidR="00465D6B" w:rsidRPr="00465D6B" w:rsidRDefault="00465D6B" w:rsidP="00465D6B">
            <w:pPr>
              <w:spacing w:line="360" w:lineRule="auto"/>
              <w:rPr>
                <w:rFonts w:ascii="Arial" w:hAnsi="Arial" w:cs="Arial"/>
                <w:sz w:val="24"/>
                <w:szCs w:val="24"/>
              </w:rPr>
            </w:pPr>
            <w:r w:rsidRPr="00465D6B">
              <w:rPr>
                <w:rFonts w:ascii="Arial" w:hAnsi="Arial" w:cs="Arial"/>
                <w:color w:val="FF0000"/>
                <w:sz w:val="24"/>
                <w:szCs w:val="24"/>
                <w:highlight w:val="yellow"/>
              </w:rPr>
              <w:t>1,613,590</w:t>
            </w:r>
          </w:p>
        </w:tc>
      </w:tr>
    </w:tbl>
    <w:p w14:paraId="4DEA7FED" w14:textId="77777777" w:rsidR="00465D6B" w:rsidRPr="00465D6B" w:rsidRDefault="00465D6B" w:rsidP="00465D6B">
      <w:pPr>
        <w:spacing w:line="360" w:lineRule="auto"/>
        <w:rPr>
          <w:rFonts w:ascii="Arial" w:hAnsi="Arial" w:cs="Arial"/>
          <w:sz w:val="24"/>
          <w:szCs w:val="24"/>
        </w:rPr>
      </w:pPr>
    </w:p>
    <w:p w14:paraId="383A9013"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 xml:space="preserve">Therefore, the NPV for Project C is </w:t>
      </w:r>
      <w:r w:rsidRPr="00465D6B">
        <w:rPr>
          <w:rFonts w:ascii="Arial" w:hAnsi="Arial" w:cs="Arial"/>
          <w:sz w:val="24"/>
          <w:szCs w:val="24"/>
          <w:highlight w:val="yellow"/>
        </w:rPr>
        <w:t>£1,163,590.</w:t>
      </w:r>
      <w:r w:rsidRPr="00465D6B">
        <w:rPr>
          <w:rFonts w:ascii="Arial" w:hAnsi="Arial" w:cs="Arial"/>
          <w:sz w:val="24"/>
          <w:szCs w:val="24"/>
        </w:rPr>
        <w:t xml:space="preserve"> </w:t>
      </w:r>
    </w:p>
    <w:p w14:paraId="39B5EEBC" w14:textId="77777777" w:rsidR="00465D6B" w:rsidRPr="00465D6B" w:rsidRDefault="00465D6B" w:rsidP="00465D6B">
      <w:pPr>
        <w:spacing w:line="360" w:lineRule="auto"/>
        <w:rPr>
          <w:rFonts w:ascii="Arial" w:hAnsi="Arial" w:cs="Arial"/>
          <w:b/>
          <w:bCs/>
          <w:sz w:val="24"/>
          <w:szCs w:val="24"/>
          <w:u w:val="single"/>
        </w:rPr>
      </w:pPr>
      <w:r w:rsidRPr="00465D6B">
        <w:rPr>
          <w:rFonts w:ascii="Arial" w:hAnsi="Arial" w:cs="Arial"/>
          <w:b/>
          <w:bCs/>
          <w:sz w:val="24"/>
          <w:szCs w:val="24"/>
          <w:u w:val="single"/>
        </w:rPr>
        <w:t>Ranking</w:t>
      </w:r>
    </w:p>
    <w:tbl>
      <w:tblPr>
        <w:tblStyle w:val="TableGrid"/>
        <w:tblW w:w="0" w:type="auto"/>
        <w:tblLook w:val="04A0" w:firstRow="1" w:lastRow="0" w:firstColumn="1" w:lastColumn="0" w:noHBand="0" w:noVBand="1"/>
      </w:tblPr>
      <w:tblGrid>
        <w:gridCol w:w="3005"/>
        <w:gridCol w:w="3005"/>
        <w:gridCol w:w="3006"/>
      </w:tblGrid>
      <w:tr w:rsidR="00465D6B" w:rsidRPr="00465D6B" w14:paraId="16065E4C" w14:textId="77777777" w:rsidTr="00465D6B">
        <w:tc>
          <w:tcPr>
            <w:tcW w:w="3005" w:type="dxa"/>
          </w:tcPr>
          <w:p w14:paraId="1394873A"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Project</w:t>
            </w:r>
          </w:p>
        </w:tc>
        <w:tc>
          <w:tcPr>
            <w:tcW w:w="3005" w:type="dxa"/>
          </w:tcPr>
          <w:p w14:paraId="4414893F"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NPV</w:t>
            </w:r>
          </w:p>
        </w:tc>
        <w:tc>
          <w:tcPr>
            <w:tcW w:w="3006" w:type="dxa"/>
          </w:tcPr>
          <w:p w14:paraId="62E2132C"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Rank</w:t>
            </w:r>
          </w:p>
        </w:tc>
      </w:tr>
      <w:tr w:rsidR="00465D6B" w:rsidRPr="00465D6B" w14:paraId="58FD21E5" w14:textId="77777777" w:rsidTr="00465D6B">
        <w:tc>
          <w:tcPr>
            <w:tcW w:w="3005" w:type="dxa"/>
          </w:tcPr>
          <w:p w14:paraId="0D5C3EE3"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A</w:t>
            </w:r>
          </w:p>
        </w:tc>
        <w:tc>
          <w:tcPr>
            <w:tcW w:w="3005" w:type="dxa"/>
          </w:tcPr>
          <w:p w14:paraId="26E54390"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£813,470</w:t>
            </w:r>
          </w:p>
        </w:tc>
        <w:tc>
          <w:tcPr>
            <w:tcW w:w="3006" w:type="dxa"/>
          </w:tcPr>
          <w:p w14:paraId="445DAE86"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3</w:t>
            </w:r>
          </w:p>
        </w:tc>
      </w:tr>
      <w:tr w:rsidR="00465D6B" w:rsidRPr="00465D6B" w14:paraId="03D3475F" w14:textId="77777777" w:rsidTr="00465D6B">
        <w:tc>
          <w:tcPr>
            <w:tcW w:w="3005" w:type="dxa"/>
          </w:tcPr>
          <w:p w14:paraId="020A3885"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B</w:t>
            </w:r>
          </w:p>
        </w:tc>
        <w:tc>
          <w:tcPr>
            <w:tcW w:w="3005" w:type="dxa"/>
          </w:tcPr>
          <w:p w14:paraId="5D26F020"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£1,147,460</w:t>
            </w:r>
          </w:p>
        </w:tc>
        <w:tc>
          <w:tcPr>
            <w:tcW w:w="3006" w:type="dxa"/>
          </w:tcPr>
          <w:p w14:paraId="39D6E31B"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2</w:t>
            </w:r>
          </w:p>
        </w:tc>
      </w:tr>
      <w:tr w:rsidR="00465D6B" w:rsidRPr="00465D6B" w14:paraId="677ACF6D" w14:textId="77777777" w:rsidTr="00465D6B">
        <w:tc>
          <w:tcPr>
            <w:tcW w:w="3005" w:type="dxa"/>
            <w:shd w:val="clear" w:color="auto" w:fill="FFFF00"/>
          </w:tcPr>
          <w:p w14:paraId="5B65C2B4" w14:textId="77777777" w:rsidR="00465D6B" w:rsidRPr="00465D6B" w:rsidRDefault="00465D6B" w:rsidP="00465D6B">
            <w:pPr>
              <w:spacing w:line="360" w:lineRule="auto"/>
              <w:rPr>
                <w:rFonts w:ascii="Arial" w:hAnsi="Arial" w:cs="Arial"/>
                <w:sz w:val="24"/>
                <w:szCs w:val="24"/>
                <w:highlight w:val="yellow"/>
              </w:rPr>
            </w:pPr>
            <w:r w:rsidRPr="00465D6B">
              <w:rPr>
                <w:rFonts w:ascii="Arial" w:hAnsi="Arial" w:cs="Arial"/>
                <w:sz w:val="24"/>
                <w:szCs w:val="24"/>
                <w:highlight w:val="yellow"/>
              </w:rPr>
              <w:t>C</w:t>
            </w:r>
          </w:p>
        </w:tc>
        <w:tc>
          <w:tcPr>
            <w:tcW w:w="3005" w:type="dxa"/>
            <w:shd w:val="clear" w:color="auto" w:fill="FFFF00"/>
          </w:tcPr>
          <w:p w14:paraId="69EB6042" w14:textId="77777777" w:rsidR="00465D6B" w:rsidRPr="00465D6B" w:rsidRDefault="00465D6B" w:rsidP="00465D6B">
            <w:pPr>
              <w:spacing w:line="360" w:lineRule="auto"/>
              <w:rPr>
                <w:rFonts w:ascii="Arial" w:hAnsi="Arial" w:cs="Arial"/>
                <w:sz w:val="24"/>
                <w:szCs w:val="24"/>
                <w:highlight w:val="yellow"/>
              </w:rPr>
            </w:pPr>
            <w:r w:rsidRPr="00465D6B">
              <w:rPr>
                <w:rFonts w:ascii="Arial" w:hAnsi="Arial" w:cs="Arial"/>
                <w:sz w:val="24"/>
                <w:szCs w:val="24"/>
                <w:highlight w:val="yellow"/>
              </w:rPr>
              <w:t>£1,163,590</w:t>
            </w:r>
          </w:p>
        </w:tc>
        <w:tc>
          <w:tcPr>
            <w:tcW w:w="3006" w:type="dxa"/>
            <w:shd w:val="clear" w:color="auto" w:fill="FFFF00"/>
          </w:tcPr>
          <w:p w14:paraId="05D8C143" w14:textId="77777777" w:rsidR="00465D6B" w:rsidRPr="00465D6B" w:rsidRDefault="00465D6B" w:rsidP="00465D6B">
            <w:pPr>
              <w:spacing w:line="360" w:lineRule="auto"/>
              <w:rPr>
                <w:rFonts w:ascii="Arial" w:hAnsi="Arial" w:cs="Arial"/>
                <w:color w:val="FF0000"/>
                <w:sz w:val="24"/>
                <w:szCs w:val="24"/>
              </w:rPr>
            </w:pPr>
            <w:r w:rsidRPr="00465D6B">
              <w:rPr>
                <w:rFonts w:ascii="Arial" w:hAnsi="Arial" w:cs="Arial"/>
                <w:sz w:val="24"/>
                <w:szCs w:val="24"/>
                <w:highlight w:val="yellow"/>
              </w:rPr>
              <w:t>1</w:t>
            </w:r>
          </w:p>
        </w:tc>
      </w:tr>
    </w:tbl>
    <w:p w14:paraId="6D746941" w14:textId="77777777" w:rsidR="00465D6B" w:rsidRPr="00465D6B" w:rsidRDefault="00465D6B" w:rsidP="00465D6B">
      <w:pPr>
        <w:spacing w:line="360" w:lineRule="auto"/>
        <w:rPr>
          <w:rFonts w:ascii="Arial" w:hAnsi="Arial" w:cs="Arial"/>
          <w:sz w:val="24"/>
          <w:szCs w:val="24"/>
        </w:rPr>
      </w:pPr>
    </w:p>
    <w:p w14:paraId="25F6C898"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 xml:space="preserve">Based on the calculations and project ranking, Project C (produce greenhouses and conservatories) is ranked number one and should be selected because it has the highest NPV of £1,163,590. </w:t>
      </w:r>
    </w:p>
    <w:p w14:paraId="077A2AF1" w14:textId="77777777" w:rsidR="00465D6B" w:rsidRPr="00465D6B" w:rsidRDefault="00465D6B" w:rsidP="00465D6B">
      <w:pPr>
        <w:spacing w:line="360" w:lineRule="auto"/>
        <w:jc w:val="center"/>
        <w:rPr>
          <w:rFonts w:ascii="Arial" w:hAnsi="Arial" w:cs="Arial"/>
          <w:b/>
          <w:bCs/>
          <w:sz w:val="24"/>
          <w:szCs w:val="24"/>
        </w:rPr>
      </w:pPr>
    </w:p>
    <w:p w14:paraId="74CE0A1B" w14:textId="77777777" w:rsidR="00465D6B" w:rsidRPr="00465D6B" w:rsidRDefault="00465D6B" w:rsidP="00465D6B">
      <w:pPr>
        <w:spacing w:line="360" w:lineRule="auto"/>
        <w:rPr>
          <w:rFonts w:ascii="Arial" w:hAnsi="Arial" w:cs="Arial"/>
          <w:b/>
          <w:bCs/>
          <w:sz w:val="24"/>
          <w:szCs w:val="24"/>
        </w:rPr>
      </w:pPr>
      <w:r w:rsidRPr="00465D6B">
        <w:rPr>
          <w:rFonts w:ascii="Arial" w:hAnsi="Arial" w:cs="Arial"/>
          <w:b/>
          <w:bCs/>
          <w:sz w:val="24"/>
          <w:szCs w:val="24"/>
        </w:rPr>
        <w:lastRenderedPageBreak/>
        <w:t>Internal Rate of Return (IRR)</w:t>
      </w:r>
    </w:p>
    <w:p w14:paraId="1F66B49B"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 xml:space="preserve">The internal rate of return (IRR) refers to an approach used in capital budgeting for estimating the profitability of proposed projects. It is a discount rate that makes NPV of resulting cash flows of a project equal to zero. The following is the formula used to calculate NPV. </w:t>
      </w:r>
    </w:p>
    <w:p w14:paraId="422B6F75" w14:textId="77777777" w:rsidR="00465D6B" w:rsidRPr="00465D6B" w:rsidRDefault="00465D6B" w:rsidP="00465D6B">
      <w:pPr>
        <w:spacing w:line="360" w:lineRule="auto"/>
        <w:ind w:left="1440"/>
        <w:jc w:val="center"/>
        <w:rPr>
          <w:rFonts w:ascii="Arial" w:hAnsi="Arial" w:cs="Arial"/>
          <w:b/>
          <w:bCs/>
          <w:i/>
          <w:iCs/>
          <w:sz w:val="24"/>
          <w:szCs w:val="24"/>
        </w:rPr>
      </w:pPr>
      <w:r w:rsidRPr="00465D6B">
        <w:rPr>
          <w:rFonts w:ascii="Arial" w:hAnsi="Arial" w:cs="Arial"/>
          <w:b/>
          <w:bCs/>
          <w:i/>
          <w:iCs/>
          <w:sz w:val="24"/>
          <w:szCs w:val="24"/>
        </w:rPr>
        <w:t>0 = P</w:t>
      </w:r>
      <w:r w:rsidRPr="00465D6B">
        <w:rPr>
          <w:rFonts w:ascii="Arial" w:hAnsi="Arial" w:cs="Arial"/>
          <w:b/>
          <w:bCs/>
          <w:i/>
          <w:iCs/>
          <w:sz w:val="24"/>
          <w:szCs w:val="24"/>
          <w:vertAlign w:val="subscript"/>
        </w:rPr>
        <w:t>0</w:t>
      </w:r>
      <w:r w:rsidRPr="00465D6B">
        <w:rPr>
          <w:rFonts w:ascii="Arial" w:hAnsi="Arial" w:cs="Arial"/>
          <w:b/>
          <w:bCs/>
          <w:i/>
          <w:iCs/>
          <w:sz w:val="24"/>
          <w:szCs w:val="24"/>
        </w:rPr>
        <w:t xml:space="preserve"> + P</w:t>
      </w:r>
      <w:r w:rsidRPr="00465D6B">
        <w:rPr>
          <w:rFonts w:ascii="Arial" w:hAnsi="Arial" w:cs="Arial"/>
          <w:b/>
          <w:bCs/>
          <w:i/>
          <w:iCs/>
          <w:sz w:val="24"/>
          <w:szCs w:val="24"/>
          <w:vertAlign w:val="subscript"/>
        </w:rPr>
        <w:t>1</w:t>
      </w:r>
      <w:r w:rsidRPr="00465D6B">
        <w:rPr>
          <w:rFonts w:ascii="Arial" w:hAnsi="Arial" w:cs="Arial"/>
          <w:b/>
          <w:bCs/>
          <w:i/>
          <w:iCs/>
          <w:sz w:val="24"/>
          <w:szCs w:val="24"/>
        </w:rPr>
        <w:t>/(1+IRR) + P</w:t>
      </w:r>
      <w:r w:rsidRPr="00465D6B">
        <w:rPr>
          <w:rFonts w:ascii="Arial" w:hAnsi="Arial" w:cs="Arial"/>
          <w:b/>
          <w:bCs/>
          <w:i/>
          <w:iCs/>
          <w:sz w:val="24"/>
          <w:szCs w:val="24"/>
          <w:vertAlign w:val="subscript"/>
        </w:rPr>
        <w:t>2</w:t>
      </w:r>
      <w:r w:rsidRPr="00465D6B">
        <w:rPr>
          <w:rFonts w:ascii="Arial" w:hAnsi="Arial" w:cs="Arial"/>
          <w:b/>
          <w:bCs/>
          <w:i/>
          <w:iCs/>
          <w:sz w:val="24"/>
          <w:szCs w:val="24"/>
        </w:rPr>
        <w:t>/(1+IRR)</w:t>
      </w:r>
      <w:r w:rsidRPr="00465D6B">
        <w:rPr>
          <w:rFonts w:ascii="Arial" w:hAnsi="Arial" w:cs="Arial"/>
          <w:b/>
          <w:bCs/>
          <w:i/>
          <w:iCs/>
          <w:sz w:val="24"/>
          <w:szCs w:val="24"/>
          <w:vertAlign w:val="superscript"/>
        </w:rPr>
        <w:t>2</w:t>
      </w:r>
      <w:r w:rsidRPr="00465D6B">
        <w:rPr>
          <w:rFonts w:ascii="Arial" w:hAnsi="Arial" w:cs="Arial"/>
          <w:b/>
          <w:bCs/>
          <w:i/>
          <w:iCs/>
          <w:sz w:val="24"/>
          <w:szCs w:val="24"/>
        </w:rPr>
        <w:t xml:space="preserve"> + P</w:t>
      </w:r>
      <w:r w:rsidRPr="00465D6B">
        <w:rPr>
          <w:rFonts w:ascii="Arial" w:hAnsi="Arial" w:cs="Arial"/>
          <w:b/>
          <w:bCs/>
          <w:i/>
          <w:iCs/>
          <w:sz w:val="24"/>
          <w:szCs w:val="24"/>
          <w:vertAlign w:val="subscript"/>
        </w:rPr>
        <w:t>3</w:t>
      </w:r>
      <w:r w:rsidRPr="00465D6B">
        <w:rPr>
          <w:rFonts w:ascii="Arial" w:hAnsi="Arial" w:cs="Arial"/>
          <w:b/>
          <w:bCs/>
          <w:i/>
          <w:iCs/>
          <w:sz w:val="24"/>
          <w:szCs w:val="24"/>
        </w:rPr>
        <w:t>/(1+IRR)</w:t>
      </w:r>
      <w:r w:rsidRPr="00465D6B">
        <w:rPr>
          <w:rFonts w:ascii="Arial" w:hAnsi="Arial" w:cs="Arial"/>
          <w:b/>
          <w:bCs/>
          <w:i/>
          <w:iCs/>
          <w:sz w:val="24"/>
          <w:szCs w:val="24"/>
          <w:vertAlign w:val="superscript"/>
        </w:rPr>
        <w:t>3</w:t>
      </w:r>
      <w:r w:rsidRPr="00465D6B">
        <w:rPr>
          <w:rFonts w:ascii="Arial" w:hAnsi="Arial" w:cs="Arial"/>
          <w:b/>
          <w:bCs/>
          <w:i/>
          <w:iCs/>
          <w:sz w:val="24"/>
          <w:szCs w:val="24"/>
        </w:rPr>
        <w:t xml:space="preserve"> + . . . +P</w:t>
      </w:r>
      <w:r w:rsidRPr="00465D6B">
        <w:rPr>
          <w:rFonts w:ascii="Arial" w:hAnsi="Arial" w:cs="Arial"/>
          <w:b/>
          <w:bCs/>
          <w:i/>
          <w:iCs/>
          <w:sz w:val="24"/>
          <w:szCs w:val="24"/>
          <w:vertAlign w:val="subscript"/>
        </w:rPr>
        <w:t>n</w:t>
      </w:r>
      <w:r w:rsidRPr="00465D6B">
        <w:rPr>
          <w:rFonts w:ascii="Arial" w:hAnsi="Arial" w:cs="Arial"/>
          <w:b/>
          <w:bCs/>
          <w:i/>
          <w:iCs/>
          <w:sz w:val="24"/>
          <w:szCs w:val="24"/>
        </w:rPr>
        <w:t>/(1+IRR)</w:t>
      </w:r>
      <w:r w:rsidRPr="00465D6B">
        <w:rPr>
          <w:rFonts w:ascii="Arial" w:hAnsi="Arial" w:cs="Arial"/>
          <w:b/>
          <w:bCs/>
          <w:i/>
          <w:iCs/>
          <w:sz w:val="24"/>
          <w:szCs w:val="24"/>
          <w:vertAlign w:val="superscript"/>
        </w:rPr>
        <w:t xml:space="preserve"> n</w:t>
      </w:r>
    </w:p>
    <w:p w14:paraId="175FAA7B"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Where P</w:t>
      </w:r>
      <w:r w:rsidRPr="00465D6B">
        <w:rPr>
          <w:rFonts w:ascii="Arial" w:hAnsi="Arial" w:cs="Arial"/>
          <w:sz w:val="24"/>
          <w:szCs w:val="24"/>
          <w:vertAlign w:val="subscript"/>
        </w:rPr>
        <w:t>0</w:t>
      </w:r>
      <w:r w:rsidRPr="00465D6B">
        <w:rPr>
          <w:rFonts w:ascii="Arial" w:hAnsi="Arial" w:cs="Arial"/>
          <w:sz w:val="24"/>
          <w:szCs w:val="24"/>
        </w:rPr>
        <w:t>, P</w:t>
      </w:r>
      <w:r w:rsidRPr="00465D6B">
        <w:rPr>
          <w:rFonts w:ascii="Arial" w:hAnsi="Arial" w:cs="Arial"/>
          <w:sz w:val="24"/>
          <w:szCs w:val="24"/>
          <w:vertAlign w:val="subscript"/>
        </w:rPr>
        <w:t>1</w:t>
      </w:r>
      <w:r w:rsidRPr="00465D6B">
        <w:rPr>
          <w:rFonts w:ascii="Arial" w:hAnsi="Arial" w:cs="Arial"/>
          <w:sz w:val="24"/>
          <w:szCs w:val="24"/>
        </w:rPr>
        <w:t>…P</w:t>
      </w:r>
      <w:r w:rsidRPr="00465D6B">
        <w:rPr>
          <w:rFonts w:ascii="Arial" w:hAnsi="Arial" w:cs="Arial"/>
          <w:sz w:val="24"/>
          <w:szCs w:val="24"/>
          <w:vertAlign w:val="subscript"/>
        </w:rPr>
        <w:t>n</w:t>
      </w:r>
      <w:r w:rsidRPr="00465D6B">
        <w:rPr>
          <w:rFonts w:ascii="Arial" w:hAnsi="Arial" w:cs="Arial"/>
          <w:sz w:val="24"/>
          <w:szCs w:val="24"/>
        </w:rPr>
        <w:t xml:space="preserve"> equals cash flows in year 1, 2…. n; and IRR = project’s internal rate of return.</w:t>
      </w:r>
    </w:p>
    <w:p w14:paraId="4C1BF564"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 xml:space="preserve">Therefore, the IRR for Project C is calculated as shown below: </w:t>
      </w:r>
    </w:p>
    <w:p w14:paraId="67A1ECD2" w14:textId="77777777" w:rsidR="00465D6B" w:rsidRPr="00465D6B" w:rsidRDefault="00465D6B" w:rsidP="00465D6B">
      <w:pPr>
        <w:spacing w:line="360" w:lineRule="auto"/>
        <w:rPr>
          <w:rFonts w:ascii="Arial" w:hAnsi="Arial" w:cs="Arial"/>
          <w:sz w:val="24"/>
          <w:szCs w:val="24"/>
          <w:vertAlign w:val="superscript"/>
        </w:rPr>
      </w:pPr>
      <w:r w:rsidRPr="00465D6B">
        <w:rPr>
          <w:rFonts w:ascii="Arial" w:hAnsi="Arial" w:cs="Arial"/>
          <w:sz w:val="24"/>
          <w:szCs w:val="24"/>
        </w:rPr>
        <w:tab/>
      </w:r>
      <w:r w:rsidRPr="00465D6B">
        <w:rPr>
          <w:rFonts w:ascii="Arial" w:hAnsi="Arial" w:cs="Arial"/>
          <w:sz w:val="24"/>
          <w:szCs w:val="24"/>
        </w:rPr>
        <w:tab/>
        <w:t>0 = -2,000,000 + 462,950/(1+IRR) + 857,380/(1+IRR)</w:t>
      </w:r>
      <w:r w:rsidRPr="00465D6B">
        <w:rPr>
          <w:rFonts w:ascii="Arial" w:hAnsi="Arial" w:cs="Arial"/>
          <w:sz w:val="24"/>
          <w:szCs w:val="24"/>
          <w:vertAlign w:val="superscript"/>
        </w:rPr>
        <w:t>2</w:t>
      </w:r>
      <w:r w:rsidRPr="00465D6B">
        <w:rPr>
          <w:rFonts w:ascii="Arial" w:hAnsi="Arial" w:cs="Arial"/>
          <w:sz w:val="24"/>
          <w:szCs w:val="24"/>
        </w:rPr>
        <w:t xml:space="preserve"> + 1,190,760/(1+IRR)</w:t>
      </w:r>
      <w:r w:rsidRPr="00465D6B">
        <w:rPr>
          <w:rFonts w:ascii="Arial" w:hAnsi="Arial" w:cs="Arial"/>
          <w:sz w:val="24"/>
          <w:szCs w:val="24"/>
          <w:vertAlign w:val="superscript"/>
        </w:rPr>
        <w:t>3</w:t>
      </w:r>
      <w:r w:rsidRPr="00465D6B">
        <w:rPr>
          <w:rFonts w:ascii="Arial" w:hAnsi="Arial" w:cs="Arial"/>
          <w:sz w:val="24"/>
          <w:szCs w:val="24"/>
        </w:rPr>
        <w:t xml:space="preserve"> + 1,102,500/(1+IRR)</w:t>
      </w:r>
      <w:r w:rsidRPr="00465D6B">
        <w:rPr>
          <w:rFonts w:ascii="Arial" w:hAnsi="Arial" w:cs="Arial"/>
          <w:sz w:val="24"/>
          <w:szCs w:val="24"/>
          <w:vertAlign w:val="superscript"/>
        </w:rPr>
        <w:t>4</w:t>
      </w:r>
    </w:p>
    <w:p w14:paraId="4A0718EB" w14:textId="77777777" w:rsidR="00465D6B" w:rsidRPr="00465D6B" w:rsidRDefault="00465D6B" w:rsidP="00465D6B">
      <w:pPr>
        <w:spacing w:line="360" w:lineRule="auto"/>
        <w:rPr>
          <w:rStyle w:val="big"/>
          <w:rFonts w:ascii="Arial" w:hAnsi="Arial" w:cs="Arial"/>
          <w:b/>
          <w:bCs/>
          <w:sz w:val="24"/>
          <w:szCs w:val="24"/>
        </w:rPr>
      </w:pPr>
      <w:r w:rsidRPr="00465D6B">
        <w:rPr>
          <w:rFonts w:ascii="Arial" w:hAnsi="Arial" w:cs="Arial"/>
          <w:sz w:val="24"/>
          <w:szCs w:val="24"/>
        </w:rPr>
        <w:tab/>
      </w:r>
      <w:r w:rsidRPr="00465D6B">
        <w:rPr>
          <w:rFonts w:ascii="Arial" w:hAnsi="Arial" w:cs="Arial"/>
          <w:sz w:val="24"/>
          <w:szCs w:val="24"/>
        </w:rPr>
        <w:tab/>
      </w:r>
      <w:r w:rsidRPr="00465D6B">
        <w:rPr>
          <w:rFonts w:ascii="Arial" w:hAnsi="Arial" w:cs="Arial"/>
          <w:b/>
          <w:bCs/>
          <w:sz w:val="24"/>
          <w:szCs w:val="24"/>
          <w:highlight w:val="yellow"/>
        </w:rPr>
        <w:t xml:space="preserve">IRR = </w:t>
      </w:r>
      <w:r w:rsidRPr="00465D6B">
        <w:rPr>
          <w:rStyle w:val="big"/>
          <w:rFonts w:ascii="Arial" w:hAnsi="Arial" w:cs="Arial"/>
          <w:b/>
          <w:bCs/>
          <w:sz w:val="24"/>
          <w:szCs w:val="24"/>
          <w:highlight w:val="yellow"/>
        </w:rPr>
        <w:t>24.52%</w:t>
      </w:r>
    </w:p>
    <w:p w14:paraId="0D53C70A" w14:textId="77777777" w:rsidR="00465D6B" w:rsidRPr="00465D6B" w:rsidRDefault="00465D6B" w:rsidP="00465D6B">
      <w:pPr>
        <w:spacing w:line="360" w:lineRule="auto"/>
        <w:rPr>
          <w:rStyle w:val="big"/>
          <w:rFonts w:ascii="Arial" w:hAnsi="Arial" w:cs="Arial"/>
          <w:sz w:val="24"/>
          <w:szCs w:val="24"/>
        </w:rPr>
      </w:pPr>
      <w:r w:rsidRPr="00465D6B">
        <w:rPr>
          <w:rStyle w:val="big"/>
          <w:rFonts w:ascii="Arial" w:hAnsi="Arial" w:cs="Arial"/>
          <w:sz w:val="24"/>
          <w:szCs w:val="24"/>
        </w:rPr>
        <w:t xml:space="preserve">Therefore, the rate of growth Project C is expected to generate is </w:t>
      </w:r>
      <w:r w:rsidRPr="00465D6B">
        <w:rPr>
          <w:rStyle w:val="big"/>
          <w:rFonts w:ascii="Arial" w:hAnsi="Arial" w:cs="Arial"/>
          <w:sz w:val="24"/>
          <w:szCs w:val="24"/>
          <w:highlight w:val="yellow"/>
        </w:rPr>
        <w:t>24.52%</w:t>
      </w:r>
      <w:r w:rsidRPr="00465D6B">
        <w:rPr>
          <w:rStyle w:val="big"/>
          <w:rFonts w:ascii="Arial" w:hAnsi="Arial" w:cs="Arial"/>
          <w:sz w:val="24"/>
          <w:szCs w:val="24"/>
        </w:rPr>
        <w:t xml:space="preserve">. Notably, it is clear IRR is greater than project’s cost of capital; that means the project will be profitable and should be undertaken. </w:t>
      </w:r>
    </w:p>
    <w:p w14:paraId="6207920A" w14:textId="77777777" w:rsidR="00465D6B" w:rsidRPr="00465D6B" w:rsidRDefault="00465D6B" w:rsidP="00465D6B">
      <w:pPr>
        <w:spacing w:line="360" w:lineRule="auto"/>
        <w:rPr>
          <w:rStyle w:val="big"/>
          <w:rFonts w:ascii="Arial" w:hAnsi="Arial" w:cs="Arial"/>
          <w:b/>
          <w:bCs/>
          <w:sz w:val="24"/>
          <w:szCs w:val="24"/>
        </w:rPr>
      </w:pPr>
      <w:r w:rsidRPr="00465D6B">
        <w:rPr>
          <w:rStyle w:val="big"/>
          <w:rFonts w:ascii="Arial" w:hAnsi="Arial" w:cs="Arial"/>
          <w:b/>
          <w:bCs/>
          <w:sz w:val="24"/>
          <w:szCs w:val="24"/>
        </w:rPr>
        <w:t>Choice of NPV</w:t>
      </w:r>
    </w:p>
    <w:p w14:paraId="577A6771" w14:textId="1A5ED45A" w:rsidR="00465D6B" w:rsidRPr="00465D6B" w:rsidRDefault="00465D6B" w:rsidP="00465D6B">
      <w:pPr>
        <w:spacing w:line="360" w:lineRule="auto"/>
        <w:rPr>
          <w:rFonts w:ascii="Arial" w:hAnsi="Arial" w:cs="Arial"/>
          <w:sz w:val="24"/>
          <w:szCs w:val="24"/>
          <w:lang w:val="en-US"/>
        </w:rPr>
      </w:pPr>
      <w:r>
        <w:rPr>
          <w:rFonts w:ascii="Arial" w:hAnsi="Arial" w:cs="Arial"/>
          <w:sz w:val="24"/>
          <w:szCs w:val="24"/>
          <w:lang w:val="en-US"/>
        </w:rPr>
        <w:t>For this case study, NPV utilis</w:t>
      </w:r>
      <w:r w:rsidRPr="00465D6B">
        <w:rPr>
          <w:rFonts w:ascii="Arial" w:hAnsi="Arial" w:cs="Arial"/>
          <w:sz w:val="24"/>
          <w:szCs w:val="24"/>
          <w:lang w:val="en-US"/>
        </w:rPr>
        <w:t xml:space="preserve">es discounted cash flows to evaluate investment projects – where a project with the highest value has been accepted over the ones with a lower value. The use of discounted cash flows makes this approach an accurate technique for capital budgeting as it considers the aspect of time value of money as well as risk valuables </w:t>
      </w:r>
      <w:r w:rsidRPr="00465D6B">
        <w:rPr>
          <w:rFonts w:ascii="Arial" w:hAnsi="Arial" w:cs="Arial"/>
          <w:sz w:val="24"/>
          <w:szCs w:val="24"/>
        </w:rPr>
        <w:t>(</w:t>
      </w:r>
      <w:proofErr w:type="spellStart"/>
      <w:r w:rsidRPr="00465D6B">
        <w:rPr>
          <w:rFonts w:ascii="Arial" w:hAnsi="Arial" w:cs="Arial"/>
          <w:sz w:val="24"/>
          <w:szCs w:val="24"/>
        </w:rPr>
        <w:t>Bierman</w:t>
      </w:r>
      <w:proofErr w:type="spellEnd"/>
      <w:r w:rsidRPr="00465D6B">
        <w:rPr>
          <w:rFonts w:ascii="Arial" w:hAnsi="Arial" w:cs="Arial"/>
          <w:sz w:val="24"/>
          <w:szCs w:val="24"/>
        </w:rPr>
        <w:t xml:space="preserve"> &amp; </w:t>
      </w:r>
      <w:proofErr w:type="spellStart"/>
      <w:r w:rsidRPr="00465D6B">
        <w:rPr>
          <w:rFonts w:ascii="Arial" w:hAnsi="Arial" w:cs="Arial"/>
          <w:sz w:val="24"/>
          <w:szCs w:val="24"/>
        </w:rPr>
        <w:t>Smidt</w:t>
      </w:r>
      <w:proofErr w:type="spellEnd"/>
      <w:r w:rsidRPr="00465D6B">
        <w:rPr>
          <w:rFonts w:ascii="Arial" w:hAnsi="Arial" w:cs="Arial"/>
          <w:sz w:val="24"/>
          <w:szCs w:val="24"/>
        </w:rPr>
        <w:t>, 2012)</w:t>
      </w:r>
      <w:r w:rsidRPr="00465D6B">
        <w:rPr>
          <w:rFonts w:ascii="Arial" w:hAnsi="Arial" w:cs="Arial"/>
          <w:sz w:val="24"/>
          <w:szCs w:val="24"/>
          <w:lang w:val="en-US"/>
        </w:rPr>
        <w:t xml:space="preserve">. The core purpose for choosing this technique in evaluating proposed investments is because it is most suitable for independent and mutually exclusive projects. Besides, NPV considers that aspect time value of money. James PLC should follow this method because it shows future cash flows of the project; hence, it easy to choose the one that generates higher cash flows with highest net present value. </w:t>
      </w:r>
    </w:p>
    <w:p w14:paraId="0DDF43C7" w14:textId="77777777" w:rsidR="00465D6B" w:rsidRPr="00465D6B" w:rsidRDefault="00465D6B" w:rsidP="00465D6B">
      <w:pPr>
        <w:spacing w:line="360" w:lineRule="auto"/>
        <w:rPr>
          <w:rFonts w:ascii="Arial" w:hAnsi="Arial" w:cs="Arial"/>
          <w:b/>
          <w:bCs/>
          <w:sz w:val="24"/>
          <w:szCs w:val="24"/>
          <w:lang w:val="en-US"/>
        </w:rPr>
      </w:pPr>
      <w:r w:rsidRPr="00465D6B">
        <w:rPr>
          <w:rFonts w:ascii="Arial" w:hAnsi="Arial" w:cs="Arial"/>
          <w:b/>
          <w:bCs/>
          <w:sz w:val="24"/>
          <w:szCs w:val="24"/>
          <w:lang w:val="en-US"/>
        </w:rPr>
        <w:t>Use of Non-discounting Methods</w:t>
      </w:r>
    </w:p>
    <w:p w14:paraId="4937E815"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lang w:val="en-US"/>
        </w:rPr>
        <w:t>These capital budgeting methods which do not explicitly put into consideration the factor of the time value of money. That means</w:t>
      </w:r>
      <w:proofErr w:type="gramStart"/>
      <w:r w:rsidRPr="00465D6B">
        <w:rPr>
          <w:rFonts w:ascii="Arial" w:hAnsi="Arial" w:cs="Arial"/>
          <w:sz w:val="24"/>
          <w:szCs w:val="24"/>
          <w:lang w:val="en-US"/>
        </w:rPr>
        <w:t>,</w:t>
      </w:r>
      <w:proofErr w:type="gramEnd"/>
      <w:r w:rsidRPr="00465D6B">
        <w:rPr>
          <w:rFonts w:ascii="Arial" w:hAnsi="Arial" w:cs="Arial"/>
          <w:sz w:val="24"/>
          <w:szCs w:val="24"/>
          <w:lang w:val="en-US"/>
        </w:rPr>
        <w:t xml:space="preserve"> they assume that the pounds earned </w:t>
      </w:r>
      <w:r w:rsidRPr="00465D6B">
        <w:rPr>
          <w:rFonts w:ascii="Arial" w:hAnsi="Arial" w:cs="Arial"/>
          <w:sz w:val="24"/>
          <w:szCs w:val="24"/>
          <w:lang w:val="en-US"/>
        </w:rPr>
        <w:lastRenderedPageBreak/>
        <w:t>in the future have the same value with the pounds which have been invested several years earlier. One good example of a non-discounting method that has gained popularity is payback method (</w:t>
      </w:r>
      <w:proofErr w:type="spellStart"/>
      <w:r w:rsidRPr="00465D6B">
        <w:rPr>
          <w:rFonts w:ascii="Arial" w:hAnsi="Arial" w:cs="Arial"/>
          <w:sz w:val="24"/>
          <w:szCs w:val="24"/>
        </w:rPr>
        <w:t>Durnev</w:t>
      </w:r>
      <w:proofErr w:type="spellEnd"/>
      <w:r w:rsidRPr="00465D6B">
        <w:rPr>
          <w:rFonts w:ascii="Arial" w:hAnsi="Arial" w:cs="Arial"/>
          <w:sz w:val="24"/>
          <w:szCs w:val="24"/>
        </w:rPr>
        <w:t xml:space="preserve">, </w:t>
      </w:r>
      <w:proofErr w:type="spellStart"/>
      <w:r w:rsidRPr="00465D6B">
        <w:rPr>
          <w:rFonts w:ascii="Arial" w:hAnsi="Arial" w:cs="Arial"/>
          <w:sz w:val="24"/>
          <w:szCs w:val="24"/>
        </w:rPr>
        <w:t>Morck</w:t>
      </w:r>
      <w:proofErr w:type="spellEnd"/>
      <w:r w:rsidRPr="00465D6B">
        <w:rPr>
          <w:rFonts w:ascii="Arial" w:hAnsi="Arial" w:cs="Arial"/>
          <w:sz w:val="24"/>
          <w:szCs w:val="24"/>
        </w:rPr>
        <w:t>, &amp; Yeung, 2004)</w:t>
      </w:r>
      <w:r w:rsidRPr="00465D6B">
        <w:rPr>
          <w:rFonts w:ascii="Arial" w:hAnsi="Arial" w:cs="Arial"/>
          <w:sz w:val="24"/>
          <w:szCs w:val="24"/>
          <w:lang w:val="en-US"/>
        </w:rPr>
        <w:t xml:space="preserve">. This method only calculates the number of years an investment will take to repay or return capital that is equal to one invested. For instance, if a project used </w:t>
      </w:r>
      <w:r w:rsidRPr="00465D6B">
        <w:rPr>
          <w:rFonts w:ascii="Arial" w:hAnsi="Arial" w:cs="Arial"/>
          <w:sz w:val="24"/>
          <w:szCs w:val="24"/>
        </w:rPr>
        <w:t xml:space="preserve">£100,000 and generates cash flows of £50,000, its payback period will be two years (£50,000 + £50,000 = £100,000). It answers the question, how long will take the investment to return capital invested? However, non-discounting methods are concerned with profitability of the project. For instance, payback does ignore the not only time value of money but also ignores cash flows received after the project has paid cash invested. Return on investment (ROI) and accounting rate of return (ARR) are other capital budgeting techniques that do not consider discounting future cash flows. If James PLC opted to use the payback period to determine how long Project C will take to repay the initial capital invested, the following would be the computations. </w:t>
      </w:r>
    </w:p>
    <w:p w14:paraId="00CF4FB7" w14:textId="77777777" w:rsidR="00465D6B" w:rsidRPr="00465D6B" w:rsidRDefault="00465D6B" w:rsidP="00465D6B">
      <w:pPr>
        <w:spacing w:line="360" w:lineRule="auto"/>
        <w:rPr>
          <w:rFonts w:ascii="Arial" w:hAnsi="Arial" w:cs="Arial"/>
          <w:b/>
          <w:bCs/>
          <w:i/>
          <w:iCs/>
          <w:sz w:val="24"/>
          <w:szCs w:val="24"/>
        </w:rPr>
      </w:pPr>
      <w:r w:rsidRPr="00465D6B">
        <w:rPr>
          <w:rFonts w:ascii="Arial" w:hAnsi="Arial" w:cs="Arial"/>
          <w:b/>
          <w:bCs/>
          <w:i/>
          <w:iCs/>
          <w:sz w:val="24"/>
          <w:szCs w:val="24"/>
        </w:rPr>
        <w:t>Payback period = initial investment /net cash flows</w:t>
      </w:r>
    </w:p>
    <w:tbl>
      <w:tblPr>
        <w:tblStyle w:val="TableGrid"/>
        <w:tblW w:w="0" w:type="auto"/>
        <w:tblLook w:val="04A0" w:firstRow="1" w:lastRow="0" w:firstColumn="1" w:lastColumn="0" w:noHBand="0" w:noVBand="1"/>
      </w:tblPr>
      <w:tblGrid>
        <w:gridCol w:w="1379"/>
        <w:gridCol w:w="1689"/>
        <w:gridCol w:w="1379"/>
        <w:gridCol w:w="2040"/>
        <w:gridCol w:w="2127"/>
      </w:tblGrid>
      <w:tr w:rsidR="00465D6B" w:rsidRPr="00465D6B" w14:paraId="08A89B05" w14:textId="77777777" w:rsidTr="00465D6B">
        <w:trPr>
          <w:trHeight w:val="440"/>
        </w:trPr>
        <w:tc>
          <w:tcPr>
            <w:tcW w:w="1379" w:type="dxa"/>
            <w:noWrap/>
            <w:hideMark/>
          </w:tcPr>
          <w:p w14:paraId="2C31CA0B"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Year</w:t>
            </w:r>
          </w:p>
        </w:tc>
        <w:tc>
          <w:tcPr>
            <w:tcW w:w="1689" w:type="dxa"/>
            <w:noWrap/>
            <w:hideMark/>
          </w:tcPr>
          <w:p w14:paraId="0D20C212"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Cash flow</w:t>
            </w:r>
          </w:p>
        </w:tc>
        <w:tc>
          <w:tcPr>
            <w:tcW w:w="1379" w:type="dxa"/>
            <w:noWrap/>
            <w:hideMark/>
          </w:tcPr>
          <w:p w14:paraId="3CC1E2C0"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PVIF</w:t>
            </w:r>
          </w:p>
        </w:tc>
        <w:tc>
          <w:tcPr>
            <w:tcW w:w="2040" w:type="dxa"/>
            <w:noWrap/>
            <w:hideMark/>
          </w:tcPr>
          <w:p w14:paraId="7524B667"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Present Value</w:t>
            </w:r>
          </w:p>
        </w:tc>
        <w:tc>
          <w:tcPr>
            <w:tcW w:w="2127" w:type="dxa"/>
            <w:noWrap/>
            <w:hideMark/>
          </w:tcPr>
          <w:p w14:paraId="1C767D10"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Cumulative PV</w:t>
            </w:r>
          </w:p>
        </w:tc>
      </w:tr>
      <w:tr w:rsidR="00465D6B" w:rsidRPr="00465D6B" w14:paraId="3F559471" w14:textId="77777777" w:rsidTr="00465D6B">
        <w:trPr>
          <w:trHeight w:val="440"/>
        </w:trPr>
        <w:tc>
          <w:tcPr>
            <w:tcW w:w="1379" w:type="dxa"/>
            <w:noWrap/>
            <w:hideMark/>
          </w:tcPr>
          <w:p w14:paraId="474FB7E1"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0</w:t>
            </w:r>
          </w:p>
        </w:tc>
        <w:tc>
          <w:tcPr>
            <w:tcW w:w="1689" w:type="dxa"/>
            <w:noWrap/>
            <w:hideMark/>
          </w:tcPr>
          <w:p w14:paraId="584DFAE5"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-2,000,000</w:t>
            </w:r>
          </w:p>
        </w:tc>
        <w:tc>
          <w:tcPr>
            <w:tcW w:w="1379" w:type="dxa"/>
            <w:noWrap/>
            <w:hideMark/>
          </w:tcPr>
          <w:p w14:paraId="429EF9F5"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w:t>
            </w:r>
          </w:p>
        </w:tc>
        <w:tc>
          <w:tcPr>
            <w:tcW w:w="2040" w:type="dxa"/>
            <w:noWrap/>
            <w:hideMark/>
          </w:tcPr>
          <w:p w14:paraId="67E812E1"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-2,000,000</w:t>
            </w:r>
          </w:p>
        </w:tc>
        <w:tc>
          <w:tcPr>
            <w:tcW w:w="2127" w:type="dxa"/>
            <w:noWrap/>
            <w:hideMark/>
          </w:tcPr>
          <w:p w14:paraId="4D292AA3"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-2,000,000</w:t>
            </w:r>
          </w:p>
        </w:tc>
      </w:tr>
      <w:tr w:rsidR="00465D6B" w:rsidRPr="00465D6B" w14:paraId="4B23C1F6" w14:textId="77777777" w:rsidTr="00465D6B">
        <w:trPr>
          <w:trHeight w:val="440"/>
        </w:trPr>
        <w:tc>
          <w:tcPr>
            <w:tcW w:w="1379" w:type="dxa"/>
            <w:noWrap/>
            <w:hideMark/>
          </w:tcPr>
          <w:p w14:paraId="512C9C19"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w:t>
            </w:r>
          </w:p>
        </w:tc>
        <w:tc>
          <w:tcPr>
            <w:tcW w:w="1689" w:type="dxa"/>
            <w:noWrap/>
            <w:hideMark/>
          </w:tcPr>
          <w:p w14:paraId="376D5E3F"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500,000</w:t>
            </w:r>
          </w:p>
        </w:tc>
        <w:tc>
          <w:tcPr>
            <w:tcW w:w="1379" w:type="dxa"/>
            <w:noWrap/>
            <w:hideMark/>
          </w:tcPr>
          <w:p w14:paraId="79C577B1"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0.9259</w:t>
            </w:r>
          </w:p>
        </w:tc>
        <w:tc>
          <w:tcPr>
            <w:tcW w:w="2040" w:type="dxa"/>
            <w:noWrap/>
            <w:hideMark/>
          </w:tcPr>
          <w:p w14:paraId="278DB537"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462,950</w:t>
            </w:r>
          </w:p>
        </w:tc>
        <w:tc>
          <w:tcPr>
            <w:tcW w:w="2127" w:type="dxa"/>
            <w:noWrap/>
            <w:hideMark/>
          </w:tcPr>
          <w:p w14:paraId="026DD8D3"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-1,537,050</w:t>
            </w:r>
          </w:p>
        </w:tc>
      </w:tr>
      <w:tr w:rsidR="00465D6B" w:rsidRPr="00465D6B" w14:paraId="70BE0AE9" w14:textId="77777777" w:rsidTr="00465D6B">
        <w:trPr>
          <w:trHeight w:val="440"/>
        </w:trPr>
        <w:tc>
          <w:tcPr>
            <w:tcW w:w="1379" w:type="dxa"/>
            <w:noWrap/>
            <w:hideMark/>
          </w:tcPr>
          <w:p w14:paraId="35D4D3C3"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2</w:t>
            </w:r>
          </w:p>
        </w:tc>
        <w:tc>
          <w:tcPr>
            <w:tcW w:w="1689" w:type="dxa"/>
            <w:noWrap/>
            <w:hideMark/>
          </w:tcPr>
          <w:p w14:paraId="40CC9EB4"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1,000,000</w:t>
            </w:r>
          </w:p>
        </w:tc>
        <w:tc>
          <w:tcPr>
            <w:tcW w:w="1379" w:type="dxa"/>
            <w:noWrap/>
            <w:hideMark/>
          </w:tcPr>
          <w:p w14:paraId="04F14872"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0.8573</w:t>
            </w:r>
          </w:p>
        </w:tc>
        <w:tc>
          <w:tcPr>
            <w:tcW w:w="2040" w:type="dxa"/>
            <w:noWrap/>
            <w:hideMark/>
          </w:tcPr>
          <w:p w14:paraId="3774E3DA"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857,300</w:t>
            </w:r>
          </w:p>
        </w:tc>
        <w:tc>
          <w:tcPr>
            <w:tcW w:w="2127" w:type="dxa"/>
            <w:noWrap/>
            <w:hideMark/>
          </w:tcPr>
          <w:p w14:paraId="1A560301"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-679,750</w:t>
            </w:r>
          </w:p>
        </w:tc>
      </w:tr>
      <w:tr w:rsidR="00465D6B" w:rsidRPr="00465D6B" w14:paraId="45F952DD" w14:textId="77777777" w:rsidTr="00465D6B">
        <w:trPr>
          <w:trHeight w:val="440"/>
        </w:trPr>
        <w:tc>
          <w:tcPr>
            <w:tcW w:w="1379" w:type="dxa"/>
            <w:noWrap/>
            <w:hideMark/>
          </w:tcPr>
          <w:p w14:paraId="45B58CC6"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3</w:t>
            </w:r>
          </w:p>
        </w:tc>
        <w:tc>
          <w:tcPr>
            <w:tcW w:w="1689" w:type="dxa"/>
            <w:noWrap/>
            <w:hideMark/>
          </w:tcPr>
          <w:p w14:paraId="60E652A2"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1,500,000</w:t>
            </w:r>
          </w:p>
        </w:tc>
        <w:tc>
          <w:tcPr>
            <w:tcW w:w="1379" w:type="dxa"/>
            <w:noWrap/>
            <w:hideMark/>
          </w:tcPr>
          <w:p w14:paraId="7EFCEE5C"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0.7938</w:t>
            </w:r>
          </w:p>
        </w:tc>
        <w:tc>
          <w:tcPr>
            <w:tcW w:w="2040" w:type="dxa"/>
            <w:noWrap/>
            <w:hideMark/>
          </w:tcPr>
          <w:p w14:paraId="485133A3"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1,190,700</w:t>
            </w:r>
          </w:p>
        </w:tc>
        <w:tc>
          <w:tcPr>
            <w:tcW w:w="2127" w:type="dxa"/>
            <w:noWrap/>
            <w:hideMark/>
          </w:tcPr>
          <w:p w14:paraId="6E36C390"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510,950</w:t>
            </w:r>
          </w:p>
        </w:tc>
      </w:tr>
      <w:tr w:rsidR="00465D6B" w:rsidRPr="00465D6B" w14:paraId="74B93F35" w14:textId="77777777" w:rsidTr="00465D6B">
        <w:trPr>
          <w:trHeight w:val="440"/>
        </w:trPr>
        <w:tc>
          <w:tcPr>
            <w:tcW w:w="1379" w:type="dxa"/>
            <w:noWrap/>
            <w:hideMark/>
          </w:tcPr>
          <w:p w14:paraId="08ECC32D"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4</w:t>
            </w:r>
          </w:p>
        </w:tc>
        <w:tc>
          <w:tcPr>
            <w:tcW w:w="1689" w:type="dxa"/>
            <w:noWrap/>
            <w:hideMark/>
          </w:tcPr>
          <w:p w14:paraId="7E08557C"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1,500,000</w:t>
            </w:r>
          </w:p>
        </w:tc>
        <w:tc>
          <w:tcPr>
            <w:tcW w:w="1379" w:type="dxa"/>
            <w:noWrap/>
            <w:hideMark/>
          </w:tcPr>
          <w:p w14:paraId="20C46278"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0.7350</w:t>
            </w:r>
          </w:p>
        </w:tc>
        <w:tc>
          <w:tcPr>
            <w:tcW w:w="2040" w:type="dxa"/>
            <w:noWrap/>
            <w:hideMark/>
          </w:tcPr>
          <w:p w14:paraId="29026924"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1,102,500</w:t>
            </w:r>
          </w:p>
        </w:tc>
        <w:tc>
          <w:tcPr>
            <w:tcW w:w="2127" w:type="dxa"/>
            <w:noWrap/>
            <w:hideMark/>
          </w:tcPr>
          <w:p w14:paraId="5C8851DC"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1,613,450</w:t>
            </w:r>
          </w:p>
        </w:tc>
      </w:tr>
    </w:tbl>
    <w:p w14:paraId="01BACFBD"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ab/>
      </w:r>
    </w:p>
    <w:p w14:paraId="76C04652"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 xml:space="preserve">The payback period will be </w:t>
      </w:r>
      <w:r w:rsidRPr="00465D6B">
        <w:rPr>
          <w:rFonts w:ascii="Arial" w:hAnsi="Arial" w:cs="Arial"/>
          <w:sz w:val="24"/>
          <w:szCs w:val="24"/>
          <w:highlight w:val="yellow"/>
        </w:rPr>
        <w:t>2 years and 6 months</w:t>
      </w:r>
      <w:r w:rsidRPr="00465D6B">
        <w:rPr>
          <w:rFonts w:ascii="Arial" w:hAnsi="Arial" w:cs="Arial"/>
          <w:sz w:val="24"/>
          <w:szCs w:val="24"/>
        </w:rPr>
        <w:t>.</w:t>
      </w:r>
    </w:p>
    <w:p w14:paraId="4956AEA1" w14:textId="77777777" w:rsidR="00465D6B" w:rsidRPr="00465D6B" w:rsidRDefault="00465D6B" w:rsidP="00465D6B">
      <w:pPr>
        <w:spacing w:line="360" w:lineRule="auto"/>
        <w:rPr>
          <w:rFonts w:ascii="Arial" w:hAnsi="Arial" w:cs="Arial"/>
          <w:b/>
          <w:bCs/>
          <w:sz w:val="24"/>
          <w:szCs w:val="24"/>
        </w:rPr>
      </w:pPr>
      <w:r w:rsidRPr="00465D6B">
        <w:rPr>
          <w:rFonts w:ascii="Arial" w:hAnsi="Arial" w:cs="Arial"/>
          <w:b/>
          <w:bCs/>
          <w:sz w:val="24"/>
          <w:szCs w:val="24"/>
        </w:rPr>
        <w:t>NPV Divisible Projects</w:t>
      </w:r>
    </w:p>
    <w:p w14:paraId="1D76240B"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 xml:space="preserve">To calculate the NPV for Project C, first we will calculate depreciation expense on a </w:t>
      </w:r>
      <w:bookmarkStart w:id="3" w:name="_GoBack"/>
      <w:r w:rsidRPr="00465D6B">
        <w:rPr>
          <w:rFonts w:ascii="Arial" w:hAnsi="Arial" w:cs="Arial"/>
          <w:sz w:val="24"/>
          <w:szCs w:val="24"/>
        </w:rPr>
        <w:t>straight-line basis:</w:t>
      </w:r>
    </w:p>
    <w:p w14:paraId="58516D65"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Depreciation expense = (cost of the project – salvage value)/life of the project</w:t>
      </w:r>
    </w:p>
    <w:p w14:paraId="46DEACC2"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ab/>
      </w:r>
      <w:r w:rsidRPr="00465D6B">
        <w:rPr>
          <w:rFonts w:ascii="Arial" w:hAnsi="Arial" w:cs="Arial"/>
          <w:sz w:val="24"/>
          <w:szCs w:val="24"/>
        </w:rPr>
        <w:tab/>
      </w:r>
      <w:r w:rsidRPr="00465D6B">
        <w:rPr>
          <w:rFonts w:ascii="Arial" w:hAnsi="Arial" w:cs="Arial"/>
          <w:sz w:val="24"/>
          <w:szCs w:val="24"/>
        </w:rPr>
        <w:tab/>
        <w:t>= (£2,500,000 – 0) / 4 years</w:t>
      </w:r>
    </w:p>
    <w:p w14:paraId="67966BFC"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ab/>
      </w:r>
      <w:r w:rsidRPr="00465D6B">
        <w:rPr>
          <w:rFonts w:ascii="Arial" w:hAnsi="Arial" w:cs="Arial"/>
          <w:sz w:val="24"/>
          <w:szCs w:val="24"/>
        </w:rPr>
        <w:tab/>
      </w:r>
      <w:r w:rsidRPr="00465D6B">
        <w:rPr>
          <w:rFonts w:ascii="Arial" w:hAnsi="Arial" w:cs="Arial"/>
          <w:sz w:val="24"/>
          <w:szCs w:val="24"/>
        </w:rPr>
        <w:tab/>
        <w:t>= £625,000</w:t>
      </w:r>
    </w:p>
    <w:bookmarkEnd w:id="3"/>
    <w:p w14:paraId="10B996C4"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lastRenderedPageBreak/>
        <w:t>Revenues for the project = £4,500,000, Cost of project = £2,500,000, Depreciation expense = £625,000</w:t>
      </w:r>
    </w:p>
    <w:p w14:paraId="3AD9861D"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Project before tax = 4,500,000 – 2,500,000 – 625,000</w:t>
      </w:r>
    </w:p>
    <w:p w14:paraId="45FAE71E"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ab/>
      </w:r>
      <w:r w:rsidRPr="00465D6B">
        <w:rPr>
          <w:rFonts w:ascii="Arial" w:hAnsi="Arial" w:cs="Arial"/>
          <w:sz w:val="24"/>
          <w:szCs w:val="24"/>
        </w:rPr>
        <w:tab/>
      </w:r>
      <w:r w:rsidRPr="00465D6B">
        <w:rPr>
          <w:rFonts w:ascii="Arial" w:hAnsi="Arial" w:cs="Arial"/>
          <w:sz w:val="24"/>
          <w:szCs w:val="24"/>
        </w:rPr>
        <w:tab/>
        <w:t>= £1,375,000</w:t>
      </w:r>
    </w:p>
    <w:p w14:paraId="458148E8"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ab/>
        <w:t xml:space="preserve">Tax = 1,375,000 * 20% </w:t>
      </w:r>
    </w:p>
    <w:p w14:paraId="0BD6D269"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ab/>
      </w:r>
      <w:r w:rsidRPr="00465D6B">
        <w:rPr>
          <w:rFonts w:ascii="Arial" w:hAnsi="Arial" w:cs="Arial"/>
          <w:sz w:val="24"/>
          <w:szCs w:val="24"/>
        </w:rPr>
        <w:tab/>
        <w:t>Tax = £275,000</w:t>
      </w:r>
    </w:p>
    <w:p w14:paraId="4B52CFB9"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Project before tax = 1,375,000 – 275,000</w:t>
      </w:r>
    </w:p>
    <w:p w14:paraId="42F7D448"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ab/>
      </w:r>
      <w:r w:rsidRPr="00465D6B">
        <w:rPr>
          <w:rFonts w:ascii="Arial" w:hAnsi="Arial" w:cs="Arial"/>
          <w:sz w:val="24"/>
          <w:szCs w:val="24"/>
        </w:rPr>
        <w:tab/>
        <w:t>= £1,100,000</w:t>
      </w:r>
    </w:p>
    <w:p w14:paraId="3897B376"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Then we add depreciation value since it is a non-cash expense:</w:t>
      </w:r>
    </w:p>
    <w:p w14:paraId="2ECC7F86"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ab/>
        <w:t>= 1,100,000 + 625,000</w:t>
      </w:r>
    </w:p>
    <w:p w14:paraId="7645005B"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ab/>
        <w:t>= £1,725,000</w:t>
      </w:r>
    </w:p>
    <w:p w14:paraId="502BAA9A"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 xml:space="preserve">Therefore, after-tax cash flow is 1,725,000. </w:t>
      </w:r>
    </w:p>
    <w:p w14:paraId="363CC66A"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NPV= PV of cash flows – cash outlays</w:t>
      </w:r>
    </w:p>
    <w:p w14:paraId="54949CA2"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 xml:space="preserve">NPV = 2,500,000 - 1,725,000/1.08 </w:t>
      </w:r>
      <w:r w:rsidRPr="00465D6B">
        <w:rPr>
          <w:rFonts w:ascii="Arial" w:hAnsi="Arial" w:cs="Arial"/>
          <w:sz w:val="24"/>
          <w:szCs w:val="24"/>
        </w:rPr>
        <w:softHyphen/>
        <w:t>+ 1,725,000/ (1.08) ^2 + 1,725,000</w:t>
      </w:r>
      <w:proofErr w:type="gramStart"/>
      <w:r w:rsidRPr="00465D6B">
        <w:rPr>
          <w:rFonts w:ascii="Arial" w:hAnsi="Arial" w:cs="Arial"/>
          <w:sz w:val="24"/>
          <w:szCs w:val="24"/>
        </w:rPr>
        <w:t>/(</w:t>
      </w:r>
      <w:proofErr w:type="gramEnd"/>
      <w:r w:rsidRPr="00465D6B">
        <w:rPr>
          <w:rFonts w:ascii="Arial" w:hAnsi="Arial" w:cs="Arial"/>
          <w:sz w:val="24"/>
          <w:szCs w:val="24"/>
        </w:rPr>
        <w:t>1.08)^3 + 1,725,000/(1.08)^4</w:t>
      </w:r>
    </w:p>
    <w:p w14:paraId="6449E1AB" w14:textId="77777777" w:rsidR="00465D6B" w:rsidRPr="00465D6B" w:rsidRDefault="00465D6B" w:rsidP="00465D6B">
      <w:pPr>
        <w:spacing w:line="360" w:lineRule="auto"/>
        <w:rPr>
          <w:rFonts w:ascii="Arial" w:hAnsi="Arial" w:cs="Arial"/>
          <w:sz w:val="24"/>
          <w:szCs w:val="24"/>
        </w:rPr>
      </w:pPr>
      <w:r w:rsidRPr="00465D6B">
        <w:rPr>
          <w:rFonts w:ascii="Arial" w:hAnsi="Arial" w:cs="Arial"/>
          <w:sz w:val="24"/>
          <w:szCs w:val="24"/>
        </w:rPr>
        <w:tab/>
      </w:r>
      <w:r w:rsidRPr="00465D6B">
        <w:rPr>
          <w:rFonts w:ascii="Arial" w:hAnsi="Arial" w:cs="Arial"/>
          <w:sz w:val="24"/>
          <w:szCs w:val="24"/>
        </w:rPr>
        <w:tab/>
        <w:t>NPV =</w:t>
      </w:r>
      <w:r w:rsidRPr="00465D6B">
        <w:rPr>
          <w:rFonts w:ascii="Arial" w:hAnsi="Arial" w:cs="Arial"/>
          <w:sz w:val="24"/>
          <w:szCs w:val="24"/>
          <w:highlight w:val="yellow"/>
        </w:rPr>
        <w:t xml:space="preserve"> £3,213,418</w:t>
      </w:r>
    </w:p>
    <w:p w14:paraId="33B97193" w14:textId="77777777" w:rsidR="00075487" w:rsidRDefault="00465D6B" w:rsidP="00465D6B">
      <w:pPr>
        <w:spacing w:line="360" w:lineRule="auto"/>
        <w:rPr>
          <w:rFonts w:ascii="Arial" w:hAnsi="Arial" w:cs="Arial"/>
          <w:b/>
          <w:bCs/>
          <w:sz w:val="24"/>
          <w:szCs w:val="24"/>
        </w:rPr>
      </w:pPr>
      <w:r w:rsidRPr="00465D6B">
        <w:rPr>
          <w:rFonts w:ascii="Arial" w:hAnsi="Arial" w:cs="Arial"/>
          <w:b/>
          <w:bCs/>
          <w:sz w:val="24"/>
          <w:szCs w:val="24"/>
        </w:rPr>
        <w:t>Conclu</w:t>
      </w:r>
      <w:r w:rsidR="00075487">
        <w:rPr>
          <w:rFonts w:ascii="Arial" w:hAnsi="Arial" w:cs="Arial"/>
          <w:b/>
          <w:bCs/>
          <w:sz w:val="24"/>
          <w:szCs w:val="24"/>
        </w:rPr>
        <w:t>sion</w:t>
      </w:r>
    </w:p>
    <w:p w14:paraId="59F7C23B" w14:textId="6C46F3C9" w:rsidR="00465D6B" w:rsidRPr="00075487" w:rsidRDefault="00465D6B" w:rsidP="00465D6B">
      <w:pPr>
        <w:spacing w:line="360" w:lineRule="auto"/>
        <w:rPr>
          <w:rFonts w:ascii="Arial" w:hAnsi="Arial" w:cs="Arial"/>
          <w:b/>
          <w:bCs/>
          <w:sz w:val="24"/>
          <w:szCs w:val="24"/>
        </w:rPr>
      </w:pPr>
      <w:r w:rsidRPr="00465D6B">
        <w:rPr>
          <w:rFonts w:ascii="Arial" w:hAnsi="Arial" w:cs="Arial"/>
          <w:sz w:val="24"/>
          <w:szCs w:val="24"/>
        </w:rPr>
        <w:t xml:space="preserve">In conclusion, after the analysis of the three projects, the company is recommended to undertake </w:t>
      </w:r>
      <w:r w:rsidRPr="00465D6B">
        <w:rPr>
          <w:rFonts w:ascii="Arial" w:hAnsi="Arial" w:cs="Arial"/>
          <w:b/>
          <w:bCs/>
          <w:sz w:val="24"/>
          <w:szCs w:val="24"/>
        </w:rPr>
        <w:t>Project C - Produce greenhouses and conservatories</w:t>
      </w:r>
      <w:r w:rsidRPr="00465D6B">
        <w:rPr>
          <w:rFonts w:ascii="Arial" w:hAnsi="Arial" w:cs="Arial"/>
          <w:sz w:val="24"/>
          <w:szCs w:val="24"/>
        </w:rPr>
        <w:t xml:space="preserve"> because it has the highest NPV and positive cash flows. Besides, the project has </w:t>
      </w:r>
      <w:r w:rsidRPr="00465D6B">
        <w:rPr>
          <w:rFonts w:ascii="Arial" w:hAnsi="Arial" w:cs="Arial"/>
          <w:b/>
          <w:bCs/>
          <w:sz w:val="24"/>
          <w:szCs w:val="24"/>
        </w:rPr>
        <w:t xml:space="preserve">IRR of </w:t>
      </w:r>
      <w:r w:rsidRPr="00465D6B">
        <w:rPr>
          <w:rStyle w:val="big"/>
          <w:rFonts w:ascii="Arial" w:hAnsi="Arial" w:cs="Arial"/>
          <w:b/>
          <w:bCs/>
          <w:sz w:val="24"/>
          <w:szCs w:val="24"/>
        </w:rPr>
        <w:t xml:space="preserve">24.52% </w:t>
      </w:r>
      <w:r w:rsidRPr="00465D6B">
        <w:rPr>
          <w:rStyle w:val="big"/>
          <w:rFonts w:ascii="Arial" w:hAnsi="Arial" w:cs="Arial"/>
          <w:sz w:val="24"/>
          <w:szCs w:val="24"/>
        </w:rPr>
        <w:t>which is significantly higher than current cost of capital of 8%.</w:t>
      </w:r>
      <w:r w:rsidRPr="00465D6B">
        <w:rPr>
          <w:rStyle w:val="big"/>
          <w:rFonts w:ascii="Arial" w:hAnsi="Arial" w:cs="Arial"/>
          <w:b/>
          <w:bCs/>
          <w:sz w:val="24"/>
          <w:szCs w:val="24"/>
        </w:rPr>
        <w:t xml:space="preserve"> </w:t>
      </w:r>
      <w:r w:rsidRPr="00465D6B">
        <w:rPr>
          <w:rFonts w:ascii="Arial" w:hAnsi="Arial" w:cs="Arial"/>
          <w:sz w:val="24"/>
          <w:szCs w:val="24"/>
        </w:rPr>
        <w:t xml:space="preserve"> </w:t>
      </w:r>
    </w:p>
    <w:p w14:paraId="10E33BD6" w14:textId="77777777" w:rsidR="00465D6B" w:rsidRPr="00465D6B" w:rsidRDefault="00465D6B" w:rsidP="00465D6B">
      <w:pPr>
        <w:spacing w:line="360" w:lineRule="auto"/>
        <w:rPr>
          <w:rFonts w:ascii="Arial" w:hAnsi="Arial" w:cs="Arial"/>
          <w:sz w:val="24"/>
          <w:szCs w:val="24"/>
          <w:lang w:val="en-US"/>
        </w:rPr>
      </w:pPr>
      <w:r w:rsidRPr="00465D6B">
        <w:rPr>
          <w:rFonts w:ascii="Arial" w:hAnsi="Arial" w:cs="Arial"/>
          <w:sz w:val="24"/>
          <w:szCs w:val="24"/>
        </w:rPr>
        <w:t xml:space="preserve">To finance this project, the company can obtain finances from equity and debt financing. With the </w:t>
      </w:r>
      <w:r w:rsidRPr="00465D6B">
        <w:rPr>
          <w:rFonts w:ascii="Arial" w:hAnsi="Arial" w:cs="Arial"/>
          <w:sz w:val="24"/>
          <w:szCs w:val="24"/>
          <w:lang w:val="en-US"/>
        </w:rPr>
        <w:t xml:space="preserve">use of </w:t>
      </w:r>
      <w:r w:rsidRPr="00465D6B">
        <w:rPr>
          <w:rFonts w:ascii="Arial" w:hAnsi="Arial" w:cs="Arial"/>
          <w:bCs/>
          <w:sz w:val="24"/>
          <w:szCs w:val="24"/>
          <w:lang w:val="en-US"/>
        </w:rPr>
        <w:t>debt financing</w:t>
      </w:r>
      <w:r w:rsidRPr="00465D6B">
        <w:rPr>
          <w:rFonts w:ascii="Arial" w:hAnsi="Arial" w:cs="Arial"/>
          <w:sz w:val="24"/>
          <w:szCs w:val="24"/>
          <w:lang w:val="en-US"/>
        </w:rPr>
        <w:t xml:space="preserve">, there will be no change in the company’s ownership structure. This means the company will not share management power with the investors. Hence, the method allows the company to retain the rights to run business operations without any sort of intervention. There is an allowance of principal and interest payments as business expenses. These expenses result in tax </w:t>
      </w:r>
      <w:r w:rsidRPr="00465D6B">
        <w:rPr>
          <w:rFonts w:ascii="Arial" w:hAnsi="Arial" w:cs="Arial"/>
          <w:sz w:val="24"/>
          <w:szCs w:val="24"/>
          <w:lang w:val="en-US"/>
        </w:rPr>
        <w:lastRenderedPageBreak/>
        <w:t xml:space="preserve">deductions. Since the company knows the principal and interest payments, they can make budget adjustments and financial plan to repay the debt. Using this method, the company can either choose to borrow on short-term and long-term. This is the less costly method of raising funds since the interest of repaying the loans is tax-deductible. However, this method will affect the firm’s profitability because the profits or revenues generated have to be paid to the investors either monthly or annually, as agreed by both parties </w:t>
      </w:r>
      <w:r w:rsidRPr="00465D6B">
        <w:rPr>
          <w:rFonts w:ascii="Arial" w:hAnsi="Arial" w:cs="Arial"/>
          <w:sz w:val="24"/>
          <w:szCs w:val="24"/>
          <w:lang w:val="en-US"/>
        </w:rPr>
        <w:fldChar w:fldCharType="begin"/>
      </w:r>
      <w:r w:rsidRPr="00465D6B">
        <w:rPr>
          <w:rFonts w:ascii="Arial" w:hAnsi="Arial" w:cs="Arial"/>
          <w:sz w:val="24"/>
          <w:szCs w:val="24"/>
          <w:lang w:val="en-US"/>
        </w:rPr>
        <w:instrText xml:space="preserve"> ADDIN ZOTERO_ITEM CSL_CITATION {"citationID":"PAvH3Ec5","properties":{"formattedCitation":"(Verbeeten, 2006)","plainCitation":"(Verbeeten, 2006)","noteIndex":0},"citationItems":[{"id":732,"uris":["http://zotero.org/users/local/SIKpUXFh/items/J3RMBWYD"],"uri":["http://zotero.org/users/local/SIKpUXFh/items/J3RMBWYD"],"itemData":{"id":732,"type":"article-journal","title":"Do organizations adopt sophisticated capital budgeting practices to deal with uncertainty in the investment decision?: A research note","container-title":"Management accounting research","page":"106-120","volume":"17","issue":"1","author":[{"family":"Verbeeten","given":"Frank HM"}],"issued":{"date-parts":[["2006"]]}}}],"schema":"https://github.com/citation-style-language/schema/raw/master/csl-citation.json"} </w:instrText>
      </w:r>
      <w:r w:rsidRPr="00465D6B">
        <w:rPr>
          <w:rFonts w:ascii="Arial" w:hAnsi="Arial" w:cs="Arial"/>
          <w:sz w:val="24"/>
          <w:szCs w:val="24"/>
          <w:lang w:val="en-US"/>
        </w:rPr>
        <w:fldChar w:fldCharType="separate"/>
      </w:r>
      <w:r w:rsidRPr="00465D6B">
        <w:rPr>
          <w:rFonts w:ascii="Arial" w:hAnsi="Arial" w:cs="Arial"/>
          <w:sz w:val="24"/>
          <w:szCs w:val="24"/>
          <w:lang w:val="en-US"/>
        </w:rPr>
        <w:t>(Verbeeten, 2006)</w:t>
      </w:r>
      <w:r w:rsidRPr="00465D6B">
        <w:rPr>
          <w:rFonts w:ascii="Arial" w:hAnsi="Arial" w:cs="Arial"/>
          <w:sz w:val="24"/>
          <w:szCs w:val="24"/>
        </w:rPr>
        <w:fldChar w:fldCharType="end"/>
      </w:r>
      <w:r w:rsidRPr="00465D6B">
        <w:rPr>
          <w:rFonts w:ascii="Arial" w:hAnsi="Arial" w:cs="Arial"/>
          <w:sz w:val="24"/>
          <w:szCs w:val="24"/>
          <w:lang w:val="en-US"/>
        </w:rPr>
        <w:t xml:space="preserve">. Due to huge debt repayments, the company may experience slow growth. Most of the company objectives will aim at repaying the debt. Hence, the company will lose focus on other business activities. To obtain funds through this method, the company will need to have a good credit rating. The company will be under pressure to repay the debt, and this may affect their overall growth and profitability. </w:t>
      </w:r>
    </w:p>
    <w:p w14:paraId="787B3CFB" w14:textId="1B4F1C92" w:rsidR="00465D6B" w:rsidRPr="00465D6B" w:rsidRDefault="00465D6B" w:rsidP="00465D6B">
      <w:pPr>
        <w:spacing w:line="360" w:lineRule="auto"/>
        <w:ind w:firstLine="720"/>
        <w:rPr>
          <w:rFonts w:ascii="Arial" w:hAnsi="Arial" w:cs="Arial"/>
          <w:sz w:val="24"/>
          <w:szCs w:val="24"/>
          <w:lang w:val="en-US"/>
        </w:rPr>
      </w:pPr>
      <w:r w:rsidRPr="00465D6B">
        <w:rPr>
          <w:rFonts w:ascii="Arial" w:hAnsi="Arial" w:cs="Arial"/>
          <w:sz w:val="24"/>
          <w:szCs w:val="24"/>
          <w:lang w:val="en-US"/>
        </w:rPr>
        <w:t xml:space="preserve">The other method is </w:t>
      </w:r>
      <w:r w:rsidRPr="00465D6B">
        <w:rPr>
          <w:rFonts w:ascii="Arial" w:hAnsi="Arial" w:cs="Arial"/>
          <w:bCs/>
          <w:sz w:val="24"/>
          <w:szCs w:val="24"/>
          <w:lang w:val="en-US"/>
        </w:rPr>
        <w:t>equity financing</w:t>
      </w:r>
      <w:r w:rsidRPr="00465D6B">
        <w:rPr>
          <w:rFonts w:ascii="Arial" w:hAnsi="Arial" w:cs="Arial"/>
          <w:sz w:val="24"/>
          <w:szCs w:val="24"/>
          <w:lang w:val="en-US"/>
        </w:rPr>
        <w:t>. Equity financing will help the firm explore and execute organizational growth ideas. The funds which would have been used to repay debt will be saved and be used for other business operations. The company can use such capital to finance projects or make an investment in securities exchange and derive profits. Equity financing means revenues generated are for the business only, and investors can only be paid if the business is doing well. In this case, the business has no obligation to repay the investors first with revenues generated but later if they make profits. In such an event, investors will be paid through dividends. Investors who have funded the company can bring valuable ideas, experience, and skills as well as contact the company. This can help the company in making strategic decisions. The investors become part of the company and vest their interest in the company’s growth and profitability. The investors can also provide further financial assistance as the company grows.</w:t>
      </w:r>
    </w:p>
    <w:p w14:paraId="2ADF6AE3" w14:textId="77777777" w:rsidR="00465D6B" w:rsidRPr="00465D6B" w:rsidRDefault="00465D6B" w:rsidP="00465D6B">
      <w:pPr>
        <w:rPr>
          <w:rFonts w:ascii="Arial" w:hAnsi="Arial" w:cs="Arial"/>
          <w:sz w:val="24"/>
          <w:szCs w:val="24"/>
        </w:rPr>
      </w:pPr>
      <w:r w:rsidRPr="00465D6B">
        <w:rPr>
          <w:rFonts w:ascii="Arial" w:hAnsi="Arial" w:cs="Arial"/>
          <w:sz w:val="24"/>
          <w:szCs w:val="24"/>
        </w:rPr>
        <w:br w:type="page"/>
      </w:r>
    </w:p>
    <w:p w14:paraId="58144A20" w14:textId="77777777" w:rsidR="00465D6B" w:rsidRDefault="00465D6B" w:rsidP="00075487">
      <w:pPr>
        <w:spacing w:line="360" w:lineRule="auto"/>
        <w:rPr>
          <w:rFonts w:ascii="Arial" w:hAnsi="Arial" w:cs="Arial"/>
          <w:b/>
          <w:sz w:val="24"/>
          <w:szCs w:val="24"/>
        </w:rPr>
      </w:pPr>
      <w:r w:rsidRPr="00075487">
        <w:rPr>
          <w:rFonts w:ascii="Arial" w:hAnsi="Arial" w:cs="Arial"/>
          <w:b/>
          <w:sz w:val="24"/>
          <w:szCs w:val="24"/>
        </w:rPr>
        <w:lastRenderedPageBreak/>
        <w:t>References</w:t>
      </w:r>
    </w:p>
    <w:p w14:paraId="615B3606" w14:textId="309F724E" w:rsidR="00FD59D1" w:rsidRPr="00FD59D1" w:rsidRDefault="00FD59D1" w:rsidP="00075487">
      <w:pPr>
        <w:spacing w:line="360" w:lineRule="auto"/>
        <w:rPr>
          <w:rFonts w:ascii="Arial" w:hAnsi="Arial" w:cs="Arial"/>
          <w:b/>
          <w:sz w:val="32"/>
          <w:szCs w:val="24"/>
        </w:rPr>
      </w:pPr>
      <w:proofErr w:type="spellStart"/>
      <w:r w:rsidRPr="00FD59D1">
        <w:rPr>
          <w:rFonts w:ascii="Arial" w:hAnsi="Arial" w:cs="Arial"/>
          <w:color w:val="000000"/>
          <w:sz w:val="24"/>
          <w:szCs w:val="20"/>
        </w:rPr>
        <w:t>Bekaert</w:t>
      </w:r>
      <w:proofErr w:type="spellEnd"/>
      <w:r w:rsidRPr="00FD59D1">
        <w:rPr>
          <w:rFonts w:ascii="Arial" w:hAnsi="Arial" w:cs="Arial"/>
          <w:color w:val="000000"/>
          <w:sz w:val="24"/>
          <w:szCs w:val="20"/>
        </w:rPr>
        <w:t>, G (2013). </w:t>
      </w:r>
      <w:proofErr w:type="gramStart"/>
      <w:r w:rsidRPr="00FD59D1">
        <w:rPr>
          <w:rFonts w:ascii="Arial" w:hAnsi="Arial" w:cs="Arial"/>
          <w:i/>
          <w:iCs/>
          <w:color w:val="000000"/>
          <w:sz w:val="24"/>
          <w:szCs w:val="20"/>
        </w:rPr>
        <w:t>International Financial Management</w:t>
      </w:r>
      <w:r w:rsidRPr="00FD59D1">
        <w:rPr>
          <w:rFonts w:ascii="Arial" w:hAnsi="Arial" w:cs="Arial"/>
          <w:color w:val="000000"/>
          <w:sz w:val="24"/>
          <w:szCs w:val="20"/>
        </w:rPr>
        <w:t>.</w:t>
      </w:r>
      <w:proofErr w:type="gramEnd"/>
      <w:r w:rsidRPr="00FD59D1">
        <w:rPr>
          <w:rFonts w:ascii="Arial" w:hAnsi="Arial" w:cs="Arial"/>
          <w:color w:val="000000"/>
          <w:sz w:val="24"/>
          <w:szCs w:val="20"/>
        </w:rPr>
        <w:t xml:space="preserve"> London: Pearson Education. p508.</w:t>
      </w:r>
    </w:p>
    <w:p w14:paraId="55DD528F" w14:textId="31C80456" w:rsidR="00FD59D1" w:rsidRPr="00FD59D1" w:rsidRDefault="00465D6B" w:rsidP="00FD59D1">
      <w:pPr>
        <w:pStyle w:val="Bibliography"/>
        <w:ind w:left="720" w:hanging="720"/>
        <w:rPr>
          <w:rFonts w:ascii="Arial" w:hAnsi="Arial" w:cs="Arial"/>
          <w:sz w:val="24"/>
          <w:szCs w:val="24"/>
        </w:rPr>
      </w:pPr>
      <w:proofErr w:type="spellStart"/>
      <w:r w:rsidRPr="00465D6B">
        <w:rPr>
          <w:rFonts w:ascii="Arial" w:hAnsi="Arial" w:cs="Arial"/>
          <w:sz w:val="24"/>
          <w:szCs w:val="24"/>
        </w:rPr>
        <w:t>Bierman</w:t>
      </w:r>
      <w:proofErr w:type="spellEnd"/>
      <w:r w:rsidRPr="00465D6B">
        <w:rPr>
          <w:rFonts w:ascii="Arial" w:hAnsi="Arial" w:cs="Arial"/>
          <w:sz w:val="24"/>
          <w:szCs w:val="24"/>
        </w:rPr>
        <w:t xml:space="preserve"> Jr, H., &amp; </w:t>
      </w:r>
      <w:proofErr w:type="spellStart"/>
      <w:r w:rsidRPr="00465D6B">
        <w:rPr>
          <w:rFonts w:ascii="Arial" w:hAnsi="Arial" w:cs="Arial"/>
          <w:sz w:val="24"/>
          <w:szCs w:val="24"/>
        </w:rPr>
        <w:t>Smidt</w:t>
      </w:r>
      <w:proofErr w:type="spellEnd"/>
      <w:r w:rsidRPr="00465D6B">
        <w:rPr>
          <w:rFonts w:ascii="Arial" w:hAnsi="Arial" w:cs="Arial"/>
          <w:sz w:val="24"/>
          <w:szCs w:val="24"/>
        </w:rPr>
        <w:t xml:space="preserve">, S. 2012. </w:t>
      </w:r>
      <w:r w:rsidRPr="00465D6B">
        <w:rPr>
          <w:rFonts w:ascii="Arial" w:hAnsi="Arial" w:cs="Arial"/>
          <w:i/>
          <w:iCs/>
          <w:sz w:val="24"/>
          <w:szCs w:val="24"/>
        </w:rPr>
        <w:t>The capital budgeting decision: economic analysis of investment projects</w:t>
      </w:r>
      <w:r w:rsidRPr="00465D6B">
        <w:rPr>
          <w:rFonts w:ascii="Arial" w:hAnsi="Arial" w:cs="Arial"/>
          <w:sz w:val="24"/>
          <w:szCs w:val="24"/>
        </w:rPr>
        <w:t xml:space="preserve">. </w:t>
      </w:r>
      <w:proofErr w:type="gramStart"/>
      <w:r w:rsidRPr="00465D6B">
        <w:rPr>
          <w:rFonts w:ascii="Arial" w:hAnsi="Arial" w:cs="Arial"/>
          <w:sz w:val="24"/>
          <w:szCs w:val="24"/>
        </w:rPr>
        <w:t>Routledge.</w:t>
      </w:r>
      <w:proofErr w:type="gramEnd"/>
    </w:p>
    <w:p w14:paraId="67B5507A" w14:textId="77777777" w:rsidR="00465D6B" w:rsidRPr="00465D6B" w:rsidRDefault="00465D6B" w:rsidP="00465D6B">
      <w:pPr>
        <w:pStyle w:val="Bibliography"/>
        <w:ind w:left="720" w:hanging="720"/>
        <w:rPr>
          <w:rFonts w:ascii="Arial" w:hAnsi="Arial" w:cs="Arial"/>
          <w:sz w:val="24"/>
          <w:szCs w:val="24"/>
        </w:rPr>
      </w:pPr>
      <w:proofErr w:type="gramStart"/>
      <w:r w:rsidRPr="00465D6B">
        <w:rPr>
          <w:rFonts w:ascii="Arial" w:hAnsi="Arial" w:cs="Arial"/>
          <w:sz w:val="24"/>
          <w:szCs w:val="24"/>
        </w:rPr>
        <w:t>Durnev, A., Morck, R., &amp; Yeung, B. 2004.</w:t>
      </w:r>
      <w:proofErr w:type="gramEnd"/>
      <w:r w:rsidRPr="00465D6B">
        <w:rPr>
          <w:rFonts w:ascii="Arial" w:hAnsi="Arial" w:cs="Arial"/>
          <w:sz w:val="24"/>
          <w:szCs w:val="24"/>
        </w:rPr>
        <w:t xml:space="preserve"> Value</w:t>
      </w:r>
      <w:r w:rsidRPr="00465D6B">
        <w:rPr>
          <w:rFonts w:ascii="Cambria Math" w:hAnsi="Cambria Math" w:cs="Cambria Math"/>
          <w:sz w:val="24"/>
          <w:szCs w:val="24"/>
        </w:rPr>
        <w:t>‐</w:t>
      </w:r>
      <w:r w:rsidRPr="00465D6B">
        <w:rPr>
          <w:rFonts w:ascii="Arial" w:hAnsi="Arial" w:cs="Arial"/>
          <w:sz w:val="24"/>
          <w:szCs w:val="24"/>
        </w:rPr>
        <w:t>enhancing capital budgeting and firm</w:t>
      </w:r>
      <w:r w:rsidRPr="00465D6B">
        <w:rPr>
          <w:rFonts w:ascii="Cambria Math" w:hAnsi="Cambria Math" w:cs="Cambria Math"/>
          <w:sz w:val="24"/>
          <w:szCs w:val="24"/>
        </w:rPr>
        <w:t>‐</w:t>
      </w:r>
      <w:r w:rsidRPr="00465D6B">
        <w:rPr>
          <w:rFonts w:ascii="Arial" w:hAnsi="Arial" w:cs="Arial"/>
          <w:sz w:val="24"/>
          <w:szCs w:val="24"/>
        </w:rPr>
        <w:t xml:space="preserve">specific stock return variation. </w:t>
      </w:r>
      <w:r w:rsidRPr="00465D6B">
        <w:rPr>
          <w:rFonts w:ascii="Arial" w:hAnsi="Arial" w:cs="Arial"/>
          <w:i/>
          <w:iCs/>
          <w:sz w:val="24"/>
          <w:szCs w:val="24"/>
        </w:rPr>
        <w:t>The Journal of Finance</w:t>
      </w:r>
      <w:r w:rsidRPr="00465D6B">
        <w:rPr>
          <w:rFonts w:ascii="Arial" w:hAnsi="Arial" w:cs="Arial"/>
          <w:sz w:val="24"/>
          <w:szCs w:val="24"/>
        </w:rPr>
        <w:t xml:space="preserve">, </w:t>
      </w:r>
      <w:r w:rsidRPr="00465D6B">
        <w:rPr>
          <w:rFonts w:ascii="Arial" w:hAnsi="Arial" w:cs="Arial"/>
          <w:i/>
          <w:iCs/>
          <w:sz w:val="24"/>
          <w:szCs w:val="24"/>
        </w:rPr>
        <w:t>59</w:t>
      </w:r>
      <w:r w:rsidRPr="00465D6B">
        <w:rPr>
          <w:rFonts w:ascii="Arial" w:hAnsi="Arial" w:cs="Arial"/>
          <w:sz w:val="24"/>
          <w:szCs w:val="24"/>
        </w:rPr>
        <w:t>(1), 65–105.</w:t>
      </w:r>
    </w:p>
    <w:p w14:paraId="31DD511B" w14:textId="77777777" w:rsidR="00465D6B" w:rsidRPr="00465D6B" w:rsidRDefault="00465D6B" w:rsidP="00465D6B">
      <w:pPr>
        <w:pStyle w:val="Bibliography"/>
        <w:ind w:left="720" w:hanging="720"/>
        <w:rPr>
          <w:rFonts w:ascii="Arial" w:hAnsi="Arial" w:cs="Arial"/>
          <w:sz w:val="24"/>
          <w:szCs w:val="24"/>
        </w:rPr>
      </w:pPr>
      <w:r w:rsidRPr="00465D6B">
        <w:rPr>
          <w:rFonts w:ascii="Arial" w:hAnsi="Arial" w:cs="Arial"/>
          <w:sz w:val="24"/>
          <w:szCs w:val="24"/>
        </w:rPr>
        <w:t xml:space="preserve">Fabozzi, F. J., &amp; Drake, P. P. 2008. Capital Budgeting Techniques. </w:t>
      </w:r>
      <w:r w:rsidRPr="00465D6B">
        <w:rPr>
          <w:rFonts w:ascii="Arial" w:hAnsi="Arial" w:cs="Arial"/>
          <w:i/>
          <w:iCs/>
          <w:sz w:val="24"/>
          <w:szCs w:val="24"/>
        </w:rPr>
        <w:t>Handbook of Finance</w:t>
      </w:r>
      <w:r w:rsidRPr="00465D6B">
        <w:rPr>
          <w:rFonts w:ascii="Arial" w:hAnsi="Arial" w:cs="Arial"/>
          <w:sz w:val="24"/>
          <w:szCs w:val="24"/>
        </w:rPr>
        <w:t xml:space="preserve">, </w:t>
      </w:r>
      <w:r w:rsidRPr="00465D6B">
        <w:rPr>
          <w:rFonts w:ascii="Arial" w:hAnsi="Arial" w:cs="Arial"/>
          <w:i/>
          <w:iCs/>
          <w:sz w:val="24"/>
          <w:szCs w:val="24"/>
        </w:rPr>
        <w:t>2</w:t>
      </w:r>
      <w:r w:rsidRPr="00465D6B">
        <w:rPr>
          <w:rFonts w:ascii="Arial" w:hAnsi="Arial" w:cs="Arial"/>
          <w:sz w:val="24"/>
          <w:szCs w:val="24"/>
        </w:rPr>
        <w:t>.</w:t>
      </w:r>
    </w:p>
    <w:p w14:paraId="127D4B28" w14:textId="77777777" w:rsidR="00465D6B" w:rsidRPr="00465D6B" w:rsidRDefault="00465D6B" w:rsidP="00465D6B">
      <w:pPr>
        <w:pStyle w:val="Bibliography"/>
        <w:ind w:left="720" w:hanging="720"/>
        <w:rPr>
          <w:rFonts w:ascii="Arial" w:hAnsi="Arial" w:cs="Arial"/>
          <w:sz w:val="24"/>
          <w:szCs w:val="24"/>
        </w:rPr>
      </w:pPr>
      <w:r w:rsidRPr="00465D6B">
        <w:rPr>
          <w:rFonts w:ascii="Arial" w:hAnsi="Arial" w:cs="Arial"/>
          <w:sz w:val="24"/>
          <w:szCs w:val="24"/>
        </w:rPr>
        <w:t xml:space="preserve">Haka, S. F., Gordon, L. A., &amp; Pinches, G. E. 2005. Sophisticated capital budgeting selection techniques and firm performance. In </w:t>
      </w:r>
      <w:r w:rsidRPr="00465D6B">
        <w:rPr>
          <w:rFonts w:ascii="Arial" w:hAnsi="Arial" w:cs="Arial"/>
          <w:i/>
          <w:iCs/>
          <w:sz w:val="24"/>
          <w:szCs w:val="24"/>
        </w:rPr>
        <w:t>Readings in Accounting for Management Control</w:t>
      </w:r>
      <w:r w:rsidRPr="00465D6B">
        <w:rPr>
          <w:rFonts w:ascii="Arial" w:hAnsi="Arial" w:cs="Arial"/>
          <w:sz w:val="24"/>
          <w:szCs w:val="24"/>
        </w:rPr>
        <w:t xml:space="preserve"> (pp. 521–545). Springer.</w:t>
      </w:r>
    </w:p>
    <w:p w14:paraId="6BB908E8" w14:textId="77777777" w:rsidR="00465D6B" w:rsidRPr="00465D6B" w:rsidRDefault="00465D6B" w:rsidP="00465D6B">
      <w:pPr>
        <w:pStyle w:val="Bibliography"/>
        <w:ind w:left="720" w:hanging="720"/>
        <w:rPr>
          <w:rFonts w:ascii="Arial" w:hAnsi="Arial" w:cs="Arial"/>
          <w:sz w:val="24"/>
          <w:szCs w:val="24"/>
        </w:rPr>
      </w:pPr>
      <w:r w:rsidRPr="00465D6B">
        <w:rPr>
          <w:rFonts w:ascii="Arial" w:hAnsi="Arial" w:cs="Arial"/>
          <w:sz w:val="24"/>
          <w:szCs w:val="24"/>
        </w:rPr>
        <w:t xml:space="preserve">Hansen, D. 2008. Capital budgeting techniques. </w:t>
      </w:r>
      <w:r w:rsidRPr="00465D6B">
        <w:rPr>
          <w:rFonts w:ascii="Arial" w:hAnsi="Arial" w:cs="Arial"/>
          <w:i/>
          <w:iCs/>
          <w:sz w:val="24"/>
          <w:szCs w:val="24"/>
        </w:rPr>
        <w:t>Australasian Radiology</w:t>
      </w:r>
      <w:r w:rsidRPr="00465D6B">
        <w:rPr>
          <w:rFonts w:ascii="Arial" w:hAnsi="Arial" w:cs="Arial"/>
          <w:sz w:val="24"/>
          <w:szCs w:val="24"/>
        </w:rPr>
        <w:t xml:space="preserve">, </w:t>
      </w:r>
      <w:r w:rsidRPr="00465D6B">
        <w:rPr>
          <w:rFonts w:ascii="Arial" w:hAnsi="Arial" w:cs="Arial"/>
          <w:i/>
          <w:iCs/>
          <w:sz w:val="24"/>
          <w:szCs w:val="24"/>
        </w:rPr>
        <w:t>42</w:t>
      </w:r>
      <w:r w:rsidRPr="00465D6B">
        <w:rPr>
          <w:rFonts w:ascii="Arial" w:hAnsi="Arial" w:cs="Arial"/>
          <w:sz w:val="24"/>
          <w:szCs w:val="24"/>
        </w:rPr>
        <w:t>(1), 38–41.</w:t>
      </w:r>
    </w:p>
    <w:p w14:paraId="3497A225" w14:textId="77777777" w:rsidR="00465D6B" w:rsidRPr="00465D6B" w:rsidRDefault="00465D6B" w:rsidP="00465D6B">
      <w:pPr>
        <w:pStyle w:val="Bibliography"/>
        <w:ind w:left="720" w:hanging="720"/>
        <w:rPr>
          <w:rFonts w:ascii="Arial" w:hAnsi="Arial" w:cs="Arial"/>
          <w:sz w:val="24"/>
          <w:szCs w:val="24"/>
        </w:rPr>
      </w:pPr>
      <w:r w:rsidRPr="00465D6B">
        <w:rPr>
          <w:rFonts w:ascii="Arial" w:hAnsi="Arial" w:cs="Arial"/>
          <w:sz w:val="24"/>
          <w:szCs w:val="24"/>
        </w:rPr>
        <w:t xml:space="preserve">Horngren, C. T., Bhimani, A., Datar, S. M., Foster, G., &amp; Horngren, C. T. 2002. </w:t>
      </w:r>
      <w:r w:rsidRPr="00465D6B">
        <w:rPr>
          <w:rFonts w:ascii="Arial" w:hAnsi="Arial" w:cs="Arial"/>
          <w:i/>
          <w:iCs/>
          <w:sz w:val="24"/>
          <w:szCs w:val="24"/>
        </w:rPr>
        <w:t>Management and cost accounting</w:t>
      </w:r>
      <w:r w:rsidRPr="00465D6B">
        <w:rPr>
          <w:rFonts w:ascii="Arial" w:hAnsi="Arial" w:cs="Arial"/>
          <w:sz w:val="24"/>
          <w:szCs w:val="24"/>
        </w:rPr>
        <w:t>. Financial Times/Prentice Hall Harlow.</w:t>
      </w:r>
    </w:p>
    <w:p w14:paraId="383434A4" w14:textId="77777777" w:rsidR="00465D6B" w:rsidRPr="00465D6B" w:rsidRDefault="00465D6B" w:rsidP="00465D6B">
      <w:pPr>
        <w:pStyle w:val="Bibliography"/>
        <w:ind w:left="720" w:hanging="720"/>
        <w:rPr>
          <w:rFonts w:ascii="Arial" w:hAnsi="Arial" w:cs="Arial"/>
          <w:sz w:val="24"/>
          <w:szCs w:val="24"/>
        </w:rPr>
      </w:pPr>
      <w:r w:rsidRPr="00465D6B">
        <w:rPr>
          <w:rFonts w:ascii="Arial" w:hAnsi="Arial" w:cs="Arial"/>
          <w:sz w:val="24"/>
          <w:szCs w:val="24"/>
        </w:rPr>
        <w:t xml:space="preserve">Shinoda, T. 2010. Capital budgeting management practices in Japan: a focus on the use of capital budgeting methods. </w:t>
      </w:r>
      <w:r w:rsidRPr="00465D6B">
        <w:rPr>
          <w:rFonts w:ascii="Arial" w:hAnsi="Arial" w:cs="Arial"/>
          <w:i/>
          <w:iCs/>
          <w:sz w:val="24"/>
          <w:szCs w:val="24"/>
        </w:rPr>
        <w:t>Economic Journal of Hokkaido University</w:t>
      </w:r>
      <w:r w:rsidRPr="00465D6B">
        <w:rPr>
          <w:rFonts w:ascii="Arial" w:hAnsi="Arial" w:cs="Arial"/>
          <w:sz w:val="24"/>
          <w:szCs w:val="24"/>
        </w:rPr>
        <w:t xml:space="preserve">, </w:t>
      </w:r>
      <w:r w:rsidRPr="00465D6B">
        <w:rPr>
          <w:rFonts w:ascii="Arial" w:hAnsi="Arial" w:cs="Arial"/>
          <w:i/>
          <w:iCs/>
          <w:sz w:val="24"/>
          <w:szCs w:val="24"/>
        </w:rPr>
        <w:t>39</w:t>
      </w:r>
      <w:r w:rsidRPr="00465D6B">
        <w:rPr>
          <w:rFonts w:ascii="Arial" w:hAnsi="Arial" w:cs="Arial"/>
          <w:sz w:val="24"/>
          <w:szCs w:val="24"/>
        </w:rPr>
        <w:t>, 39–50.</w:t>
      </w:r>
    </w:p>
    <w:p w14:paraId="45D45131" w14:textId="77777777" w:rsidR="00465D6B" w:rsidRPr="00465D6B" w:rsidRDefault="00465D6B" w:rsidP="00465D6B">
      <w:pPr>
        <w:spacing w:line="360" w:lineRule="auto"/>
        <w:ind w:left="720" w:hanging="720"/>
        <w:rPr>
          <w:rFonts w:ascii="Arial" w:hAnsi="Arial" w:cs="Arial"/>
          <w:sz w:val="24"/>
          <w:szCs w:val="24"/>
        </w:rPr>
      </w:pPr>
      <w:r w:rsidRPr="00465D6B">
        <w:rPr>
          <w:rFonts w:ascii="Arial" w:hAnsi="Arial" w:cs="Arial"/>
          <w:sz w:val="24"/>
          <w:szCs w:val="24"/>
        </w:rPr>
        <w:t xml:space="preserve">Verbeeten, F. H. 2006. Do organizations adopt sophisticated capital budgeting practices to deal with uncertainty in the investment decision?: A research note. </w:t>
      </w:r>
      <w:r w:rsidRPr="00465D6B">
        <w:rPr>
          <w:rFonts w:ascii="Arial" w:hAnsi="Arial" w:cs="Arial"/>
          <w:i/>
          <w:iCs/>
          <w:sz w:val="24"/>
          <w:szCs w:val="24"/>
        </w:rPr>
        <w:t>Mana</w:t>
      </w:r>
    </w:p>
    <w:p w14:paraId="66430C35" w14:textId="77777777" w:rsidR="00465D6B" w:rsidRPr="00680C88" w:rsidRDefault="00465D6B" w:rsidP="00E570E2">
      <w:pPr>
        <w:spacing w:line="360" w:lineRule="auto"/>
        <w:rPr>
          <w:rFonts w:ascii="Arial" w:hAnsi="Arial" w:cs="Arial"/>
        </w:rPr>
      </w:pPr>
    </w:p>
    <w:sectPr w:rsidR="00465D6B" w:rsidRPr="00680C88" w:rsidSect="00E570E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3B05783" w14:textId="77777777" w:rsidR="008A7E05" w:rsidRDefault="008A7E05" w:rsidP="00E570E2">
      <w:pPr>
        <w:spacing w:after="0" w:line="240" w:lineRule="auto"/>
      </w:pPr>
      <w:r>
        <w:separator/>
      </w:r>
    </w:p>
  </w:endnote>
  <w:endnote w:type="continuationSeparator" w:id="0">
    <w:p w14:paraId="43C1EF54" w14:textId="77777777" w:rsidR="008A7E05" w:rsidRDefault="008A7E05" w:rsidP="00E570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8232541"/>
      <w:docPartObj>
        <w:docPartGallery w:val="Page Numbers (Bottom of Page)"/>
        <w:docPartUnique/>
      </w:docPartObj>
    </w:sdtPr>
    <w:sdtEndPr>
      <w:rPr>
        <w:color w:val="808080" w:themeColor="background1" w:themeShade="80"/>
        <w:spacing w:val="60"/>
      </w:rPr>
    </w:sdtEndPr>
    <w:sdtContent>
      <w:p w14:paraId="6AE7A0DB" w14:textId="13C411C9" w:rsidR="00465D6B" w:rsidRDefault="00465D6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12E71" w:rsidRPr="00912E71">
          <w:rPr>
            <w:b/>
            <w:bCs/>
            <w:noProof/>
          </w:rPr>
          <w:t>19</w:t>
        </w:r>
        <w:r>
          <w:rPr>
            <w:b/>
            <w:bCs/>
            <w:noProof/>
          </w:rPr>
          <w:fldChar w:fldCharType="end"/>
        </w:r>
        <w:r>
          <w:rPr>
            <w:b/>
            <w:bCs/>
          </w:rPr>
          <w:t xml:space="preserve"> | </w:t>
        </w:r>
        <w:r>
          <w:rPr>
            <w:color w:val="808080" w:themeColor="background1" w:themeShade="80"/>
            <w:spacing w:val="60"/>
          </w:rPr>
          <w:t>Page</w:t>
        </w:r>
      </w:p>
    </w:sdtContent>
  </w:sdt>
  <w:p w14:paraId="240D69F4" w14:textId="77777777" w:rsidR="00465D6B" w:rsidRDefault="00465D6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C7EF649" w14:textId="77777777" w:rsidR="008A7E05" w:rsidRDefault="008A7E05" w:rsidP="00E570E2">
      <w:pPr>
        <w:spacing w:after="0" w:line="240" w:lineRule="auto"/>
      </w:pPr>
      <w:r>
        <w:separator/>
      </w:r>
    </w:p>
  </w:footnote>
  <w:footnote w:type="continuationSeparator" w:id="0">
    <w:p w14:paraId="75CDA0B1" w14:textId="77777777" w:rsidR="008A7E05" w:rsidRDefault="008A7E05" w:rsidP="00E570E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10AC7C3" w14:textId="57E78EEC" w:rsidR="00465D6B" w:rsidRPr="00E570E2" w:rsidRDefault="00465D6B">
    <w:pPr>
      <w:pStyle w:val="Header"/>
      <w:rPr>
        <w:rFonts w:ascii="Times New Roman" w:hAnsi="Times New Roman" w:cs="Times New Roman"/>
        <w:sz w:val="24"/>
        <w:szCs w:val="24"/>
      </w:rPr>
    </w:pPr>
    <w:r>
      <w:rPr>
        <w:rFonts w:ascii="Times New Roman" w:hAnsi="Times New Roman" w:cs="Times New Roman"/>
        <w:sz w:val="24"/>
        <w:szCs w:val="24"/>
      </w:rPr>
      <w:t>Student number: 1706958</w:t>
    </w:r>
    <w:r>
      <w:rPr>
        <w:rFonts w:ascii="Times New Roman" w:hAnsi="Times New Roman" w:cs="Times New Roman"/>
        <w:sz w:val="24"/>
        <w:szCs w:val="24"/>
      </w:rPr>
      <w:tab/>
    </w:r>
    <w:r>
      <w:rPr>
        <w:rFonts w:ascii="Times New Roman" w:hAnsi="Times New Roman" w:cs="Times New Roman"/>
        <w:sz w:val="24"/>
        <w:szCs w:val="24"/>
      </w:rPr>
      <w:tab/>
      <w:t>Module Code: SBMA7100D</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7E3B98"/>
    <w:multiLevelType w:val="hybridMultilevel"/>
    <w:tmpl w:val="F7344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976748"/>
    <w:multiLevelType w:val="hybridMultilevel"/>
    <w:tmpl w:val="4EDA537C"/>
    <w:lvl w:ilvl="0" w:tplc="2B888782">
      <w:start w:val="1"/>
      <w:numFmt w:val="decimal"/>
      <w:lvlText w:val="%1)"/>
      <w:lvlJc w:val="left"/>
      <w:pPr>
        <w:ind w:left="1080" w:hanging="360"/>
      </w:pPr>
      <w:rPr>
        <w:rFonts w:ascii="Arial" w:eastAsia="Times New Roman" w:hAnsi="Arial" w:cs="Arial"/>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30B5424F"/>
    <w:multiLevelType w:val="hybridMultilevel"/>
    <w:tmpl w:val="60C286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6FD49D7"/>
    <w:multiLevelType w:val="multilevel"/>
    <w:tmpl w:val="DB0C1600"/>
    <w:lvl w:ilvl="0">
      <w:start w:val="1"/>
      <w:numFmt w:val="decimal"/>
      <w:lvlText w:val="%1."/>
      <w:lvlJc w:val="left"/>
      <w:pPr>
        <w:ind w:left="360" w:hanging="360"/>
      </w:pPr>
      <w:rPr>
        <w:rFonts w:hint="default"/>
      </w:rPr>
    </w:lvl>
    <w:lvl w:ilvl="1">
      <w:start w:val="2"/>
      <w:numFmt w:val="decimal"/>
      <w:isLgl/>
      <w:lvlText w:val="%1.%2"/>
      <w:lvlJc w:val="left"/>
      <w:pPr>
        <w:ind w:left="405" w:hanging="40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4">
    <w:nsid w:val="3EA33F00"/>
    <w:multiLevelType w:val="multilevel"/>
    <w:tmpl w:val="79E6FCC8"/>
    <w:lvl w:ilvl="0">
      <w:start w:val="2"/>
      <w:numFmt w:val="decimal"/>
      <w:lvlText w:val="%1."/>
      <w:lvlJc w:val="left"/>
      <w:pPr>
        <w:ind w:left="36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DIzMzE0MjA2NTUwNjRU0lEKTi0uzszPAymwrAUAPBq2jCwAAAA="/>
  </w:docVars>
  <w:rsids>
    <w:rsidRoot w:val="00E72EE8"/>
    <w:rsid w:val="00007A4F"/>
    <w:rsid w:val="00027B66"/>
    <w:rsid w:val="00053B8A"/>
    <w:rsid w:val="00075487"/>
    <w:rsid w:val="00094430"/>
    <w:rsid w:val="00094645"/>
    <w:rsid w:val="001409E7"/>
    <w:rsid w:val="0026022E"/>
    <w:rsid w:val="0030389F"/>
    <w:rsid w:val="003618B2"/>
    <w:rsid w:val="00361A13"/>
    <w:rsid w:val="003D1934"/>
    <w:rsid w:val="00465D6B"/>
    <w:rsid w:val="004C1272"/>
    <w:rsid w:val="004D3C1A"/>
    <w:rsid w:val="005246FC"/>
    <w:rsid w:val="00553DEC"/>
    <w:rsid w:val="005D2E09"/>
    <w:rsid w:val="005E2219"/>
    <w:rsid w:val="00671B8E"/>
    <w:rsid w:val="00680C88"/>
    <w:rsid w:val="006B1CC4"/>
    <w:rsid w:val="006B330F"/>
    <w:rsid w:val="007349B4"/>
    <w:rsid w:val="00761162"/>
    <w:rsid w:val="0076252D"/>
    <w:rsid w:val="008110AD"/>
    <w:rsid w:val="00855026"/>
    <w:rsid w:val="00897D39"/>
    <w:rsid w:val="008A7E05"/>
    <w:rsid w:val="00912E71"/>
    <w:rsid w:val="009925B2"/>
    <w:rsid w:val="009A0BD0"/>
    <w:rsid w:val="009B43AE"/>
    <w:rsid w:val="00AD25D2"/>
    <w:rsid w:val="00B06045"/>
    <w:rsid w:val="00B072AF"/>
    <w:rsid w:val="00B1267B"/>
    <w:rsid w:val="00BA7217"/>
    <w:rsid w:val="00C51B26"/>
    <w:rsid w:val="00C8352F"/>
    <w:rsid w:val="00C84503"/>
    <w:rsid w:val="00CC76FB"/>
    <w:rsid w:val="00D30FFB"/>
    <w:rsid w:val="00DC76A6"/>
    <w:rsid w:val="00E570E2"/>
    <w:rsid w:val="00E72EE8"/>
    <w:rsid w:val="00EA034F"/>
    <w:rsid w:val="00F31DD8"/>
    <w:rsid w:val="00FD5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B0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sqqvc">
    <w:name w:val="isqqvc"/>
    <w:basedOn w:val="DefaultParagraphFont"/>
    <w:rsid w:val="00361A13"/>
  </w:style>
  <w:style w:type="paragraph" w:styleId="NormalWeb">
    <w:name w:val="Normal (Web)"/>
    <w:basedOn w:val="Normal"/>
    <w:uiPriority w:val="99"/>
    <w:unhideWhenUsed/>
    <w:rsid w:val="00E570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570E2"/>
    <w:rPr>
      <w:b/>
      <w:bCs/>
    </w:rPr>
  </w:style>
  <w:style w:type="paragraph" w:styleId="Header">
    <w:name w:val="header"/>
    <w:basedOn w:val="Normal"/>
    <w:link w:val="HeaderChar"/>
    <w:uiPriority w:val="99"/>
    <w:unhideWhenUsed/>
    <w:rsid w:val="00E570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0E2"/>
  </w:style>
  <w:style w:type="paragraph" w:styleId="Footer">
    <w:name w:val="footer"/>
    <w:basedOn w:val="Normal"/>
    <w:link w:val="FooterChar"/>
    <w:uiPriority w:val="99"/>
    <w:unhideWhenUsed/>
    <w:rsid w:val="00E570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0E2"/>
  </w:style>
  <w:style w:type="paragraph" w:styleId="Bibliography">
    <w:name w:val="Bibliography"/>
    <w:basedOn w:val="Normal"/>
    <w:next w:val="Normal"/>
    <w:uiPriority w:val="37"/>
    <w:unhideWhenUsed/>
    <w:rsid w:val="009925B2"/>
  </w:style>
  <w:style w:type="paragraph" w:styleId="ListParagraph">
    <w:name w:val="List Paragraph"/>
    <w:basedOn w:val="Normal"/>
    <w:uiPriority w:val="34"/>
    <w:qFormat/>
    <w:rsid w:val="00053B8A"/>
    <w:pPr>
      <w:ind w:left="720"/>
      <w:contextualSpacing/>
    </w:pPr>
  </w:style>
  <w:style w:type="table" w:styleId="TableGrid">
    <w:name w:val="Table Grid"/>
    <w:basedOn w:val="TableNormal"/>
    <w:uiPriority w:val="39"/>
    <w:rsid w:val="00465D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ig">
    <w:name w:val="big"/>
    <w:basedOn w:val="DefaultParagraphFont"/>
    <w:rsid w:val="00465D6B"/>
  </w:style>
  <w:style w:type="character" w:styleId="Hyperlink">
    <w:name w:val="Hyperlink"/>
    <w:basedOn w:val="DefaultParagraphFont"/>
    <w:uiPriority w:val="99"/>
    <w:semiHidden/>
    <w:unhideWhenUsed/>
    <w:rsid w:val="0076252D"/>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sqqvc">
    <w:name w:val="isqqvc"/>
    <w:basedOn w:val="DefaultParagraphFont"/>
    <w:rsid w:val="00361A13"/>
  </w:style>
  <w:style w:type="paragraph" w:styleId="NormalWeb">
    <w:name w:val="Normal (Web)"/>
    <w:basedOn w:val="Normal"/>
    <w:uiPriority w:val="99"/>
    <w:unhideWhenUsed/>
    <w:rsid w:val="00E570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570E2"/>
    <w:rPr>
      <w:b/>
      <w:bCs/>
    </w:rPr>
  </w:style>
  <w:style w:type="paragraph" w:styleId="Header">
    <w:name w:val="header"/>
    <w:basedOn w:val="Normal"/>
    <w:link w:val="HeaderChar"/>
    <w:uiPriority w:val="99"/>
    <w:unhideWhenUsed/>
    <w:rsid w:val="00E570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0E2"/>
  </w:style>
  <w:style w:type="paragraph" w:styleId="Footer">
    <w:name w:val="footer"/>
    <w:basedOn w:val="Normal"/>
    <w:link w:val="FooterChar"/>
    <w:uiPriority w:val="99"/>
    <w:unhideWhenUsed/>
    <w:rsid w:val="00E570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0E2"/>
  </w:style>
  <w:style w:type="paragraph" w:styleId="Bibliography">
    <w:name w:val="Bibliography"/>
    <w:basedOn w:val="Normal"/>
    <w:next w:val="Normal"/>
    <w:uiPriority w:val="37"/>
    <w:unhideWhenUsed/>
    <w:rsid w:val="009925B2"/>
  </w:style>
  <w:style w:type="paragraph" w:styleId="ListParagraph">
    <w:name w:val="List Paragraph"/>
    <w:basedOn w:val="Normal"/>
    <w:uiPriority w:val="34"/>
    <w:qFormat/>
    <w:rsid w:val="00053B8A"/>
    <w:pPr>
      <w:ind w:left="720"/>
      <w:contextualSpacing/>
    </w:pPr>
  </w:style>
  <w:style w:type="table" w:styleId="TableGrid">
    <w:name w:val="Table Grid"/>
    <w:basedOn w:val="TableNormal"/>
    <w:uiPriority w:val="39"/>
    <w:rsid w:val="00465D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ig">
    <w:name w:val="big"/>
    <w:basedOn w:val="DefaultParagraphFont"/>
    <w:rsid w:val="00465D6B"/>
  </w:style>
  <w:style w:type="character" w:styleId="Hyperlink">
    <w:name w:val="Hyperlink"/>
    <w:basedOn w:val="DefaultParagraphFont"/>
    <w:uiPriority w:val="99"/>
    <w:semiHidden/>
    <w:unhideWhenUsed/>
    <w:rsid w:val="0076252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0906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DFD9BC-1166-4F54-916C-4AFCE9B2C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TotalTime>
  <Pages>19</Pages>
  <Words>4989</Words>
  <Characters>28441</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33364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Bolivia Jepkemboi</dc:creator>
  <cp:lastModifiedBy>Rhian</cp:lastModifiedBy>
  <cp:revision>4</cp:revision>
  <dcterms:created xsi:type="dcterms:W3CDTF">2019-09-13T14:07:00Z</dcterms:created>
  <dcterms:modified xsi:type="dcterms:W3CDTF">2019-09-13T16:43:00Z</dcterms:modified>
</cp:coreProperties>
</file>