
<file path=[Content_Types].xml><?xml version="1.0" encoding="utf-8"?>
<Types xmlns="http://schemas.openxmlformats.org/package/2006/content-types">
  <Default Extension="rels" ContentType="application/vnd.openxmlformats-package.relationships+xml"/>
  <Default Extension="png" ContentType="image/png"/>
  <Default Extension="xml" ContentType="application/xml"/>
  <Override PartName="/docProps/core.xml" ContentType="application/vnd.openxmlformats-package.core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 mc:Ignorable="w14 wp14 ">
  <w:body>
    <w:p w14:paraId="00000001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mc:AlternateContent>
          <mc:Choice Requires="wps">
            <w:drawing xmlns:mc="http://schemas.openxmlformats.org/markup-compatibility/2006">
              <wp:anchor allowOverlap="1" behindDoc="1" distT="0" distB="0" distL="114300" distR="114300" layoutInCell="1" locked="0" relativeHeight="251657216" simplePos="0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6858000" cy="9144000"/>
                <wp:effectExtent l="0" t="0" r="0" b="0"/>
                <wp:wrapNone/>
                <wp:docPr id="1082650772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Pr id="8" name="Text Box 4"/>
                      <wps:cNvSpPr txBox="1"/>
                      <wps:spPr>
                        <a:xfrm>
                          <a:off x="0" y="0"/>
                          <a:ext cx="6858000" cy="9144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 id="0">
                        <w:txbxContent>
                          <w:tbl>
                            <w:tblPr>
                              <w:tblW w:w="5000" w:type="pct"/>
                              <w:tblCellMar>
                                <w:left w:w="0" w:type="dxa"/>
                                <w:right w:w="0" w:type="dxa"/>
                              </w:tblCellMar>
                              <w:tblLook w:val="04A0"/>
                            </w:tblPr>
                            <w:tblGrid>
                              <w:gridCol w:w="9026"/>
                            </w:tblGrid>
                            <w:tr>
                              <w:trPr>
                                <w:trHeight w:val="5579" w:hRule="exact"/>
                              </w:trPr>
                              <w:tc>
                                <w:tcPr>
                                  <w:cnfStyle w:val="101000000000"/>
                                  <w:tcW w:w="5000" w:type="pct"/>
                                </w:tcPr>
                                <w:p w14:paraId="00000002">
                                  <w:r>
                                    <w:rPr>
                                      <w:rFonts w:ascii="Arial" w:cs="Arial" w:hAnsi="Arial"/>
                                      <w:b/>
                                      <w:bCs/>
                                      <w:sz w:val="22"/>
                                      <w:szCs w:val="22"/>
                                    </w:rPr>
                                    <w:drawing xmlns:mc="http://schemas.openxmlformats.org/markup-compatibility/2006">
                                      <wp:inline distT="0" distB="0" distL="0" distR="0">
                                        <wp:extent cx="6846231" cy="3594100"/>
                                        <wp:effectExtent l="0" t="0" r="0" b="0"/>
                                        <wp:docPr id="1082650773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09133570" name="Picture 1"/>
                                                <pic:cNvPicPr/>
                                              </pic:nvPicPr>
                                              <pic:blipFill>
                                                <a:blip r:embed="rId23"/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6846231" cy="359410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</w:tr>
                          </w:tbl>
                          <w:p w14:paraId="00000003"/>
                        </w:txbxContent>
                      </wps:txbx>
                      <wps:bodyPr rot="0" spcFirstLastPara="0" vertOverflow="overflow" horzOverflow="overflow" vert="horz" wrap="square" lIns="0" tIns="0" rIns="0" bIns="0" rtlCol="0" anchor="t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3497AF4B-ECD3-1D8D-18F88E440987" coordsize="21600,21600" style="position:absolute;width:540pt;height:720pt;mso-width-percent:0;mso-width-relative:page;mso-height-percent:0;mso-height-relative:page;margin-top:0pt;margin-left:0pt;mso-wrap-distance-left:9pt;mso-wrap-distance-right:9pt;mso-wrap-distance-top:0pt;mso-wrap-distance-bottom:0pt;mso-position-horizontal:center;mso-position-horizontal-relative:page;mso-position-vertical:center;mso-position-vertical-relative:page;rotation:0.000000;z-index:251657216;" stroked="f" o:spt="1" path="m0,0 l0,21600 r21600,0 l21600,0 x e">
                <w10:wrap side="both"/>
                <o:lock/>
              </v:shape>
            </w:pict>
          </mc:Fallback>
        </mc:AlternateContent>
      </w:r>
    </w:p>
    <w:p w14:paraId="00000004">
      <w:pPr>
        <w:spacing w:beforeAutospacing="0" w:afterAutospacing="0" w:line="360" w:lineRule="auto"/>
        <w:rPr>
          <w:rFonts w:ascii="Arial" w:cs="Arial" w:hAnsi="Arial"/>
          <w:b/>
          <w:bCs/>
          <w:sz w:val="22"/>
          <w:szCs w:val="22"/>
        </w:rPr>
      </w:pPr>
      <w:r>
        <w:rPr>
          <w:rFonts w:ascii="Arial" w:cs="Arial" w:hAnsi="Arial"/>
          <w:b/>
          <w:bCs/>
          <w:sz w:val="22"/>
          <w:szCs w:val="22"/>
        </w:rPr>
        <mc:AlternateContent>
          <mc:Choice Requires="wps">
            <w:drawing xmlns:mc="http://schemas.openxmlformats.org/markup-compatibility/2006">
              <wp:anchor allowOverlap="1" behindDoc="0" distT="45720" distB="45720" distL="114300" distR="114300" layoutInCell="1" locked="0" relativeHeight="251662336" simplePos="0">
                <wp:simplePos x="0" y="0"/>
                <wp:positionH relativeFrom="margin">
                  <wp:align>right</wp:align>
                </wp:positionH>
                <wp:positionV relativeFrom="paragraph">
                  <wp:posOffset>2680335</wp:posOffset>
                </wp:positionV>
                <wp:extent cx="5943600" cy="4779010"/>
                <wp:effectExtent l="0" t="0" r="0" b="0"/>
                <wp:wrapSquare wrapText="bothSides"/>
                <wp:docPr id="10826507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Pr id="217" name="Text Box 2"/>
                      <wps:cNvSpPr txBox="1">
                        <a:spLocks noChangeArrowheads="1"/>
                      </wps:cNvSpPr>
                      <wps:spPr>
                        <a:xfrm>
                          <a:off x="0" y="0"/>
                          <a:ext cx="5943600" cy="47790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</a:ln>
                      </wps:spPr>
                      <wps:txbx id="1">
                        <w:txbxContent>
                          <w:p w14:paraId="00000005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BSC (HONS) HEALTH AND SOCIAL CARE</w:t>
                            </w:r>
                          </w:p>
                          <w:p w14:paraId="00000006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STUDENT NAME &amp; ID</w:t>
                            </w:r>
                          </w:p>
                          <w:p w14:paraId="00000007">
                            <w:pPr>
                              <w:spacing w:beforeAutospacing="0" w:afterAutospacing="0" w:line="360" w:lineRule="auto"/>
                              <w:rPr>
                                <w:rFonts w:ascii="Arial" w:cs="Arial" w:hAnsi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cs="Arial" w:hAnsi="Arial"/>
                                <w:color w:val="ffffff" w:themeColor="background1"/>
                                <w:sz w:val="22"/>
                                <w:szCs w:val="22"/>
                              </w:rPr>
                              <w:t>JOELLY OYONO</w:t>
                            </w:r>
                          </w:p>
                          <w:p w14:paraId="00000008">
                            <w:pPr>
                              <w:spacing w:beforeAutospacing="0" w:afterAutospacing="0" w:line="360" w:lineRule="auto"/>
                              <w:rPr>
                                <w:rFonts w:ascii="Arial" w:cs="Arial" w:hAnsi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cs="Arial" w:hAnsi="Arial"/>
                                <w:color w:val="ffffff" w:themeColor="background1"/>
                                <w:sz w:val="22"/>
                                <w:szCs w:val="22"/>
                              </w:rPr>
                              <w:t>2317543</w:t>
                            </w:r>
                          </w:p>
                          <w:p w14:paraId="00000009">
                            <w:pPr>
                              <w:spacing w:beforeAutospacing="0" w:afterAutospacing="0" w:line="360" w:lineRule="auto"/>
                              <w:rPr>
                                <w:rFonts w:ascii="Arial" w:cs="Arial" w:hAnsi="Arial"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</w:p>
                          <w:p w14:paraId="0000000A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MODULE &amp; CODE</w:t>
                            </w:r>
                          </w:p>
                          <w:p w14:paraId="0000000B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Empowering the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o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lder 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p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erson (BMHP6027)</w:t>
                            </w:r>
                          </w:p>
                          <w:p w14:paraId="0000000C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000000D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LECTURER(S)</w:t>
                            </w:r>
                          </w:p>
                          <w:p w14:paraId="0000000E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Dr Laila Surani</w:t>
                            </w:r>
                          </w:p>
                          <w:p w14:paraId="0000000F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Dr Christopher Mafuva</w:t>
                            </w:r>
                          </w:p>
                          <w:p w14:paraId="00000010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00000011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ffff" w:themeColor="background1"/>
                              </w:rPr>
                              <w:t>Date</w:t>
                            </w:r>
                          </w:p>
                          <w:p w14:paraId="00000012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</w:rPr>
                              <w:t>8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July 2026</w:t>
                            </w:r>
                          </w:p>
                          <w:p w14:paraId="00000013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lIns="91440" tIns="45720" rIns="91440" bIns="4572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6B39051B-453D-1306-08F734CC6060" coordsize="21600,21600" style="position:absolute;width:468pt;height:376.3pt;margin-top:211.05pt;margin-left:0pt;mso-wrap-distance-left:9pt;mso-wrap-distance-right:9pt;mso-wrap-distance-top:3.6pt;mso-wrap-distance-bottom:3.6pt;mso-position-horizontal:right;mso-position-horizontal-relative:margin;rotation:0.000000;z-index:251662336;" stroked="f" o:spt="1" path="m0,0 l0,21600 r21600,0 l21600,0 x e">
                <w10:wrap type="square" side="both"/>
                <o:lock/>
              </v:shape>
            </w:pict>
          </mc:Fallback>
        </mc:AlternateContent>
      </w:r>
      <w:r>
        <w:rPr>
          <w:rFonts w:ascii="Arial" w:cs="Arial" w:hAnsi="Arial"/>
          <w:b/>
          <w:bCs/>
          <w:sz w:val="22"/>
          <w:szCs w:val="22"/>
        </w:rPr>
        <mc:AlternateContent>
          <mc:Choice Requires="wps">
            <w:drawing xmlns:mc="http://schemas.openxmlformats.org/markup-compatibility/2006">
              <wp:anchor allowOverlap="1" behindDoc="0" distT="0" distB="0" distL="114300" distR="114300" layoutInCell="1" locked="0" relativeHeight="251660288" simplePos="0">
                <wp:simplePos x="0" y="0"/>
                <wp:positionH relativeFrom="column">
                  <wp:posOffset>-450850</wp:posOffset>
                </wp:positionH>
                <wp:positionV relativeFrom="paragraph">
                  <wp:posOffset>2178685</wp:posOffset>
                </wp:positionV>
                <wp:extent cx="6858000" cy="5715000"/>
                <wp:effectExtent l="0" t="0" r="0" b="0"/>
                <wp:wrapTight wrapText="bothSides">
                  <wp:wrapPolygon edited="0">
                    <wp:start x="0" y="0"/>
                    <wp:lineTo x="0" y="21528"/>
                    <wp:lineTo x="21540" y="21528"/>
                    <wp:lineTo x="21540" y="0"/>
                    <wp:lineTo x="0" y="0"/>
                  </wp:wrapPolygon>
                </wp:wrapTight>
                <wp:docPr id="1082650775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Pr id="1082650763" name="Rectangle 2"/>
                      <wps:cNvSpPr/>
                      <wps:spPr>
                        <a:xfrm>
                          <a:off x="0" y="0"/>
                          <a:ext cx="6858000" cy="5715000"/>
                        </a:xfrm>
                        <a:prstGeom prst="rect">
                          <a:avLst/>
                        </a:prstGeom>
                        <a:solidFill>
                          <a:srgbClr val="003366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rtlCol="0" anchor="ctr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4EADA97F-3CE2-A923-07DE013E174E" coordsize="21600,21600" style="position:absolute;width:540pt;height:450pt;mso-width-percent:0;mso-width-relative:margin;mso-height-percent:0;mso-height-relative:margin;margin-top:171.55pt;margin-left:-35.5pt;mso-wrap-distance-left:9pt;mso-wrap-distance-right:9pt;mso-wrap-distance-top:0pt;mso-wrap-distance-bottom:0pt;rotation:0.000000;z-index:251660288;" wrapcoords="0 0 0 21528 21540 21528 21540 0 0 0" fillcolor="#003366" stroked="f" o:spt="1" path="m0,0 l0,21600 r21600,0 l21600,0 x e">
                <w10:wrap type="tight" side="both"/>
                <v:fill type="solid" color="#003366" opacity="1.000000"/>
                <o:lock/>
              </v:shape>
            </w:pict>
          </mc:Fallback>
        </mc:AlternateContent>
      </w:r>
      <w:r>
        <w:rPr>
          <w:rFonts w:ascii="Arial" w:cs="Arial" w:hAnsi="Arial"/>
          <w:b/>
          <w:bCs/>
          <w:sz w:val="22"/>
          <w:szCs w:val="22"/>
        </w:rPr>
        <w:br w:type="page"/>
      </w:r>
    </w:p>
    <w:p w14:paraId="00000014">
      <w:pPr>
        <w:pStyle w:val="Heading3"/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  <w:u w:val="single"/>
        </w:rPr>
        <w:t>References</w:t>
      </w:r>
    </w:p>
    <w:p w14:paraId="00000015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Age UK (2024) </w:t>
      </w:r>
      <w:r>
        <w:rPr>
          <w:rFonts w:ascii="Arial" w:cs="Arial" w:hAnsi="Arial"/>
          <w:i/>
          <w:iCs/>
          <w:sz w:val="22"/>
          <w:szCs w:val="22"/>
        </w:rPr>
        <w:t>Later Life in the United Kingdom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"https://www.ageuk.org.uk"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https://www.ageuk.org.uk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6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British Geriatrics Society (2023) </w:t>
      </w:r>
      <w:r>
        <w:rPr>
          <w:rFonts w:ascii="Arial" w:cs="Arial" w:hAnsi="Arial"/>
          <w:i/>
          <w:iCs/>
          <w:sz w:val="22"/>
          <w:szCs w:val="22"/>
        </w:rPr>
        <w:t>Fit for Frailty: Best Practice Guidance for the Care of Older People Living with Frailty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"https://www.bgs.org.uk"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https://www.bgs.org.uk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</w:t>
      </w:r>
      <w:r>
        <w:rPr>
          <w:rFonts w:ascii="Arial" w:cs="Arial" w:hAnsi="Arial"/>
          <w:sz w:val="22"/>
          <w:szCs w:val="22"/>
        </w:rPr>
        <w:t>26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7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Coeckelbergh, M. (2022) </w:t>
      </w:r>
      <w:r>
        <w:rPr>
          <w:rFonts w:ascii="Arial" w:cs="Arial" w:hAnsi="Arial"/>
          <w:i/>
          <w:iCs/>
          <w:sz w:val="22"/>
          <w:szCs w:val="22"/>
        </w:rPr>
        <w:t>AI Ethics</w:t>
      </w:r>
      <w:r>
        <w:rPr>
          <w:rFonts w:ascii="Arial" w:cs="Arial" w:hAnsi="Arial"/>
          <w:sz w:val="22"/>
          <w:szCs w:val="22"/>
        </w:rPr>
        <w:t>. Cambridge, MA: MIT Press.</w:t>
      </w:r>
    </w:p>
    <w:p w14:paraId="00000018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Data Protection Act 2018. London: The Stationery Office.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"https://www.legislation.gov.uk/ukpga/2018/12/contents"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https://www.legislation.gov.uk/ukpga/2018/12/contents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7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9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National Institute for Health and Care Excellence (2023) </w:t>
      </w:r>
      <w:r>
        <w:rPr>
          <w:rFonts w:ascii="Arial" w:cs="Arial" w:hAnsi="Arial"/>
          <w:i/>
          <w:iCs/>
          <w:sz w:val="22"/>
          <w:szCs w:val="22"/>
        </w:rPr>
        <w:t>Older People: Independence and Mental Wellbeing (NG32)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"https://www.nice.org.uk/guidance/ng32"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https://www.nice.org.uk/guidance/ng32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A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NHS England (2019) </w:t>
      </w:r>
      <w:r>
        <w:rPr>
          <w:rFonts w:ascii="Arial" w:cs="Arial" w:hAnsi="Arial"/>
          <w:i/>
          <w:iCs/>
          <w:sz w:val="22"/>
          <w:szCs w:val="22"/>
        </w:rPr>
        <w:t>The NHS Long Term Plan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"https://www.longtermplan.nhs.uk"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https://www.longtermplan.nhs.uk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B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NHS England (2024) </w:t>
      </w:r>
      <w:r>
        <w:rPr>
          <w:rFonts w:ascii="Arial" w:cs="Arial" w:hAnsi="Arial"/>
          <w:i/>
          <w:iCs/>
          <w:sz w:val="22"/>
          <w:szCs w:val="22"/>
        </w:rPr>
        <w:t>The NHS Long Term Workforce Plan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"https://www.england.nhs.uk/long-read/nhs-long-term-workforce-plan"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https://www.england.nhs.uk/long-read/nhs-long-term-workforce-plan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C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Office for National Statistics (2024) </w:t>
      </w:r>
      <w:r>
        <w:rPr>
          <w:rFonts w:ascii="Arial" w:cs="Arial" w:hAnsi="Arial"/>
          <w:i/>
          <w:iCs/>
          <w:sz w:val="22"/>
          <w:szCs w:val="22"/>
        </w:rPr>
        <w:t>Internet Users, UK: 2024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"https://www.ons.gov.uk"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https://www.ons.gov.uk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D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Royal College of Nursing (2024) </w:t>
      </w:r>
      <w:r>
        <w:rPr>
          <w:rFonts w:ascii="Arial" w:cs="Arial" w:hAnsi="Arial"/>
          <w:i/>
          <w:iCs/>
          <w:sz w:val="22"/>
          <w:szCs w:val="22"/>
        </w:rPr>
        <w:t>Nursing Workforce Standards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"https://www.rcn.org.uk"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https://www.rcn.org.uk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7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1E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Sharkey, A. and Sharkey, N. (2019) 'Granny and the robots: Ethical issues in robot care for the elderly', </w:t>
      </w:r>
      <w:r>
        <w:rPr>
          <w:rFonts w:ascii="Arial" w:cs="Arial" w:hAnsi="Arial"/>
          <w:i/>
          <w:iCs/>
          <w:sz w:val="22"/>
          <w:szCs w:val="22"/>
        </w:rPr>
        <w:t>Ethics and Information Technology</w:t>
      </w:r>
      <w:r>
        <w:rPr>
          <w:rFonts w:ascii="Arial" w:cs="Arial" w:hAnsi="Arial"/>
          <w:sz w:val="22"/>
          <w:szCs w:val="22"/>
        </w:rPr>
        <w:t>, 21(1), pp. 63–75.</w:t>
      </w:r>
    </w:p>
    <w:p w14:paraId="0000001F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Skills for Care (2024) </w:t>
      </w:r>
      <w:r>
        <w:rPr>
          <w:rFonts w:ascii="Arial" w:cs="Arial" w:hAnsi="Arial"/>
          <w:i/>
          <w:iCs/>
          <w:sz w:val="22"/>
          <w:szCs w:val="22"/>
        </w:rPr>
        <w:t>The State of the Adult Social Care Sector and Workforce in England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"https://www.skillsforcare.org.uk"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https://www.skillsforcare.org.uk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20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Sparrow, R. and Sparrow, L. (2020) 'In the hands of machines? The future of aged care', </w:t>
      </w:r>
      <w:r>
        <w:rPr>
          <w:rFonts w:ascii="Arial" w:cs="Arial" w:hAnsi="Arial"/>
          <w:i/>
          <w:iCs/>
          <w:sz w:val="22"/>
          <w:szCs w:val="22"/>
        </w:rPr>
        <w:t>Ethics and Social Welfare</w:t>
      </w:r>
      <w:r>
        <w:rPr>
          <w:rFonts w:ascii="Arial" w:cs="Arial" w:hAnsi="Arial"/>
          <w:sz w:val="22"/>
          <w:szCs w:val="22"/>
        </w:rPr>
        <w:t>, 14(2), pp. 151–167.</w:t>
      </w:r>
    </w:p>
    <w:p w14:paraId="00000021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Topol, E. (2019) </w:t>
      </w:r>
      <w:r>
        <w:rPr>
          <w:rFonts w:ascii="Arial" w:cs="Arial" w:hAnsi="Arial"/>
          <w:i/>
          <w:iCs/>
          <w:sz w:val="22"/>
          <w:szCs w:val="22"/>
        </w:rPr>
        <w:t>Deep Medicine: How Artificial Intelligence Can Make Healthcare Human Again</w:t>
      </w:r>
      <w:r>
        <w:rPr>
          <w:rFonts w:ascii="Arial" w:cs="Arial" w:hAnsi="Arial"/>
          <w:sz w:val="22"/>
          <w:szCs w:val="22"/>
        </w:rPr>
        <w:t>. New York: Basic Books.</w:t>
      </w:r>
    </w:p>
    <w:p w14:paraId="00000022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World Health Organization (2021) </w:t>
      </w:r>
      <w:r>
        <w:rPr>
          <w:rFonts w:ascii="Arial" w:cs="Arial" w:hAnsi="Arial"/>
          <w:i/>
          <w:iCs/>
          <w:sz w:val="22"/>
          <w:szCs w:val="22"/>
        </w:rPr>
        <w:t>Global Report on Ageism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"https://www.who.int/publications/i/item/9789240016866"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https://www.who.int/publications/i/item/9789240016866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23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World Health Organization (2022) </w:t>
      </w:r>
      <w:r>
        <w:rPr>
          <w:rFonts w:ascii="Arial" w:cs="Arial" w:hAnsi="Arial"/>
          <w:i/>
          <w:iCs/>
          <w:sz w:val="22"/>
          <w:szCs w:val="22"/>
        </w:rPr>
        <w:t>Global Strategy on Digital Health 2020–2025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"https://www.who.int/publications/i/item/9789240020924"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https://www.who.int/publications/i/item/9789240020924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6</w:t>
      </w:r>
      <w:r>
        <w:rPr>
          <w:rFonts w:ascii="Arial" w:cs="Arial" w:hAnsi="Arial"/>
          <w:sz w:val="22"/>
          <w:szCs w:val="22"/>
        </w:rPr>
        <w:t xml:space="preserve"> July 2026).</w:t>
      </w:r>
    </w:p>
    <w:p w14:paraId="00000024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European Commission (2020) </w:t>
      </w:r>
      <w:r>
        <w:rPr>
          <w:rFonts w:ascii="Arial" w:cs="Arial" w:hAnsi="Arial"/>
          <w:i/>
          <w:iCs/>
          <w:sz w:val="22"/>
          <w:szCs w:val="22"/>
        </w:rPr>
        <w:t>White Paper on Artificial Intelligence: A European Approach to Excellence and Trust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"https://commission.europa.eu"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https://commission.europa.eu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7</w:t>
      </w:r>
      <w:r>
        <w:rPr>
          <w:rFonts w:ascii="Arial" w:cs="Arial" w:hAnsi="Arial"/>
          <w:sz w:val="22"/>
          <w:szCs w:val="22"/>
        </w:rPr>
        <w:t xml:space="preserve"> July 2026). </w:t>
      </w:r>
    </w:p>
    <w:p w14:paraId="00000025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Floridi, L. and Cowls, J. (2022) 'A unified framework of five principles for AI in society', </w:t>
      </w:r>
      <w:r>
        <w:rPr>
          <w:rFonts w:ascii="Arial" w:cs="Arial" w:hAnsi="Arial"/>
          <w:i/>
          <w:iCs/>
          <w:sz w:val="22"/>
          <w:szCs w:val="22"/>
        </w:rPr>
        <w:t>Harvard Data Science Review</w:t>
      </w:r>
      <w:r>
        <w:rPr>
          <w:rFonts w:ascii="Arial" w:cs="Arial" w:hAnsi="Arial"/>
          <w:sz w:val="22"/>
          <w:szCs w:val="22"/>
        </w:rPr>
        <w:t xml:space="preserve">, 4(1), pp. 1–15. </w:t>
      </w:r>
    </w:p>
    <w:p w14:paraId="00000026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International Federation of Robotics (2024) </w:t>
      </w:r>
      <w:r>
        <w:rPr>
          <w:rFonts w:ascii="Arial" w:cs="Arial" w:hAnsi="Arial"/>
          <w:i/>
          <w:iCs/>
          <w:sz w:val="22"/>
          <w:szCs w:val="22"/>
        </w:rPr>
        <w:t>World Robotics Report 2024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"https://ifr.org"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https://ifr.org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7</w:t>
      </w:r>
      <w:r>
        <w:rPr>
          <w:rFonts w:ascii="Arial" w:cs="Arial" w:hAnsi="Arial"/>
          <w:sz w:val="22"/>
          <w:szCs w:val="22"/>
        </w:rPr>
        <w:t xml:space="preserve"> July 2026). </w:t>
      </w:r>
    </w:p>
    <w:p w14:paraId="00000027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Mental Capacity Act 2005. London: The Stationery Office.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"https://www.legislation.gov.uk/ukpga/2005/9/contents"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https://www.legislation.gov.uk/ukpga/2005/9/contents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 xml:space="preserve">6 </w:t>
      </w:r>
      <w:r>
        <w:rPr>
          <w:rFonts w:ascii="Arial" w:cs="Arial" w:hAnsi="Arial"/>
          <w:sz w:val="22"/>
          <w:szCs w:val="22"/>
        </w:rPr>
        <w:t>J</w:t>
      </w:r>
      <w:r>
        <w:rPr>
          <w:rFonts w:ascii="Arial" w:cs="Arial" w:hAnsi="Arial"/>
          <w:sz w:val="22"/>
          <w:szCs w:val="22"/>
        </w:rPr>
        <w:t>ul</w:t>
      </w:r>
      <w:r>
        <w:rPr>
          <w:rFonts w:ascii="Arial" w:cs="Arial" w:hAnsi="Arial"/>
          <w:sz w:val="22"/>
          <w:szCs w:val="22"/>
        </w:rPr>
        <w:t xml:space="preserve">y 2026). </w:t>
      </w:r>
    </w:p>
    <w:p w14:paraId="00000028">
      <w:pPr>
        <w:spacing w:beforeAutospacing="0" w:afterAutospacing="0" w:line="360" w:lineRule="auto"/>
        <w:rPr>
          <w:rFonts w:ascii="Arial" w:cs="Arial" w:hAnsi="Arial"/>
          <w:sz w:val="22"/>
          <w:szCs w:val="22"/>
        </w:rPr>
      </w:pPr>
      <w:r>
        <w:rPr>
          <w:rFonts w:ascii="Arial" w:cs="Arial" w:hAnsi="Arial"/>
          <w:sz w:val="22"/>
          <w:szCs w:val="22"/>
        </w:rPr>
        <w:t xml:space="preserve">World Health Organization (2024) </w:t>
      </w:r>
      <w:r>
        <w:rPr>
          <w:rFonts w:ascii="Arial" w:cs="Arial" w:hAnsi="Arial"/>
          <w:i/>
          <w:iCs/>
          <w:sz w:val="22"/>
          <w:szCs w:val="22"/>
        </w:rPr>
        <w:t>Ageing and Health</w:t>
      </w:r>
      <w:r>
        <w:rPr>
          <w:rFonts w:ascii="Arial" w:cs="Arial" w:hAnsi="Arial"/>
          <w:sz w:val="22"/>
          <w:szCs w:val="22"/>
        </w:rPr>
        <w:t xml:space="preserve">. Available at: </w:t>
      </w:r>
      <w:r>
        <w:rPr>
          <w:rStyle w:val="Hyperlink"/>
          <w:rFonts w:ascii="Arial" w:cs="Arial" w:hAnsi="Arial"/>
          <w:sz w:val="22"/>
          <w:szCs w:val="22"/>
        </w:rPr>
        <w:fldChar w:fldCharType="begin"/>
      </w:r>
      <w:r>
        <w:rPr>
          <w:rStyle w:val="Hyperlink"/>
          <w:rFonts w:ascii="Arial" w:cs="Arial" w:hAnsi="Arial"/>
          <w:sz w:val="22"/>
          <w:szCs w:val="22"/>
        </w:rPr>
        <w:instrText xml:space="preserve">HYPERLINK "https://www.who.int/news-room/fact-sheets/detail/ageing-and-health" </w:instrText>
      </w:r>
      <w:r>
        <w:rPr>
          <w:rStyle w:val="Hyperlink"/>
          <w:rFonts w:ascii="Arial" w:cs="Arial" w:hAnsi="Arial"/>
          <w:sz w:val="22"/>
          <w:szCs w:val="22"/>
        </w:rPr>
        <w:fldChar w:fldCharType="separate"/>
      </w:r>
      <w:r>
        <w:rPr>
          <w:rStyle w:val="Hyperlink"/>
          <w:rFonts w:ascii="Arial" w:cs="Arial" w:hAnsi="Arial"/>
          <w:sz w:val="22"/>
          <w:szCs w:val="22"/>
        </w:rPr>
        <w:t>https://www.who.int/news-room/fact-sheets/detail/ageing-and-health</w:t>
      </w:r>
      <w:r>
        <w:rPr>
          <w:rFonts w:ascii="Arial" w:cs="Arial" w:hAnsi="Arial"/>
          <w:sz w:val="22"/>
          <w:szCs w:val="22"/>
        </w:rPr>
        <w:fldChar w:fldCharType="end"/>
      </w:r>
      <w:r>
        <w:rPr>
          <w:rFonts w:ascii="Arial" w:cs="Arial" w:hAnsi="Arial"/>
          <w:sz w:val="22"/>
          <w:szCs w:val="22"/>
        </w:rPr>
        <w:t xml:space="preserve"> (Accessed: 2</w:t>
      </w:r>
      <w:r>
        <w:rPr>
          <w:rFonts w:ascii="Arial" w:cs="Arial" w:hAnsi="Arial"/>
          <w:sz w:val="22"/>
          <w:szCs w:val="22"/>
        </w:rPr>
        <w:t>7</w:t>
      </w:r>
      <w:r>
        <w:rPr>
          <w:rFonts w:ascii="Arial" w:cs="Arial" w:hAnsi="Arial"/>
          <w:sz w:val="22"/>
          <w:szCs w:val="22"/>
        </w:rPr>
        <w:t xml:space="preserve"> July 2026).</w:t>
      </w:r>
    </w:p>
    <w:sectPr>
      <w:pgSz w:w="12240" w:h="15840"/>
      <w:pgMar w:top="1440" w:right="1440" w:bottom="1440" w:left="1440" w:header="720" w:footer="720" w:gutter="0"/>
      <w:pgNumType w:start="0"/>
      <w:cols w:space="720"/>
      <w:titlePg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00000000" w:usb1="00000000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Helvetica Neue">
    <w:charset w:val="00"/>
    <w:family w:val="swiss"/>
    <w:pitch w:val="variable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multilevel"/>
    <w:lvl w:ilvl="0" w:tentative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050"/>
    <w:rsid w:val="00000346"/>
    <w:rsid w:val="003B224F"/>
    <w:rsid w:val="00403CCE"/>
    <w:rsid w:val="0063456A"/>
    <w:rsid w:val="00680BDC"/>
    <w:rsid w:val="006F00C0"/>
    <w:rsid w:val="007E0EB2"/>
    <w:rsid w:val="009763DB"/>
    <w:rsid w:val="009C5656"/>
    <w:rsid w:val="00C90335"/>
    <w:rsid w:val="00DA67BE"/>
    <w:rsid w:val="00E60050"/>
    <w:rsid w:val="00EE3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E52AC"/>
  <w15:chartTrackingRefBased/>
  <w15:docId w15:val="{907A3801-0016-437B-B005-2819CF00B843}"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val="en-US" w:bidi="ar-SA" w:eastAsia="en-US"/>
        <w14:ligatures w14:val="standardContextual"/>
      </w:rPr>
    </w:rPrDefault>
    <w:pPrDefault>
      <w:pPr>
        <w:spacing w:beforeAutospacing="0" w:after="160" w:afterAutospacing="0" w:line="278" w:lineRule="auto"/>
      </w:pPr>
    </w:pPrDefault>
  </w:docDefaults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beforeAutospacing="0" w:after="0" w:afterAutospacing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character" w:styleId="FollowedHyperlink">
    <w:name w:val="FollowedHyperlink"/>
    <w:basedOn w:val="DefaultParagraphFont"/>
    <w:uiPriority w:val="99"/>
    <w:semiHidden w:val="on"/>
    <w:unhideWhenUsed w:val="on"/>
    <w:rPr>
      <w:color w:val="96607d" w:themeColor="followedHyperlink"/>
      <w:u w:val="single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beforeAutospacing="0" w:after="0" w:afterAutospacing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beforeAutospacing="0" w:after="0" w:afterAutospacing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beforeAutospacing="0" w:after="200" w:afterAutospacing="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99"/>
    <w:qFormat w:val="on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360" w:beforeAutospacing="0" w:after="80" w:afterAutospacing="0"/>
    </w:pPr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60" w:beforeAutospacing="0" w:after="80" w:afterAutospacing="0"/>
    </w:pPr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60" w:beforeAutospacing="0" w:after="80" w:afterAutospacing="0"/>
    </w:pPr>
    <w:rPr>
      <w:rFonts w:cstheme="majorBidi" w:eastAsiaTheme="majorEastAsia"/>
      <w:color w:val="10476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80" w:beforeAutospacing="0" w:after="40" w:afterAutospacing="0"/>
    </w:pPr>
    <w:rPr>
      <w:rFonts w:cstheme="majorBidi" w:eastAsiaTheme="majorEastAsia"/>
      <w:i/>
      <w:iCs/>
      <w:color w:val="10476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80" w:beforeAutospacing="0" w:after="40" w:afterAutospacing="0"/>
    </w:pPr>
    <w:rPr>
      <w:rFonts w:cstheme="majorBidi" w:eastAsiaTheme="majorEastAsia"/>
      <w:color w:val="10476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40" w:beforeAutospacing="0" w:after="0" w:afterAutospacing="0"/>
    </w:pPr>
    <w:rPr>
      <w:rFonts w:cstheme="majorBidi" w:eastAsiaTheme="majorEastAsia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40" w:beforeAutospacing="0" w:after="0" w:afterAutospacing="0"/>
    </w:pPr>
    <w:rPr>
      <w:rFonts w:cstheme="majorBidi" w:eastAsiaTheme="majorEastAsia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Autospacing="0" w:after="0" w:afterAutospacing="0"/>
    </w:pPr>
    <w:rPr>
      <w:rFonts w:cstheme="majorBidi" w:eastAsiaTheme="majorEastAsia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Autospacing="0" w:after="0" w:afterAutospacing="0"/>
    </w:pPr>
    <w:rPr>
      <w:rFonts w:cstheme="majorBidi" w:eastAsiaTheme="majorEastAsia"/>
      <w:color w:val="272727" w:themeColor="text1" w:themeTint="d8"/>
    </w:rPr>
  </w:style>
  <w:style w:type="character" w:default="1" w:styleId="DefaultParagraphFont">
    <w:name w:val="Default Paragraph Font"/>
    <w:uiPriority w:val="1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cstheme="majorBidi" w:eastAsiaTheme="majorEastAsia"/>
      <w:color w:val="10476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 w:val="on"/>
    <w:rPr>
      <w:rFonts w:cstheme="majorBidi" w:eastAsiaTheme="majorEastAsia"/>
      <w:i/>
      <w:iCs/>
      <w:color w:val="10476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 w:val="on"/>
    <w:rPr>
      <w:rFonts w:cstheme="majorBidi" w:eastAsiaTheme="majorEastAsia"/>
      <w:color w:val="10476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 w:val="on"/>
    <w:rPr>
      <w:rFonts w:cstheme="majorBidi" w:eastAsiaTheme="majorEastAsia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 w:val="on"/>
    <w:rPr>
      <w:rFonts w:cstheme="majorBidi" w:eastAsiaTheme="majorEastAsia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 w:val="on"/>
    <w:rPr>
      <w:rFonts w:cstheme="majorBidi" w:eastAsiaTheme="majorEastAsia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 w:val="on"/>
    <w:rPr>
      <w:rFonts w:cstheme="majorBidi" w:eastAsiaTheme="majorEastAsia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beforeAutospacing="0" w:after="80" w:afterAutospacing="0" w:line="240" w:lineRule="auto"/>
      <w:contextualSpacing w:val="on"/>
    </w:pPr>
    <w:rPr>
      <w:rFonts w:asciiTheme="majorHAnsi" w:cstheme="majorBidi" w:eastAsiaTheme="majorEastAsia" w:hAnsiTheme="majorHAns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on"/>
    <w:pPr>
      <w:spacing w:before="160" w:beforeAutospacing="0" w:afterAutospacing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character" w:styleId="IntenseEmphasis">
    <w:name w:val="Intense Emphasis"/>
    <w:basedOn w:val="DefaultParagraphFont"/>
    <w:uiPriority w:val="21"/>
    <w:qFormat w:val="on"/>
    <w:rPr>
      <w:i/>
      <w:iCs/>
      <w:color w:val="10476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top w:val="single" w:color="104760" w:themeColor="accent1" w:themeShade="bf" w:sz="4" w:space="10"/>
        <w:bottom w:val="single" w:color="104760" w:themeColor="accent1" w:themeShade="bf" w:sz="4" w:space="10"/>
      </w:pBdr>
      <w:spacing w:before="360" w:beforeAutospacing="0" w:after="360" w:afterAutospacing="0"/>
      <w:ind w:left="864" w:right="864"/>
      <w:jc w:val="center"/>
    </w:pPr>
    <w:rPr>
      <w:i/>
      <w:iCs/>
      <w:color w:val="10476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104760" w:themeColor="accent1" w:themeShade="bf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104760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 w:val="on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on"/>
    <w:unhideWhenUsed w:val="on"/>
    <w:rPr>
      <w:color w:val="605e5c"/>
      <w:shd w:val="clear" w:color="auto" w:fill="e1dfdd"/>
    </w:rPr>
  </w:style>
  <w:style w:type="paragraph" w:styleId="NoSpacing">
    <w:name w:val="No Spacing"/>
    <w:uiPriority w:val="1"/>
    <w:qFormat w:val="on"/>
    <w:pPr>
      <w:spacing w:beforeAutospacing="0" w:after="0" w:afterAutospacing="0" w:line="240" w:lineRule="auto"/>
    </w:pPr>
    <w:rPr>
      <w:color w:val="0e2841" w:themeColor="text2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23" Type="http://schemas.openxmlformats.org/officeDocument/2006/relationships/image" Target="media/image2.png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hyperlink" Target="https://www.ageuk.org.uk" TargetMode="External"/><Relationship Id="rId7" Type="http://schemas.openxmlformats.org/officeDocument/2006/relationships/hyperlink" Target="https://www.bgs.org.uk" TargetMode="External"/><Relationship Id="rId8" Type="http://schemas.openxmlformats.org/officeDocument/2006/relationships/hyperlink" Target="https://www.legislation.gov.uk/ukpga/2018/12/contents" TargetMode="External"/><Relationship Id="rId9" Type="http://schemas.openxmlformats.org/officeDocument/2006/relationships/hyperlink" Target="https://www.nice.org.uk/guidance/ng32" TargetMode="External"/><Relationship Id="rId10" Type="http://schemas.openxmlformats.org/officeDocument/2006/relationships/hyperlink" Target="https://www.longtermplan.nhs.uk" TargetMode="External"/><Relationship Id="rId11" Type="http://schemas.openxmlformats.org/officeDocument/2006/relationships/hyperlink" Target="https://www.england.nhs.uk/long-read/nhs-long-term-workforce-plan" TargetMode="External"/><Relationship Id="rId12" Type="http://schemas.openxmlformats.org/officeDocument/2006/relationships/hyperlink" Target="https://www.ons.gov.uk" TargetMode="External"/><Relationship Id="rId13" Type="http://schemas.openxmlformats.org/officeDocument/2006/relationships/hyperlink" Target="https://www.rcn.org.uk" TargetMode="External"/><Relationship Id="rId14" Type="http://schemas.openxmlformats.org/officeDocument/2006/relationships/hyperlink" Target="https://www.skillsforcare.org.uk" TargetMode="External"/><Relationship Id="rId15" Type="http://schemas.openxmlformats.org/officeDocument/2006/relationships/hyperlink" Target="https://www.who.int/publications/i/item/9789240016866" TargetMode="External"/><Relationship Id="rId16" Type="http://schemas.openxmlformats.org/officeDocument/2006/relationships/hyperlink" Target="https://www.who.int/publications/i/item/9789240020924" TargetMode="External"/><Relationship Id="rId17" Type="http://schemas.openxmlformats.org/officeDocument/2006/relationships/hyperlink" Target="https://commission.europa.eu" TargetMode="External"/><Relationship Id="rId18" Type="http://schemas.openxmlformats.org/officeDocument/2006/relationships/hyperlink" Target="https://ifr.org" TargetMode="External"/><Relationship Id="rId19" Type="http://schemas.openxmlformats.org/officeDocument/2006/relationships/hyperlink" Target="https://www.legislation.gov.uk/ukpga/2005/9/contents" TargetMode="External"/><Relationship Id="rId20" Type="http://schemas.openxmlformats.org/officeDocument/2006/relationships/hyperlink" Target="https://www.who.int/news-room/fact-sheets/detail/ageing-and-health" TargetMode="External"/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Aptos" panose="0211000402020202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9</Pages>
  <Words>2385</Words>
  <Characters>13597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Artemis Vyudantrome</dc:creator>
  <cp:lastModifiedBy>unknown</cp:lastModifiedBy>
</cp:coreProperties>
</file>