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0F671"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b/>
          <w:bCs/>
          <w:kern w:val="0"/>
          <w:lang w:eastAsia="en-GB"/>
          <w14:ligatures w14:val="none"/>
        </w:rPr>
        <w:t>Research question:</w:t>
      </w:r>
      <w:r w:rsidRPr="00EF5787">
        <w:rPr>
          <w:rFonts w:ascii="Arial" w:eastAsia="Times New Roman" w:hAnsi="Arial" w:cs="Arial"/>
          <w:kern w:val="0"/>
          <w:lang w:eastAsia="en-GB"/>
          <w14:ligatures w14:val="none"/>
        </w:rPr>
        <w:t> </w:t>
      </w:r>
    </w:p>
    <w:p w14:paraId="260B563F"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t>What is the impact of screen time on the development of children in their early childhood years and does the content and context of the screen time matter?  </w:t>
      </w:r>
    </w:p>
    <w:p w14:paraId="1BF878D8"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b/>
          <w:bCs/>
          <w:kern w:val="0"/>
          <w:lang w:eastAsia="en-GB"/>
          <w14:ligatures w14:val="none"/>
        </w:rPr>
        <w:t>Literature review:</w:t>
      </w:r>
      <w:r w:rsidRPr="00EF5787">
        <w:rPr>
          <w:rFonts w:ascii="Arial" w:eastAsia="Times New Roman" w:hAnsi="Arial" w:cs="Arial"/>
          <w:kern w:val="0"/>
          <w:lang w:eastAsia="en-GB"/>
          <w14:ligatures w14:val="none"/>
        </w:rPr>
        <w:t> </w:t>
      </w:r>
    </w:p>
    <w:p w14:paraId="2640B4A9"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t>The primary objective of this study is to ascertain the effect of screen time on the development of children during their early childhood years. Screen time is described as the amount of time a child uses interacting with any device that has a screen (Welsh Government, 2020). The aim is to explore both the potential benefits and documented risks of excessive access to screens during the most prominent and crucial years of childhood. The literature that has been reviewed has a focus on the past studies carried out in respect to the question. Primarily, focusing on studies predominantly executed within the previous 5 years, thus providing more accurate and up-to-date findings. By critically evaluating the available research and the response of related policies, the review will aim to highlight both the progress that has already been made and the ongoing gaps in understanding the role screen time is having on the development of children in the digital age. </w:t>
      </w:r>
    </w:p>
    <w:p w14:paraId="1B5F8818"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t>The topic of screen time has become a popular discussion amongst professionals in the early childhood sector, more so with the increased prevalence of children having access to screens from an earlier age. A report by the Education Committee (2024) found that one in four children aged between three and four years old had access to their own mobile device. This statistic is echoed by a recent Ofcom report carried out by the BBC (2025), which suggests that around 25% of three to five years olds now own their own smart phone. These statistics underline the need for a deeper understanding of the developing impacts that screen time is having upon the future generations. </w:t>
      </w:r>
    </w:p>
    <w:p w14:paraId="3AF4CC3F"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t>A large and growing body of literature has investigated the effects of screen time from an early age, and it is evident from this that in today's digital era, screens ranging from the television to tablets and computers have become embedded in the daily routines and lives of young children. One longitudinal study carried out in 2025 found that around 30% of a child's waking hours are being based around screen time interactions (Hayes et al., 2025). However, this study is not without its limitations that warrant consideration.  </w:t>
      </w:r>
    </w:p>
    <w:p w14:paraId="5C4C6A52"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t>First, the study does not consider the context of the screen time that is being provided to children; is it educational with a parent present or is it purely for solitary passive entertainment purposes? Quality versus quantity is a question that ought to be raised and needs further exploration.  </w:t>
      </w:r>
    </w:p>
    <w:p w14:paraId="7A97B908"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t xml:space="preserve">Secondly, while this </w:t>
      </w:r>
      <w:proofErr w:type="gramStart"/>
      <w:r w:rsidRPr="00EF5787">
        <w:rPr>
          <w:rFonts w:ascii="Arial" w:eastAsia="Times New Roman" w:hAnsi="Arial" w:cs="Arial"/>
          <w:kern w:val="0"/>
          <w:lang w:eastAsia="en-GB"/>
          <w14:ligatures w14:val="none"/>
        </w:rPr>
        <w:t>particular study</w:t>
      </w:r>
      <w:proofErr w:type="gramEnd"/>
      <w:r w:rsidRPr="00EF5787">
        <w:rPr>
          <w:rFonts w:ascii="Arial" w:eastAsia="Times New Roman" w:hAnsi="Arial" w:cs="Arial"/>
          <w:kern w:val="0"/>
          <w:lang w:eastAsia="en-GB"/>
          <w14:ligatures w14:val="none"/>
        </w:rPr>
        <w:t xml:space="preserve"> shows relevance in an Australian context, the study's findings may not be applicable for generalisation across the globe, with other cultures or countries having differing access to and views on digital media. This could be seen as cultural bias, and these limitations would </w:t>
      </w:r>
      <w:proofErr w:type="gramStart"/>
      <w:r w:rsidRPr="00EF5787">
        <w:rPr>
          <w:rFonts w:ascii="Arial" w:eastAsia="Times New Roman" w:hAnsi="Arial" w:cs="Arial"/>
          <w:kern w:val="0"/>
          <w:lang w:eastAsia="en-GB"/>
          <w14:ligatures w14:val="none"/>
        </w:rPr>
        <w:t>be of significant importance</w:t>
      </w:r>
      <w:proofErr w:type="gramEnd"/>
      <w:r w:rsidRPr="00EF5787">
        <w:rPr>
          <w:rFonts w:ascii="Arial" w:eastAsia="Times New Roman" w:hAnsi="Arial" w:cs="Arial"/>
          <w:kern w:val="0"/>
          <w:lang w:eastAsia="en-GB"/>
          <w14:ligatures w14:val="none"/>
        </w:rPr>
        <w:t xml:space="preserve"> to future research to gain a more comprehensive understanding of the multifaceted factors that surround children in their use of screens. </w:t>
      </w:r>
    </w:p>
    <w:p w14:paraId="29A261AB"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t xml:space="preserve">Despite concerns, multiple research studies have identified potential benefits of the introduction of screen time in a child's early years. For instance, one </w:t>
      </w:r>
      <w:proofErr w:type="gramStart"/>
      <w:r w:rsidRPr="00EF5787">
        <w:rPr>
          <w:rFonts w:ascii="Arial" w:eastAsia="Times New Roman" w:hAnsi="Arial" w:cs="Arial"/>
          <w:kern w:val="0"/>
          <w:lang w:eastAsia="en-GB"/>
          <w14:ligatures w14:val="none"/>
        </w:rPr>
        <w:t>particular study</w:t>
      </w:r>
      <w:proofErr w:type="gramEnd"/>
      <w:r w:rsidRPr="00EF5787">
        <w:rPr>
          <w:rFonts w:ascii="Arial" w:eastAsia="Times New Roman" w:hAnsi="Arial" w:cs="Arial"/>
          <w:kern w:val="0"/>
          <w:lang w:eastAsia="en-GB"/>
          <w14:ligatures w14:val="none"/>
        </w:rPr>
        <w:t xml:space="preserve"> has suggested that screens and screen-based activities can have their developmental </w:t>
      </w:r>
      <w:proofErr w:type="gramStart"/>
      <w:r w:rsidRPr="00EF5787">
        <w:rPr>
          <w:rFonts w:ascii="Arial" w:eastAsia="Times New Roman" w:hAnsi="Arial" w:cs="Arial"/>
          <w:kern w:val="0"/>
          <w:lang w:eastAsia="en-GB"/>
          <w14:ligatures w14:val="none"/>
        </w:rPr>
        <w:t>benefits;</w:t>
      </w:r>
      <w:proofErr w:type="gramEnd"/>
      <w:r w:rsidRPr="00EF5787">
        <w:rPr>
          <w:rFonts w:ascii="Arial" w:eastAsia="Times New Roman" w:hAnsi="Arial" w:cs="Arial"/>
          <w:kern w:val="0"/>
          <w:lang w:eastAsia="en-GB"/>
          <w14:ligatures w14:val="none"/>
        </w:rPr>
        <w:t> for example, the enhancement of early literacy skills and possibly facilitating social interaction (Canadian Paediatric Society, 2017).  </w:t>
      </w:r>
    </w:p>
    <w:p w14:paraId="5589970A"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t>However, concerns have emerged regarding the overuse and inappropriate application of screen time.  </w:t>
      </w:r>
    </w:p>
    <w:p w14:paraId="1A744422"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kern w:val="0"/>
          <w:lang w:eastAsia="en-GB"/>
          <w14:ligatures w14:val="none"/>
        </w:rPr>
        <w:lastRenderedPageBreak/>
        <w:t>There are several studies that suggest compensating outdoor playtime with excessive and inappropriate screen time is having a detrimental effect on young children's cognitive and social development, particularly at a time in which this growth is of rapid ascent. For instance, some research has concluded that children of age two who were exposed to excessive screen time had a direct negative impact on their language and communication by age four. However, they found these adverse effects could be alleviated and mitigated with the introduction of more outdoor play and physical activity (</w:t>
      </w:r>
      <w:r w:rsidRPr="00EF5787">
        <w:rPr>
          <w:rFonts w:ascii="Arial" w:eastAsia="Times New Roman" w:hAnsi="Arial" w:cs="Arial"/>
          <w:color w:val="1B1B1B"/>
          <w:kern w:val="0"/>
          <w:lang w:eastAsia="en-GB"/>
          <w14:ligatures w14:val="none"/>
        </w:rPr>
        <w:t>Sugiyama, 2023; Oswald, 2020).  </w:t>
      </w:r>
    </w:p>
    <w:p w14:paraId="79669C99"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xml:space="preserve">Although, despite the reliability of these longitudinal studies, they too do not come without several limitations that were found while interpreting their findings. The categorisation of screen time was simplified as “more than one hour per day.” This could have a detrimental effect on the lack of knowledge surrounding the actual duration and content of media in which is being viewed. Again, the question must be asked: is it educational with a co-viewing care giver present or is </w:t>
      </w:r>
      <w:proofErr w:type="gramStart"/>
      <w:r w:rsidRPr="00EF5787">
        <w:rPr>
          <w:rFonts w:ascii="Arial" w:eastAsia="Times New Roman" w:hAnsi="Arial" w:cs="Arial"/>
          <w:color w:val="1B1B1B"/>
          <w:kern w:val="0"/>
          <w:lang w:eastAsia="en-GB"/>
          <w14:ligatures w14:val="none"/>
        </w:rPr>
        <w:t>it</w:t>
      </w:r>
      <w:proofErr w:type="gramEnd"/>
      <w:r w:rsidRPr="00EF5787">
        <w:rPr>
          <w:rFonts w:ascii="Arial" w:eastAsia="Times New Roman" w:hAnsi="Arial" w:cs="Arial"/>
          <w:color w:val="1B1B1B"/>
          <w:kern w:val="0"/>
          <w:lang w:eastAsia="en-GB"/>
          <w14:ligatures w14:val="none"/>
        </w:rPr>
        <w:t xml:space="preserve"> unsupervised entertainment? </w:t>
      </w:r>
    </w:p>
    <w:p w14:paraId="70928806"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Similarly, the context in which outdoor play is described is found to be a binary classification in which the quality of play, along with the context and type of play, is not considered and therefore does not give a holistic view of its findings, thus leading to overall unreliable results.  </w:t>
      </w:r>
    </w:p>
    <w:p w14:paraId="4079447E"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However, in response to growing research on the effects of excessive screen usage in the early childhood years, numerous policies and guidance documents have been established to help support and guide care givers in managing their young person's screen time. </w:t>
      </w:r>
    </w:p>
    <w:p w14:paraId="0745686C"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The Welsh Government (2020) initiated a guide for families surrounding the importance of the discussions around screen time in young children. Published under the title ‘A Family Guide to Talking About Screen Time,’ the guide touches upon the relevance of balancing a child’s screen time with the offerings of outdoor physical activity and the negative effects that nighttime screen usage can have on sleep. They also offer insight into the behaviours that are worth monitoring for the purpose of ensuring that children are not being overconsumed by the screen.  </w:t>
      </w:r>
    </w:p>
    <w:p w14:paraId="0CC3B820"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The guide could be an imperative resource for parents that are unsure of what is vital in protecting and nurturing their young children, as well as themselves, as they navigate the complexities of the early childhood years that are becoming increasingly governed by the digital age (Welsh Government, 2020).  </w:t>
      </w:r>
    </w:p>
    <w:p w14:paraId="4B7B62A4"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xml:space="preserve">Moreover, the Welsh Government (2024) has also seen the need to form guidance on the topic of digital resilience within the educational sector. They describe digital resilience as ‘the need to develop knowledge, skills and strategies’ that will ensure young children are equipped with everything they need to ensure they are aware of protecting their digital identity and know when to seek help, should they need it. However, the guidance also touches upon the need for resilience within families and communities, suggesting that </w:t>
      </w:r>
      <w:proofErr w:type="gramStart"/>
      <w:r w:rsidRPr="00EF5787">
        <w:rPr>
          <w:rFonts w:ascii="Arial" w:eastAsia="Times New Roman" w:hAnsi="Arial" w:cs="Arial"/>
          <w:color w:val="1B1B1B"/>
          <w:kern w:val="0"/>
          <w:lang w:eastAsia="en-GB"/>
          <w14:ligatures w14:val="none"/>
        </w:rPr>
        <w:t>in order to</w:t>
      </w:r>
      <w:proofErr w:type="gramEnd"/>
      <w:r w:rsidRPr="00EF5787">
        <w:rPr>
          <w:rFonts w:ascii="Arial" w:eastAsia="Times New Roman" w:hAnsi="Arial" w:cs="Arial"/>
          <w:color w:val="1B1B1B"/>
          <w:kern w:val="0"/>
          <w:lang w:eastAsia="en-GB"/>
          <w14:ligatures w14:val="none"/>
        </w:rPr>
        <w:t xml:space="preserve"> ensure our children and young people foster the knowledge needed to keep themselves safe, it first starts with the caregivers (Welsh Government, 2024).   </w:t>
      </w:r>
    </w:p>
    <w:p w14:paraId="5783FE33"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xml:space="preserve">To summarise, given the vast amounts of research already conducted regarding the effects of screen time in the early childhood years, there are prominent gaps that would serve as a sound basis for future research. One significant gap is that of the quality versus quantity debate. There are limited studies surrounding the actual contextual factors surrounding screen time, such as the nature of their screen time interactions and the presence or absence of adult supervision. There are also significant gaps </w:t>
      </w:r>
      <w:r w:rsidRPr="00EF5787">
        <w:rPr>
          <w:rFonts w:ascii="Arial" w:eastAsia="Times New Roman" w:hAnsi="Arial" w:cs="Arial"/>
          <w:color w:val="1B1B1B"/>
          <w:kern w:val="0"/>
          <w:lang w:eastAsia="en-GB"/>
          <w14:ligatures w14:val="none"/>
        </w:rPr>
        <w:lastRenderedPageBreak/>
        <w:t>in culturally inclusive studies, with the existing research not considering the differentiating cultural norms associated with screen time usage.  </w:t>
      </w:r>
    </w:p>
    <w:p w14:paraId="7DBBD572"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b/>
          <w:bCs/>
          <w:color w:val="1B1B1B"/>
          <w:kern w:val="0"/>
          <w:lang w:eastAsia="en-GB"/>
          <w14:ligatures w14:val="none"/>
        </w:rPr>
        <w:t>Methodological considerations:</w:t>
      </w:r>
      <w:r w:rsidRPr="00EF5787">
        <w:rPr>
          <w:rFonts w:ascii="Arial" w:eastAsia="Times New Roman" w:hAnsi="Arial" w:cs="Arial"/>
          <w:color w:val="1B1B1B"/>
          <w:kern w:val="0"/>
          <w:lang w:eastAsia="en-GB"/>
          <w14:ligatures w14:val="none"/>
        </w:rPr>
        <w:t> </w:t>
      </w:r>
    </w:p>
    <w:p w14:paraId="29F87E56"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b/>
          <w:bCs/>
          <w:color w:val="1B1B1B"/>
          <w:kern w:val="0"/>
          <w:lang w:eastAsia="en-GB"/>
          <w14:ligatures w14:val="none"/>
        </w:rPr>
        <w:t>Chosen methods</w:t>
      </w:r>
      <w:r w:rsidRPr="00EF5787">
        <w:rPr>
          <w:rFonts w:ascii="Arial" w:eastAsia="Times New Roman" w:hAnsi="Arial" w:cs="Arial"/>
          <w:color w:val="1B1B1B"/>
          <w:kern w:val="0"/>
          <w:lang w:eastAsia="en-GB"/>
          <w14:ligatures w14:val="none"/>
        </w:rPr>
        <w:t> </w:t>
      </w:r>
    </w:p>
    <w:p w14:paraId="3D136FE6"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xml:space="preserve">Research methods are described as the practice of collecting data with the intention of analysing and interpreting the results, in the hopes of gaining new knowledge </w:t>
      </w:r>
      <w:proofErr w:type="gramStart"/>
      <w:r w:rsidRPr="00EF5787">
        <w:rPr>
          <w:rFonts w:ascii="Arial" w:eastAsia="Times New Roman" w:hAnsi="Arial" w:cs="Arial"/>
          <w:color w:val="1B1B1B"/>
          <w:kern w:val="0"/>
          <w:lang w:eastAsia="en-GB"/>
          <w14:ligatures w14:val="none"/>
        </w:rPr>
        <w:t>in regard to</w:t>
      </w:r>
      <w:proofErr w:type="gramEnd"/>
      <w:r w:rsidRPr="00EF5787">
        <w:rPr>
          <w:rFonts w:ascii="Arial" w:eastAsia="Times New Roman" w:hAnsi="Arial" w:cs="Arial"/>
          <w:color w:val="1B1B1B"/>
          <w:kern w:val="0"/>
          <w:lang w:eastAsia="en-GB"/>
          <w14:ligatures w14:val="none"/>
        </w:rPr>
        <w:t xml:space="preserve"> a specific research question (Creswell and Creswell, 2022; </w:t>
      </w:r>
      <w:proofErr w:type="spellStart"/>
      <w:r w:rsidRPr="00EF5787">
        <w:rPr>
          <w:rFonts w:ascii="Arial" w:eastAsia="Times New Roman" w:hAnsi="Arial" w:cs="Arial"/>
          <w:color w:val="1B1B1B"/>
          <w:kern w:val="0"/>
          <w:lang w:eastAsia="en-GB"/>
          <w14:ligatures w14:val="none"/>
        </w:rPr>
        <w:t>Ghanad</w:t>
      </w:r>
      <w:proofErr w:type="spellEnd"/>
      <w:r w:rsidRPr="00EF5787">
        <w:rPr>
          <w:rFonts w:ascii="Arial" w:eastAsia="Times New Roman" w:hAnsi="Arial" w:cs="Arial"/>
          <w:color w:val="1B1B1B"/>
          <w:kern w:val="0"/>
          <w:lang w:eastAsia="en-GB"/>
          <w14:ligatures w14:val="none"/>
        </w:rPr>
        <w:t>, 2023). These are considered valuable instruments that researchers can implement whilst undertaking any form of inquiry (</w:t>
      </w:r>
      <w:proofErr w:type="spellStart"/>
      <w:r w:rsidRPr="00EF5787">
        <w:rPr>
          <w:rFonts w:ascii="Arial" w:eastAsia="Times New Roman" w:hAnsi="Arial" w:cs="Arial"/>
          <w:color w:val="1B1B1B"/>
          <w:kern w:val="0"/>
          <w:lang w:eastAsia="en-GB"/>
          <w14:ligatures w14:val="none"/>
        </w:rPr>
        <w:t>Walliman</w:t>
      </w:r>
      <w:proofErr w:type="spellEnd"/>
      <w:r w:rsidRPr="00EF5787">
        <w:rPr>
          <w:rFonts w:ascii="Arial" w:eastAsia="Times New Roman" w:hAnsi="Arial" w:cs="Arial"/>
          <w:color w:val="1B1B1B"/>
          <w:kern w:val="0"/>
          <w:lang w:eastAsia="en-GB"/>
          <w14:ligatures w14:val="none"/>
        </w:rPr>
        <w:t>, 2021).  </w:t>
      </w:r>
    </w:p>
    <w:p w14:paraId="2DB8AF69"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There are multiple research methods available, all with varying strategies and differing objectives. However, for the purpose of this study, a mixed method approach (Almalki, 2016) will be adopted. This means combining both quantitative methods, like surveys and questionnaires that provide numerical data (</w:t>
      </w:r>
      <w:proofErr w:type="spellStart"/>
      <w:r w:rsidRPr="00EF5787">
        <w:rPr>
          <w:rFonts w:ascii="Arial" w:eastAsia="Times New Roman" w:hAnsi="Arial" w:cs="Arial"/>
          <w:color w:val="1B1B1B"/>
          <w:kern w:val="0"/>
          <w:lang w:eastAsia="en-GB"/>
          <w14:ligatures w14:val="none"/>
        </w:rPr>
        <w:t>Apuke</w:t>
      </w:r>
      <w:proofErr w:type="spellEnd"/>
      <w:r w:rsidRPr="00EF5787">
        <w:rPr>
          <w:rFonts w:ascii="Arial" w:eastAsia="Times New Roman" w:hAnsi="Arial" w:cs="Arial"/>
          <w:color w:val="1B1B1B"/>
          <w:kern w:val="0"/>
          <w:lang w:eastAsia="en-GB"/>
          <w14:ligatures w14:val="none"/>
        </w:rPr>
        <w:t>, 2017), with qualitative methods, such as interviews and observations that will provide a more detailed and personal insight (Dodgson, 2017). By applying both these methods, it will provide a broader spectrum of results (Almeida, 2018; Plano Clark, 2016), allowing researchers to capture both in-depth perspectives and numerical trends. By applying this balanced methodological approach, it provides the study with a multifaceted and more comprehensive understanding of the research topic (Adu, et al. 2022).  </w:t>
      </w:r>
    </w:p>
    <w:p w14:paraId="212E155B"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The research questions guiding this study are as follows: </w:t>
      </w:r>
    </w:p>
    <w:p w14:paraId="7FF5FF19"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Questions generated for parents: </w:t>
      </w:r>
    </w:p>
    <w:p w14:paraId="1B486762" w14:textId="77777777" w:rsidR="00EF5787" w:rsidRPr="00EF5787" w:rsidRDefault="00EF5787" w:rsidP="00EF5787">
      <w:pPr>
        <w:numPr>
          <w:ilvl w:val="0"/>
          <w:numId w:val="1"/>
        </w:numPr>
        <w:spacing w:after="0" w:line="240" w:lineRule="auto"/>
        <w:ind w:left="1080" w:firstLine="0"/>
        <w:jc w:val="both"/>
        <w:textAlignment w:val="baseline"/>
        <w:rPr>
          <w:rFonts w:ascii="Arial" w:eastAsia="Times New Roman" w:hAnsi="Arial" w:cs="Arial"/>
          <w:kern w:val="0"/>
          <w:lang w:eastAsia="en-GB"/>
          <w14:ligatures w14:val="none"/>
        </w:rPr>
      </w:pPr>
      <w:r w:rsidRPr="00EF5787">
        <w:rPr>
          <w:rFonts w:ascii="Arial" w:eastAsia="Times New Roman" w:hAnsi="Arial" w:cs="Arial"/>
          <w:color w:val="1B1B1B"/>
          <w:kern w:val="0"/>
          <w:lang w:eastAsia="en-GB"/>
          <w14:ligatures w14:val="none"/>
        </w:rPr>
        <w:t>How much screen time does your child engage in daily? </w:t>
      </w:r>
    </w:p>
    <w:p w14:paraId="43B2D379" w14:textId="77777777" w:rsidR="00EF5787" w:rsidRPr="00EF5787" w:rsidRDefault="00EF5787" w:rsidP="00EF5787">
      <w:pPr>
        <w:numPr>
          <w:ilvl w:val="0"/>
          <w:numId w:val="2"/>
        </w:numPr>
        <w:spacing w:after="0" w:line="240" w:lineRule="auto"/>
        <w:ind w:left="1080" w:firstLine="0"/>
        <w:jc w:val="both"/>
        <w:textAlignment w:val="baseline"/>
        <w:rPr>
          <w:rFonts w:ascii="Arial" w:eastAsia="Times New Roman" w:hAnsi="Arial" w:cs="Arial"/>
          <w:kern w:val="0"/>
          <w:lang w:eastAsia="en-GB"/>
          <w14:ligatures w14:val="none"/>
        </w:rPr>
      </w:pPr>
      <w:r w:rsidRPr="00EF5787">
        <w:rPr>
          <w:rFonts w:ascii="Arial" w:eastAsia="Times New Roman" w:hAnsi="Arial" w:cs="Arial"/>
          <w:color w:val="1B1B1B"/>
          <w:kern w:val="0"/>
          <w:lang w:eastAsia="en-GB"/>
          <w14:ligatures w14:val="none"/>
        </w:rPr>
        <w:t>What type of screen time do they engage in? (educational and/or entertainment).  </w:t>
      </w:r>
    </w:p>
    <w:p w14:paraId="3E679DA0"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w:t>
      </w:r>
    </w:p>
    <w:p w14:paraId="2816E6B5" w14:textId="77777777" w:rsidR="00EF5787" w:rsidRPr="00EF5787" w:rsidRDefault="00EF5787" w:rsidP="00EF5787">
      <w:pPr>
        <w:spacing w:after="0" w:line="240" w:lineRule="auto"/>
        <w:ind w:left="720"/>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w:t>
      </w:r>
    </w:p>
    <w:p w14:paraId="119D7098"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Questions generated for practitioners: </w:t>
      </w:r>
    </w:p>
    <w:p w14:paraId="5FF52B98" w14:textId="77777777" w:rsidR="00EF5787" w:rsidRPr="00EF5787" w:rsidRDefault="00EF5787" w:rsidP="00EF5787">
      <w:pPr>
        <w:numPr>
          <w:ilvl w:val="0"/>
          <w:numId w:val="3"/>
        </w:numPr>
        <w:spacing w:after="0" w:line="240" w:lineRule="auto"/>
        <w:ind w:left="1080" w:firstLine="0"/>
        <w:jc w:val="both"/>
        <w:textAlignment w:val="baseline"/>
        <w:rPr>
          <w:rFonts w:ascii="Arial" w:eastAsia="Times New Roman" w:hAnsi="Arial" w:cs="Arial"/>
          <w:kern w:val="0"/>
          <w:lang w:eastAsia="en-GB"/>
          <w14:ligatures w14:val="none"/>
        </w:rPr>
      </w:pPr>
      <w:r w:rsidRPr="00EF5787">
        <w:rPr>
          <w:rFonts w:ascii="Arial" w:eastAsia="Times New Roman" w:hAnsi="Arial" w:cs="Arial"/>
          <w:color w:val="1B1B1B"/>
          <w:kern w:val="0"/>
          <w:lang w:eastAsia="en-GB"/>
          <w14:ligatures w14:val="none"/>
        </w:rPr>
        <w:t>Have any positive or negative observations been made regarding children's communication, attention, and social skills that you believe could be linked to screen use? </w:t>
      </w:r>
    </w:p>
    <w:p w14:paraId="5B963EC8" w14:textId="77777777" w:rsidR="00EF5787" w:rsidRPr="00EF5787" w:rsidRDefault="00EF5787" w:rsidP="00EF5787">
      <w:pPr>
        <w:numPr>
          <w:ilvl w:val="0"/>
          <w:numId w:val="4"/>
        </w:numPr>
        <w:spacing w:after="0" w:line="240" w:lineRule="auto"/>
        <w:ind w:left="1080" w:firstLine="0"/>
        <w:jc w:val="both"/>
        <w:textAlignment w:val="baseline"/>
        <w:rPr>
          <w:rFonts w:ascii="Arial" w:eastAsia="Times New Roman" w:hAnsi="Arial" w:cs="Arial"/>
          <w:kern w:val="0"/>
          <w:lang w:eastAsia="en-GB"/>
          <w14:ligatures w14:val="none"/>
        </w:rPr>
      </w:pPr>
      <w:r w:rsidRPr="00EF5787">
        <w:rPr>
          <w:rFonts w:ascii="Arial" w:eastAsia="Times New Roman" w:hAnsi="Arial" w:cs="Arial"/>
          <w:color w:val="1B1B1B"/>
          <w:kern w:val="0"/>
          <w:lang w:eastAsia="en-GB"/>
          <w14:ligatures w14:val="none"/>
        </w:rPr>
        <w:t>Do you believe context and content matter in terms of screen usage? </w:t>
      </w:r>
    </w:p>
    <w:p w14:paraId="2DF37352"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These questions and methods were purposefully selected (Palinkas et al., 2015) with the aim of gaining a more holistic view of the effects of screen time usage on children in their early years, considering the type of content they engage with and the length of time that engagement is for.  </w:t>
      </w:r>
    </w:p>
    <w:p w14:paraId="6F9BE382"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b/>
          <w:bCs/>
          <w:color w:val="1B1B1B"/>
          <w:kern w:val="0"/>
          <w:lang w:eastAsia="en-GB"/>
          <w14:ligatures w14:val="none"/>
        </w:rPr>
        <w:t>Sample choice</w:t>
      </w:r>
      <w:r w:rsidRPr="00EF5787">
        <w:rPr>
          <w:rFonts w:ascii="Arial" w:eastAsia="Times New Roman" w:hAnsi="Arial" w:cs="Arial"/>
          <w:color w:val="1B1B1B"/>
          <w:kern w:val="0"/>
          <w:lang w:eastAsia="en-GB"/>
          <w14:ligatures w14:val="none"/>
        </w:rPr>
        <w:t> </w:t>
      </w:r>
    </w:p>
    <w:p w14:paraId="4A73E072"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To gain an understanding of the questions being posed, a mixed-method approach will be used, with both quantitative and qualitative data. </w:t>
      </w:r>
    </w:p>
    <w:p w14:paraId="5A7656BF"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xml:space="preserve">The qualitative aspect of the study will involve the use of purposive sampling to select early years practitioners. These practitioners will possess the specific knowledge and experience needed to provide contextual insights into children's behaviour and development in response to screen time. Purposive sampling is best suited here, as it is recognised for its suitability </w:t>
      </w:r>
      <w:proofErr w:type="gramStart"/>
      <w:r w:rsidRPr="00EF5787">
        <w:rPr>
          <w:rFonts w:ascii="Arial" w:eastAsia="Times New Roman" w:hAnsi="Arial" w:cs="Arial"/>
          <w:color w:val="1B1B1B"/>
          <w:kern w:val="0"/>
          <w:lang w:eastAsia="en-GB"/>
          <w14:ligatures w14:val="none"/>
        </w:rPr>
        <w:t>in regard to</w:t>
      </w:r>
      <w:proofErr w:type="gramEnd"/>
      <w:r w:rsidRPr="00EF5787">
        <w:rPr>
          <w:rFonts w:ascii="Arial" w:eastAsia="Times New Roman" w:hAnsi="Arial" w:cs="Arial"/>
          <w:color w:val="1B1B1B"/>
          <w:kern w:val="0"/>
          <w:lang w:eastAsia="en-GB"/>
          <w14:ligatures w14:val="none"/>
        </w:rPr>
        <w:t xml:space="preserve"> qualitative research, where we can prioritise depth of research over breadth </w:t>
      </w:r>
      <w:r w:rsidRPr="00EF5787">
        <w:rPr>
          <w:rFonts w:ascii="Arial" w:eastAsia="Times New Roman" w:hAnsi="Arial" w:cs="Arial"/>
          <w:kern w:val="0"/>
          <w:lang w:eastAsia="en-GB"/>
          <w14:ligatures w14:val="none"/>
        </w:rPr>
        <w:t>(</w:t>
      </w:r>
      <w:proofErr w:type="spellStart"/>
      <w:r w:rsidRPr="00EF5787">
        <w:rPr>
          <w:rFonts w:ascii="Arial" w:eastAsia="Times New Roman" w:hAnsi="Arial" w:cs="Arial"/>
          <w:kern w:val="0"/>
          <w:lang w:eastAsia="en-GB"/>
          <w14:ligatures w14:val="none"/>
        </w:rPr>
        <w:t>Etikan</w:t>
      </w:r>
      <w:proofErr w:type="spellEnd"/>
      <w:r w:rsidRPr="00EF5787">
        <w:rPr>
          <w:rFonts w:ascii="Arial" w:eastAsia="Times New Roman" w:hAnsi="Arial" w:cs="Arial"/>
          <w:kern w:val="0"/>
          <w:lang w:eastAsia="en-GB"/>
          <w14:ligatures w14:val="none"/>
        </w:rPr>
        <w:t xml:space="preserve">, Musa &amp; </w:t>
      </w:r>
      <w:proofErr w:type="spellStart"/>
      <w:r w:rsidRPr="00EF5787">
        <w:rPr>
          <w:rFonts w:ascii="Arial" w:eastAsia="Times New Roman" w:hAnsi="Arial" w:cs="Arial"/>
          <w:kern w:val="0"/>
          <w:lang w:eastAsia="en-GB"/>
          <w14:ligatures w14:val="none"/>
        </w:rPr>
        <w:t>Alkassim</w:t>
      </w:r>
      <w:proofErr w:type="spellEnd"/>
      <w:r w:rsidRPr="00EF5787">
        <w:rPr>
          <w:rFonts w:ascii="Arial" w:eastAsia="Times New Roman" w:hAnsi="Arial" w:cs="Arial"/>
          <w:kern w:val="0"/>
          <w:lang w:eastAsia="en-GB"/>
          <w14:ligatures w14:val="none"/>
        </w:rPr>
        <w:t xml:space="preserve">, 2016; </w:t>
      </w:r>
      <w:r w:rsidRPr="00EF5787">
        <w:rPr>
          <w:rFonts w:ascii="Arial" w:eastAsia="Times New Roman" w:hAnsi="Arial" w:cs="Arial"/>
          <w:color w:val="1B1B1B"/>
          <w:kern w:val="0"/>
          <w:lang w:eastAsia="en-GB"/>
          <w14:ligatures w14:val="none"/>
        </w:rPr>
        <w:t>Palinkas et al., 2015).  </w:t>
      </w:r>
    </w:p>
    <w:p w14:paraId="08EAB55B"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Practitioners will be recruited from nurseries and early years settings situated within the predefined geographical area, such as a single county within a region in Wales. This targeted approach will ensure participants are easily accessible and most relevant to the sociocultural context of the study (Houghton, Harten &amp; McDonald, 2015). </w:t>
      </w:r>
    </w:p>
    <w:p w14:paraId="2F3C20FA"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lastRenderedPageBreak/>
        <w:t>Between six and eight practitioners will be invited to participate in two to three focus groups; this is usually deemed an acceptable range for achieving data saturation (Guest, Namey and Mckenna, 2017). These focus groups will allow for a large depth of dialogue and the opportunity for practitioners to share their diverse perspectives on the topic of screen time influences. A group setting also supports and actively encourages a dynamic interaction between the sample participants, enabling them to reflect and elaborate on each other's experiences and perspectives (Kruger and Casey, 2015).  </w:t>
      </w:r>
    </w:p>
    <w:p w14:paraId="30C9E426"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For the quantitative aspect of the study, questionnaires will be distributed to caregivers of children aged between two and five years old. The purpose of the questions will be to gather insights into the amount, type and context of the screen time that their children engage with. The caregivers will be recruited using convenience sampling, primarily through the early years settings and parent groups located in the local area or using social media.  </w:t>
      </w:r>
    </w:p>
    <w:p w14:paraId="4C424AAA"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xml:space="preserve">The target sample will be sought in the region of approximately fifty to one hundred caregiver respondents. This is usually considered sufficient in identifying a trend within a </w:t>
      </w:r>
      <w:proofErr w:type="gramStart"/>
      <w:r w:rsidRPr="00EF5787">
        <w:rPr>
          <w:rFonts w:ascii="Arial" w:eastAsia="Times New Roman" w:hAnsi="Arial" w:cs="Arial"/>
          <w:color w:val="1B1B1B"/>
          <w:kern w:val="0"/>
          <w:lang w:eastAsia="en-GB"/>
          <w14:ligatures w14:val="none"/>
        </w:rPr>
        <w:t>small scale</w:t>
      </w:r>
      <w:proofErr w:type="gramEnd"/>
      <w:r w:rsidRPr="00EF5787">
        <w:rPr>
          <w:rFonts w:ascii="Arial" w:eastAsia="Times New Roman" w:hAnsi="Arial" w:cs="Arial"/>
          <w:color w:val="1B1B1B"/>
          <w:kern w:val="0"/>
          <w:lang w:eastAsia="en-GB"/>
          <w14:ligatures w14:val="none"/>
        </w:rPr>
        <w:t xml:space="preserve"> study (Creswell and Creswell, 2018; Bryman, 2016). The application of the caregiver questionnaires allows for a broader, more measurable identification of patterns in relation to screen time usage across different households, which will help complement the more detailed, </w:t>
      </w:r>
      <w:proofErr w:type="gramStart"/>
      <w:r w:rsidRPr="00EF5787">
        <w:rPr>
          <w:rFonts w:ascii="Arial" w:eastAsia="Times New Roman" w:hAnsi="Arial" w:cs="Arial"/>
          <w:color w:val="1B1B1B"/>
          <w:kern w:val="0"/>
          <w:lang w:eastAsia="en-GB"/>
          <w14:ligatures w14:val="none"/>
        </w:rPr>
        <w:t>experience based</w:t>
      </w:r>
      <w:proofErr w:type="gramEnd"/>
      <w:r w:rsidRPr="00EF5787">
        <w:rPr>
          <w:rFonts w:ascii="Arial" w:eastAsia="Times New Roman" w:hAnsi="Arial" w:cs="Arial"/>
          <w:color w:val="1B1B1B"/>
          <w:kern w:val="0"/>
          <w:lang w:eastAsia="en-GB"/>
          <w14:ligatures w14:val="none"/>
        </w:rPr>
        <w:t xml:space="preserve"> insights that were provided by focus groups. </w:t>
      </w:r>
    </w:p>
    <w:p w14:paraId="263732D4"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This mixed methods approach will ensure that the research conducted captures both the subjective viewpoints of the professional practitioners who work directly with children and the practical realities of families who are navigating screen time usage at home. </w:t>
      </w:r>
    </w:p>
    <w:p w14:paraId="2EA5A50A"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Moreover, when used together, these samples offer a comprehensive understanding of the effects of screen time both at home and within early education settings during the critical early years of child development (Fetters, Curry &amp; Creswell, 2013; Doyle et al., 2020).  </w:t>
      </w:r>
    </w:p>
    <w:p w14:paraId="23B9490D"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b/>
          <w:bCs/>
          <w:color w:val="1B1B1B"/>
          <w:kern w:val="0"/>
          <w:lang w:eastAsia="en-GB"/>
          <w14:ligatures w14:val="none"/>
        </w:rPr>
        <w:t xml:space="preserve">Strengths and limitations </w:t>
      </w:r>
      <w:r w:rsidRPr="00EF5787">
        <w:rPr>
          <w:rFonts w:ascii="Arial" w:eastAsia="Times New Roman" w:hAnsi="Arial" w:cs="Arial"/>
          <w:color w:val="1B1B1B"/>
          <w:kern w:val="0"/>
          <w:lang w:eastAsia="en-GB"/>
          <w14:ligatures w14:val="none"/>
        </w:rPr>
        <w:t> </w:t>
      </w:r>
    </w:p>
    <w:p w14:paraId="16343817"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There are numerous strengths and limitations related to the chosen research methods. One obvious strength is that of using the combination of quantitative and qualitative methods, as this ensures a multifaceted understanding of the research topic (Creswell and Plano Clark, 2017). The quantitative data retrieved from the parental questionnaires will provide measurable insights into screen time habits, while the qualitative data gathered from the practitioners' focus groups will offer a more in-depth perspective on the contextual factors influencing young children’s screen time (Braun and Clarke, 2021).  </w:t>
      </w:r>
    </w:p>
    <w:p w14:paraId="6C587EF4"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xml:space="preserve">Focus </w:t>
      </w:r>
      <w:proofErr w:type="gramStart"/>
      <w:r w:rsidRPr="00EF5787">
        <w:rPr>
          <w:rFonts w:ascii="Arial" w:eastAsia="Times New Roman" w:hAnsi="Arial" w:cs="Arial"/>
          <w:color w:val="1B1B1B"/>
          <w:kern w:val="0"/>
          <w:lang w:eastAsia="en-GB"/>
          <w14:ligatures w14:val="none"/>
        </w:rPr>
        <w:t>groups in particular, can</w:t>
      </w:r>
      <w:proofErr w:type="gramEnd"/>
      <w:r w:rsidRPr="00EF5787">
        <w:rPr>
          <w:rFonts w:ascii="Arial" w:eastAsia="Times New Roman" w:hAnsi="Arial" w:cs="Arial"/>
          <w:color w:val="1B1B1B"/>
          <w:kern w:val="0"/>
          <w:lang w:eastAsia="en-GB"/>
          <w14:ligatures w14:val="none"/>
        </w:rPr>
        <w:t xml:space="preserve"> help with facilitating discussions amongst the participants, allowing them to elaborate on their experiences and views with others. This method is effective in exploring complex issues like screen time usage, as social context plays a significant role. This group dynamic allows for the findings of a diverse range of perspectives (Barbour, 2018; </w:t>
      </w:r>
      <w:proofErr w:type="spellStart"/>
      <w:r w:rsidRPr="00EF5787">
        <w:rPr>
          <w:rFonts w:ascii="Arial" w:eastAsia="Times New Roman" w:hAnsi="Arial" w:cs="Arial"/>
          <w:color w:val="1B1B1B"/>
          <w:kern w:val="0"/>
          <w:lang w:eastAsia="en-GB"/>
          <w14:ligatures w14:val="none"/>
        </w:rPr>
        <w:t>Nyumba</w:t>
      </w:r>
      <w:proofErr w:type="spellEnd"/>
      <w:r w:rsidRPr="00EF5787">
        <w:rPr>
          <w:rFonts w:ascii="Arial" w:eastAsia="Times New Roman" w:hAnsi="Arial" w:cs="Arial"/>
          <w:color w:val="1B1B1B"/>
          <w:kern w:val="0"/>
          <w:lang w:eastAsia="en-GB"/>
          <w14:ligatures w14:val="none"/>
        </w:rPr>
        <w:t xml:space="preserve"> et al., 2018). </w:t>
      </w:r>
    </w:p>
    <w:p w14:paraId="1A0B441D"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Moreover, the use of focus groups as a data collection method is relatively inexpensive and can yield a large amount of data during a short amount of time. This efficiency makes focus groups an attractive method for gathering qualitative data in early years research, especially as it is well known that the early years settings are a busy environment, with </w:t>
      </w:r>
      <w:proofErr w:type="gramStart"/>
      <w:r w:rsidRPr="00EF5787">
        <w:rPr>
          <w:rFonts w:ascii="Arial" w:eastAsia="Times New Roman" w:hAnsi="Arial" w:cs="Arial"/>
          <w:color w:val="1B1B1B"/>
          <w:kern w:val="0"/>
          <w:lang w:eastAsia="en-GB"/>
          <w14:ligatures w14:val="none"/>
        </w:rPr>
        <w:t>practitioners</w:t>
      </w:r>
      <w:proofErr w:type="gramEnd"/>
      <w:r w:rsidRPr="00EF5787">
        <w:rPr>
          <w:rFonts w:ascii="Arial" w:eastAsia="Times New Roman" w:hAnsi="Arial" w:cs="Arial"/>
          <w:color w:val="1B1B1B"/>
          <w:kern w:val="0"/>
          <w:lang w:eastAsia="en-GB"/>
          <w14:ligatures w14:val="none"/>
        </w:rPr>
        <w:t xml:space="preserve"> time being very valuable and their availability being limited (Gill et al., 2018).  </w:t>
      </w:r>
    </w:p>
    <w:p w14:paraId="3D40CE8C"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lastRenderedPageBreak/>
        <w:t xml:space="preserve">Nonetheless, after exploring the strengths, the limitations cannot be ignored. The quantitative aspect of data collection through the parental questionnaires may be subject to biases such as social desirability; this could potentially affect the accuracy of the data that has been collected. Care givers might over or under report the child's screen time use and its content </w:t>
      </w:r>
      <w:proofErr w:type="gramStart"/>
      <w:r w:rsidRPr="00EF5787">
        <w:rPr>
          <w:rFonts w:ascii="Arial" w:eastAsia="Times New Roman" w:hAnsi="Arial" w:cs="Arial"/>
          <w:color w:val="1B1B1B"/>
          <w:kern w:val="0"/>
          <w:lang w:eastAsia="en-GB"/>
          <w14:ligatures w14:val="none"/>
        </w:rPr>
        <w:t>in an attempt to</w:t>
      </w:r>
      <w:proofErr w:type="gramEnd"/>
      <w:r w:rsidRPr="00EF5787">
        <w:rPr>
          <w:rFonts w:ascii="Arial" w:eastAsia="Times New Roman" w:hAnsi="Arial" w:cs="Arial"/>
          <w:color w:val="1B1B1B"/>
          <w:kern w:val="0"/>
          <w:lang w:eastAsia="en-GB"/>
          <w14:ligatures w14:val="none"/>
        </w:rPr>
        <w:t xml:space="preserve"> align with perceived social norms, leading to inaccuracies in the overall data (</w:t>
      </w:r>
      <w:proofErr w:type="spellStart"/>
      <w:r w:rsidRPr="00EF5787">
        <w:rPr>
          <w:rFonts w:ascii="Arial" w:eastAsia="Times New Roman" w:hAnsi="Arial" w:cs="Arial"/>
          <w:color w:val="1B1B1B"/>
          <w:kern w:val="0"/>
          <w:lang w:eastAsia="en-GB"/>
          <w14:ligatures w14:val="none"/>
        </w:rPr>
        <w:t>Krumpal</w:t>
      </w:r>
      <w:proofErr w:type="spellEnd"/>
      <w:r w:rsidRPr="00EF5787">
        <w:rPr>
          <w:rFonts w:ascii="Arial" w:eastAsia="Times New Roman" w:hAnsi="Arial" w:cs="Arial"/>
          <w:color w:val="1B1B1B"/>
          <w:kern w:val="0"/>
          <w:lang w:eastAsia="en-GB"/>
          <w14:ligatures w14:val="none"/>
        </w:rPr>
        <w:t xml:space="preserve">, 2013; Adams et al., 2021). This </w:t>
      </w:r>
      <w:proofErr w:type="gramStart"/>
      <w:r w:rsidRPr="00EF5787">
        <w:rPr>
          <w:rFonts w:ascii="Arial" w:eastAsia="Times New Roman" w:hAnsi="Arial" w:cs="Arial"/>
          <w:color w:val="1B1B1B"/>
          <w:kern w:val="0"/>
          <w:lang w:eastAsia="en-GB"/>
          <w14:ligatures w14:val="none"/>
        </w:rPr>
        <w:t>particular limitation</w:t>
      </w:r>
      <w:proofErr w:type="gramEnd"/>
      <w:r w:rsidRPr="00EF5787">
        <w:rPr>
          <w:rFonts w:ascii="Arial" w:eastAsia="Times New Roman" w:hAnsi="Arial" w:cs="Arial"/>
          <w:color w:val="1B1B1B"/>
          <w:kern w:val="0"/>
          <w:lang w:eastAsia="en-GB"/>
          <w14:ligatures w14:val="none"/>
        </w:rPr>
        <w:t xml:space="preserve"> highlights the need for careful interpretation of the questionnaire responses and consideration of potential bias in the analysis, but with careful phrasing of the questions and the offer of anonymity, it could encourage more honesty, thus leading to more accurate data findings.  </w:t>
      </w:r>
    </w:p>
    <w:p w14:paraId="7A40ABAB"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Another limitation worth mentioning is the possibility of dominant participants in the focus groups. They may overshadow others, leading to unequal participation and skewed data results (Sim and Waterfield, 2019). Additionally, the group setting of the focus groups could possibly inhibit some from expressing certain opinions due to peer pressure. This dynamic could affect the diversity of data collected, highlighting the importance of moderation from a skilled and experienced researcher to ensure a balance between all participants. Ensuring all views are heard equally within a safe and inclusive environment (Morgan, 2019). </w:t>
      </w:r>
    </w:p>
    <w:p w14:paraId="1E06C505"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Furthermore, focus groups are generally a time-consuming method of data collection. The collected data needs to be transcribed and analysed, demanding the need for significant resources (Nowell et al., 2017). </w:t>
      </w:r>
    </w:p>
    <w:p w14:paraId="04C11B13"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However, by acknowledging the strengths and limitations, the study aims to mitigate any potential bias and enhance the trustworthiness of its findings. To help achieve this, the study will use a triangulation approach. Triangulation in this context refers to the use of multiple methods to develop a broad understanding of the phenomenon (Flick, 2018). By combining the data from parental questionnaires and practitioner focus groups, the study will be better positioned to examine the effects of screen time in the early childhood years from both a measurable behavioural pattern and experiential insights.  </w:t>
      </w:r>
    </w:p>
    <w:p w14:paraId="7F385B99"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This methodological integration allows the researcher to cross validate the findings, thus reducing bias and increasing trustworthiness (Guion, Diehl &amp; McDonald, 2019; Holmes, 2022).  </w:t>
      </w:r>
    </w:p>
    <w:p w14:paraId="301F0986"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In addition to the already mentioned strengths and limitations, it is important to consider the potential influence of the Hawthorne and Halo effects on the research findings. The Hawthorne effect refers to the occurrence where participants alter their behaviour due to the awareness of being observed, rather than as a response to the conditions of the research itself (Chen et al., 2017; Oswald, Sherratt and Smith, 2014). This change in behaviour can compromise the reliability of the data, even more so in focus groups where the participants are conscious of being observed and evaluated.  </w:t>
      </w:r>
    </w:p>
    <w:p w14:paraId="31BD26C8"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 xml:space="preserve">Similarly, the Halo effect, which </w:t>
      </w:r>
      <w:proofErr w:type="gramStart"/>
      <w:r w:rsidRPr="00EF5787">
        <w:rPr>
          <w:rFonts w:ascii="Arial" w:eastAsia="Times New Roman" w:hAnsi="Arial" w:cs="Arial"/>
          <w:color w:val="1B1B1B"/>
          <w:kern w:val="0"/>
          <w:lang w:eastAsia="en-GB"/>
          <w14:ligatures w14:val="none"/>
        </w:rPr>
        <w:t>is described as being</w:t>
      </w:r>
      <w:proofErr w:type="gramEnd"/>
      <w:r w:rsidRPr="00EF5787">
        <w:rPr>
          <w:rFonts w:ascii="Arial" w:eastAsia="Times New Roman" w:hAnsi="Arial" w:cs="Arial"/>
          <w:color w:val="1B1B1B"/>
          <w:kern w:val="0"/>
          <w:lang w:eastAsia="en-GB"/>
          <w14:ligatures w14:val="none"/>
        </w:rPr>
        <w:t xml:space="preserve"> a type of cognitive bias, can influence a participant's response when they favour a positive response to the researcher. This can lead to them providing what they deem to be more favourable reporting of behaviours or traits they see in relation to the questions asked (Nisbett and </w:t>
      </w:r>
      <w:proofErr w:type="spellStart"/>
      <w:r w:rsidRPr="00EF5787">
        <w:rPr>
          <w:rFonts w:ascii="Arial" w:eastAsia="Times New Roman" w:hAnsi="Arial" w:cs="Arial"/>
          <w:color w:val="1B1B1B"/>
          <w:kern w:val="0"/>
          <w:lang w:eastAsia="en-GB"/>
          <w14:ligatures w14:val="none"/>
        </w:rPr>
        <w:t>DeCamp</w:t>
      </w:r>
      <w:proofErr w:type="spellEnd"/>
      <w:r w:rsidRPr="00EF5787">
        <w:rPr>
          <w:rFonts w:ascii="Arial" w:eastAsia="Times New Roman" w:hAnsi="Arial" w:cs="Arial"/>
          <w:color w:val="1B1B1B"/>
          <w:kern w:val="0"/>
          <w:lang w:eastAsia="en-GB"/>
          <w14:ligatures w14:val="none"/>
        </w:rPr>
        <w:t xml:space="preserve"> Wilson, 2018; Gabrieli et al., 2021).  </w:t>
      </w:r>
    </w:p>
    <w:p w14:paraId="40859CF9"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color w:val="1B1B1B"/>
          <w:kern w:val="0"/>
          <w:lang w:eastAsia="en-GB"/>
          <w14:ligatures w14:val="none"/>
        </w:rPr>
        <w:t>Again, when these effects are accounted for, it helps to ensure that the research being conducted is trustworthy. </w:t>
      </w:r>
    </w:p>
    <w:p w14:paraId="60E3DFE3" w14:textId="77777777" w:rsidR="00EF5787" w:rsidRPr="00EF5787" w:rsidRDefault="00EF5787" w:rsidP="00EF5787">
      <w:pPr>
        <w:spacing w:after="0" w:line="240" w:lineRule="auto"/>
        <w:jc w:val="both"/>
        <w:textAlignment w:val="baseline"/>
        <w:rPr>
          <w:rFonts w:ascii="Segoe UI" w:eastAsia="Times New Roman" w:hAnsi="Segoe UI" w:cs="Segoe UI"/>
          <w:kern w:val="0"/>
          <w:sz w:val="18"/>
          <w:szCs w:val="18"/>
          <w:lang w:eastAsia="en-GB"/>
          <w14:ligatures w14:val="none"/>
        </w:rPr>
      </w:pPr>
      <w:r w:rsidRPr="00EF5787">
        <w:rPr>
          <w:rFonts w:ascii="Arial" w:eastAsia="Times New Roman" w:hAnsi="Arial" w:cs="Arial"/>
          <w:b/>
          <w:bCs/>
          <w:color w:val="1B1B1B"/>
          <w:kern w:val="0"/>
          <w:lang w:eastAsia="en-GB"/>
          <w14:ligatures w14:val="none"/>
        </w:rPr>
        <w:t xml:space="preserve">Ethical Considerations </w:t>
      </w:r>
      <w:r w:rsidRPr="00EF5787">
        <w:rPr>
          <w:rFonts w:ascii="Arial" w:eastAsia="Times New Roman" w:hAnsi="Arial" w:cs="Arial"/>
          <w:color w:val="1B1B1B"/>
          <w:kern w:val="0"/>
          <w:lang w:eastAsia="en-GB"/>
          <w14:ligatures w14:val="none"/>
        </w:rPr>
        <w:t> </w:t>
      </w:r>
    </w:p>
    <w:p w14:paraId="05970467" w14:textId="77777777" w:rsidR="00BD1C19" w:rsidRDefault="00BD1C19"/>
    <w:sectPr w:rsidR="00BD1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F6F7D"/>
    <w:multiLevelType w:val="multilevel"/>
    <w:tmpl w:val="D17E7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BC3FE1"/>
    <w:multiLevelType w:val="multilevel"/>
    <w:tmpl w:val="D2F6BE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E36DFC"/>
    <w:multiLevelType w:val="multilevel"/>
    <w:tmpl w:val="395CE2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DC10B2"/>
    <w:multiLevelType w:val="multilevel"/>
    <w:tmpl w:val="80B2C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0774809">
    <w:abstractNumId w:val="0"/>
  </w:num>
  <w:num w:numId="2" w16cid:durableId="623999008">
    <w:abstractNumId w:val="2"/>
  </w:num>
  <w:num w:numId="3" w16cid:durableId="1170364797">
    <w:abstractNumId w:val="3"/>
  </w:num>
  <w:num w:numId="4" w16cid:durableId="2064669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787"/>
    <w:rsid w:val="00314328"/>
    <w:rsid w:val="00B83867"/>
    <w:rsid w:val="00B940A9"/>
    <w:rsid w:val="00BD1C19"/>
    <w:rsid w:val="00EF5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389209"/>
  <w15:chartTrackingRefBased/>
  <w15:docId w15:val="{BC3D0BE5-4C4D-49B7-8937-4E5D39813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7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57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57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7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7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7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57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57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7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7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787"/>
    <w:rPr>
      <w:rFonts w:eastAsiaTheme="majorEastAsia" w:cstheme="majorBidi"/>
      <w:color w:val="272727" w:themeColor="text1" w:themeTint="D8"/>
    </w:rPr>
  </w:style>
  <w:style w:type="paragraph" w:styleId="Title">
    <w:name w:val="Title"/>
    <w:basedOn w:val="Normal"/>
    <w:next w:val="Normal"/>
    <w:link w:val="TitleChar"/>
    <w:uiPriority w:val="10"/>
    <w:qFormat/>
    <w:rsid w:val="00EF5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787"/>
    <w:pPr>
      <w:spacing w:before="160"/>
      <w:jc w:val="center"/>
    </w:pPr>
    <w:rPr>
      <w:i/>
      <w:iCs/>
      <w:color w:val="404040" w:themeColor="text1" w:themeTint="BF"/>
    </w:rPr>
  </w:style>
  <w:style w:type="character" w:customStyle="1" w:styleId="QuoteChar">
    <w:name w:val="Quote Char"/>
    <w:basedOn w:val="DefaultParagraphFont"/>
    <w:link w:val="Quote"/>
    <w:uiPriority w:val="29"/>
    <w:rsid w:val="00EF5787"/>
    <w:rPr>
      <w:i/>
      <w:iCs/>
      <w:color w:val="404040" w:themeColor="text1" w:themeTint="BF"/>
    </w:rPr>
  </w:style>
  <w:style w:type="paragraph" w:styleId="ListParagraph">
    <w:name w:val="List Paragraph"/>
    <w:basedOn w:val="Normal"/>
    <w:uiPriority w:val="34"/>
    <w:qFormat/>
    <w:rsid w:val="00EF5787"/>
    <w:pPr>
      <w:ind w:left="720"/>
      <w:contextualSpacing/>
    </w:pPr>
  </w:style>
  <w:style w:type="character" w:styleId="IntenseEmphasis">
    <w:name w:val="Intense Emphasis"/>
    <w:basedOn w:val="DefaultParagraphFont"/>
    <w:uiPriority w:val="21"/>
    <w:qFormat/>
    <w:rsid w:val="00EF5787"/>
    <w:rPr>
      <w:i/>
      <w:iCs/>
      <w:color w:val="0F4761" w:themeColor="accent1" w:themeShade="BF"/>
    </w:rPr>
  </w:style>
  <w:style w:type="paragraph" w:styleId="IntenseQuote">
    <w:name w:val="Intense Quote"/>
    <w:basedOn w:val="Normal"/>
    <w:next w:val="Normal"/>
    <w:link w:val="IntenseQuoteChar"/>
    <w:uiPriority w:val="30"/>
    <w:qFormat/>
    <w:rsid w:val="00EF57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787"/>
    <w:rPr>
      <w:i/>
      <w:iCs/>
      <w:color w:val="0F4761" w:themeColor="accent1" w:themeShade="BF"/>
    </w:rPr>
  </w:style>
  <w:style w:type="character" w:styleId="IntenseReference">
    <w:name w:val="Intense Reference"/>
    <w:basedOn w:val="DefaultParagraphFont"/>
    <w:uiPriority w:val="32"/>
    <w:qFormat/>
    <w:rsid w:val="00EF57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467004">
      <w:bodyDiv w:val="1"/>
      <w:marLeft w:val="0"/>
      <w:marRight w:val="0"/>
      <w:marTop w:val="0"/>
      <w:marBottom w:val="0"/>
      <w:divBdr>
        <w:top w:val="none" w:sz="0" w:space="0" w:color="auto"/>
        <w:left w:val="none" w:sz="0" w:space="0" w:color="auto"/>
        <w:bottom w:val="none" w:sz="0" w:space="0" w:color="auto"/>
        <w:right w:val="none" w:sz="0" w:space="0" w:color="auto"/>
      </w:divBdr>
      <w:divsChild>
        <w:div w:id="520356374">
          <w:marLeft w:val="0"/>
          <w:marRight w:val="0"/>
          <w:marTop w:val="0"/>
          <w:marBottom w:val="0"/>
          <w:divBdr>
            <w:top w:val="none" w:sz="0" w:space="0" w:color="auto"/>
            <w:left w:val="none" w:sz="0" w:space="0" w:color="auto"/>
            <w:bottom w:val="none" w:sz="0" w:space="0" w:color="auto"/>
            <w:right w:val="none" w:sz="0" w:space="0" w:color="auto"/>
          </w:divBdr>
        </w:div>
        <w:div w:id="145980397">
          <w:marLeft w:val="0"/>
          <w:marRight w:val="0"/>
          <w:marTop w:val="0"/>
          <w:marBottom w:val="0"/>
          <w:divBdr>
            <w:top w:val="none" w:sz="0" w:space="0" w:color="auto"/>
            <w:left w:val="none" w:sz="0" w:space="0" w:color="auto"/>
            <w:bottom w:val="none" w:sz="0" w:space="0" w:color="auto"/>
            <w:right w:val="none" w:sz="0" w:space="0" w:color="auto"/>
          </w:divBdr>
        </w:div>
        <w:div w:id="1914586072">
          <w:marLeft w:val="0"/>
          <w:marRight w:val="0"/>
          <w:marTop w:val="0"/>
          <w:marBottom w:val="0"/>
          <w:divBdr>
            <w:top w:val="none" w:sz="0" w:space="0" w:color="auto"/>
            <w:left w:val="none" w:sz="0" w:space="0" w:color="auto"/>
            <w:bottom w:val="none" w:sz="0" w:space="0" w:color="auto"/>
            <w:right w:val="none" w:sz="0" w:space="0" w:color="auto"/>
          </w:divBdr>
        </w:div>
        <w:div w:id="1617365221">
          <w:marLeft w:val="0"/>
          <w:marRight w:val="0"/>
          <w:marTop w:val="0"/>
          <w:marBottom w:val="0"/>
          <w:divBdr>
            <w:top w:val="none" w:sz="0" w:space="0" w:color="auto"/>
            <w:left w:val="none" w:sz="0" w:space="0" w:color="auto"/>
            <w:bottom w:val="none" w:sz="0" w:space="0" w:color="auto"/>
            <w:right w:val="none" w:sz="0" w:space="0" w:color="auto"/>
          </w:divBdr>
        </w:div>
        <w:div w:id="1314872456">
          <w:marLeft w:val="0"/>
          <w:marRight w:val="0"/>
          <w:marTop w:val="0"/>
          <w:marBottom w:val="0"/>
          <w:divBdr>
            <w:top w:val="none" w:sz="0" w:space="0" w:color="auto"/>
            <w:left w:val="none" w:sz="0" w:space="0" w:color="auto"/>
            <w:bottom w:val="none" w:sz="0" w:space="0" w:color="auto"/>
            <w:right w:val="none" w:sz="0" w:space="0" w:color="auto"/>
          </w:divBdr>
        </w:div>
        <w:div w:id="1701394540">
          <w:marLeft w:val="0"/>
          <w:marRight w:val="0"/>
          <w:marTop w:val="0"/>
          <w:marBottom w:val="0"/>
          <w:divBdr>
            <w:top w:val="none" w:sz="0" w:space="0" w:color="auto"/>
            <w:left w:val="none" w:sz="0" w:space="0" w:color="auto"/>
            <w:bottom w:val="none" w:sz="0" w:space="0" w:color="auto"/>
            <w:right w:val="none" w:sz="0" w:space="0" w:color="auto"/>
          </w:divBdr>
        </w:div>
        <w:div w:id="394666273">
          <w:marLeft w:val="0"/>
          <w:marRight w:val="0"/>
          <w:marTop w:val="0"/>
          <w:marBottom w:val="0"/>
          <w:divBdr>
            <w:top w:val="none" w:sz="0" w:space="0" w:color="auto"/>
            <w:left w:val="none" w:sz="0" w:space="0" w:color="auto"/>
            <w:bottom w:val="none" w:sz="0" w:space="0" w:color="auto"/>
            <w:right w:val="none" w:sz="0" w:space="0" w:color="auto"/>
          </w:divBdr>
        </w:div>
        <w:div w:id="1976250304">
          <w:marLeft w:val="0"/>
          <w:marRight w:val="0"/>
          <w:marTop w:val="0"/>
          <w:marBottom w:val="0"/>
          <w:divBdr>
            <w:top w:val="none" w:sz="0" w:space="0" w:color="auto"/>
            <w:left w:val="none" w:sz="0" w:space="0" w:color="auto"/>
            <w:bottom w:val="none" w:sz="0" w:space="0" w:color="auto"/>
            <w:right w:val="none" w:sz="0" w:space="0" w:color="auto"/>
          </w:divBdr>
        </w:div>
        <w:div w:id="2038726248">
          <w:marLeft w:val="0"/>
          <w:marRight w:val="0"/>
          <w:marTop w:val="0"/>
          <w:marBottom w:val="0"/>
          <w:divBdr>
            <w:top w:val="none" w:sz="0" w:space="0" w:color="auto"/>
            <w:left w:val="none" w:sz="0" w:space="0" w:color="auto"/>
            <w:bottom w:val="none" w:sz="0" w:space="0" w:color="auto"/>
            <w:right w:val="none" w:sz="0" w:space="0" w:color="auto"/>
          </w:divBdr>
        </w:div>
        <w:div w:id="331375049">
          <w:marLeft w:val="0"/>
          <w:marRight w:val="0"/>
          <w:marTop w:val="0"/>
          <w:marBottom w:val="0"/>
          <w:divBdr>
            <w:top w:val="none" w:sz="0" w:space="0" w:color="auto"/>
            <w:left w:val="none" w:sz="0" w:space="0" w:color="auto"/>
            <w:bottom w:val="none" w:sz="0" w:space="0" w:color="auto"/>
            <w:right w:val="none" w:sz="0" w:space="0" w:color="auto"/>
          </w:divBdr>
        </w:div>
        <w:div w:id="108089122">
          <w:marLeft w:val="0"/>
          <w:marRight w:val="0"/>
          <w:marTop w:val="0"/>
          <w:marBottom w:val="0"/>
          <w:divBdr>
            <w:top w:val="none" w:sz="0" w:space="0" w:color="auto"/>
            <w:left w:val="none" w:sz="0" w:space="0" w:color="auto"/>
            <w:bottom w:val="none" w:sz="0" w:space="0" w:color="auto"/>
            <w:right w:val="none" w:sz="0" w:space="0" w:color="auto"/>
          </w:divBdr>
        </w:div>
        <w:div w:id="1981880465">
          <w:marLeft w:val="0"/>
          <w:marRight w:val="0"/>
          <w:marTop w:val="0"/>
          <w:marBottom w:val="0"/>
          <w:divBdr>
            <w:top w:val="none" w:sz="0" w:space="0" w:color="auto"/>
            <w:left w:val="none" w:sz="0" w:space="0" w:color="auto"/>
            <w:bottom w:val="none" w:sz="0" w:space="0" w:color="auto"/>
            <w:right w:val="none" w:sz="0" w:space="0" w:color="auto"/>
          </w:divBdr>
        </w:div>
        <w:div w:id="283312775">
          <w:marLeft w:val="0"/>
          <w:marRight w:val="0"/>
          <w:marTop w:val="0"/>
          <w:marBottom w:val="0"/>
          <w:divBdr>
            <w:top w:val="none" w:sz="0" w:space="0" w:color="auto"/>
            <w:left w:val="none" w:sz="0" w:space="0" w:color="auto"/>
            <w:bottom w:val="none" w:sz="0" w:space="0" w:color="auto"/>
            <w:right w:val="none" w:sz="0" w:space="0" w:color="auto"/>
          </w:divBdr>
        </w:div>
        <w:div w:id="2048874402">
          <w:marLeft w:val="0"/>
          <w:marRight w:val="0"/>
          <w:marTop w:val="0"/>
          <w:marBottom w:val="0"/>
          <w:divBdr>
            <w:top w:val="none" w:sz="0" w:space="0" w:color="auto"/>
            <w:left w:val="none" w:sz="0" w:space="0" w:color="auto"/>
            <w:bottom w:val="none" w:sz="0" w:space="0" w:color="auto"/>
            <w:right w:val="none" w:sz="0" w:space="0" w:color="auto"/>
          </w:divBdr>
        </w:div>
        <w:div w:id="2074696607">
          <w:marLeft w:val="0"/>
          <w:marRight w:val="0"/>
          <w:marTop w:val="0"/>
          <w:marBottom w:val="0"/>
          <w:divBdr>
            <w:top w:val="none" w:sz="0" w:space="0" w:color="auto"/>
            <w:left w:val="none" w:sz="0" w:space="0" w:color="auto"/>
            <w:bottom w:val="none" w:sz="0" w:space="0" w:color="auto"/>
            <w:right w:val="none" w:sz="0" w:space="0" w:color="auto"/>
          </w:divBdr>
        </w:div>
        <w:div w:id="402216351">
          <w:marLeft w:val="0"/>
          <w:marRight w:val="0"/>
          <w:marTop w:val="0"/>
          <w:marBottom w:val="0"/>
          <w:divBdr>
            <w:top w:val="none" w:sz="0" w:space="0" w:color="auto"/>
            <w:left w:val="none" w:sz="0" w:space="0" w:color="auto"/>
            <w:bottom w:val="none" w:sz="0" w:space="0" w:color="auto"/>
            <w:right w:val="none" w:sz="0" w:space="0" w:color="auto"/>
          </w:divBdr>
        </w:div>
        <w:div w:id="1623609634">
          <w:marLeft w:val="0"/>
          <w:marRight w:val="0"/>
          <w:marTop w:val="0"/>
          <w:marBottom w:val="0"/>
          <w:divBdr>
            <w:top w:val="none" w:sz="0" w:space="0" w:color="auto"/>
            <w:left w:val="none" w:sz="0" w:space="0" w:color="auto"/>
            <w:bottom w:val="none" w:sz="0" w:space="0" w:color="auto"/>
            <w:right w:val="none" w:sz="0" w:space="0" w:color="auto"/>
          </w:divBdr>
        </w:div>
        <w:div w:id="347145219">
          <w:marLeft w:val="0"/>
          <w:marRight w:val="0"/>
          <w:marTop w:val="0"/>
          <w:marBottom w:val="0"/>
          <w:divBdr>
            <w:top w:val="none" w:sz="0" w:space="0" w:color="auto"/>
            <w:left w:val="none" w:sz="0" w:space="0" w:color="auto"/>
            <w:bottom w:val="none" w:sz="0" w:space="0" w:color="auto"/>
            <w:right w:val="none" w:sz="0" w:space="0" w:color="auto"/>
          </w:divBdr>
        </w:div>
        <w:div w:id="2033680379">
          <w:marLeft w:val="0"/>
          <w:marRight w:val="0"/>
          <w:marTop w:val="0"/>
          <w:marBottom w:val="0"/>
          <w:divBdr>
            <w:top w:val="none" w:sz="0" w:space="0" w:color="auto"/>
            <w:left w:val="none" w:sz="0" w:space="0" w:color="auto"/>
            <w:bottom w:val="none" w:sz="0" w:space="0" w:color="auto"/>
            <w:right w:val="none" w:sz="0" w:space="0" w:color="auto"/>
          </w:divBdr>
        </w:div>
        <w:div w:id="1540170293">
          <w:marLeft w:val="0"/>
          <w:marRight w:val="0"/>
          <w:marTop w:val="0"/>
          <w:marBottom w:val="0"/>
          <w:divBdr>
            <w:top w:val="none" w:sz="0" w:space="0" w:color="auto"/>
            <w:left w:val="none" w:sz="0" w:space="0" w:color="auto"/>
            <w:bottom w:val="none" w:sz="0" w:space="0" w:color="auto"/>
            <w:right w:val="none" w:sz="0" w:space="0" w:color="auto"/>
          </w:divBdr>
        </w:div>
        <w:div w:id="1702591947">
          <w:marLeft w:val="0"/>
          <w:marRight w:val="0"/>
          <w:marTop w:val="0"/>
          <w:marBottom w:val="0"/>
          <w:divBdr>
            <w:top w:val="none" w:sz="0" w:space="0" w:color="auto"/>
            <w:left w:val="none" w:sz="0" w:space="0" w:color="auto"/>
            <w:bottom w:val="none" w:sz="0" w:space="0" w:color="auto"/>
            <w:right w:val="none" w:sz="0" w:space="0" w:color="auto"/>
          </w:divBdr>
        </w:div>
        <w:div w:id="2136752397">
          <w:marLeft w:val="0"/>
          <w:marRight w:val="0"/>
          <w:marTop w:val="0"/>
          <w:marBottom w:val="0"/>
          <w:divBdr>
            <w:top w:val="none" w:sz="0" w:space="0" w:color="auto"/>
            <w:left w:val="none" w:sz="0" w:space="0" w:color="auto"/>
            <w:bottom w:val="none" w:sz="0" w:space="0" w:color="auto"/>
            <w:right w:val="none" w:sz="0" w:space="0" w:color="auto"/>
          </w:divBdr>
        </w:div>
        <w:div w:id="738212115">
          <w:marLeft w:val="0"/>
          <w:marRight w:val="0"/>
          <w:marTop w:val="0"/>
          <w:marBottom w:val="0"/>
          <w:divBdr>
            <w:top w:val="none" w:sz="0" w:space="0" w:color="auto"/>
            <w:left w:val="none" w:sz="0" w:space="0" w:color="auto"/>
            <w:bottom w:val="none" w:sz="0" w:space="0" w:color="auto"/>
            <w:right w:val="none" w:sz="0" w:space="0" w:color="auto"/>
          </w:divBdr>
        </w:div>
        <w:div w:id="764033452">
          <w:marLeft w:val="0"/>
          <w:marRight w:val="0"/>
          <w:marTop w:val="0"/>
          <w:marBottom w:val="0"/>
          <w:divBdr>
            <w:top w:val="none" w:sz="0" w:space="0" w:color="auto"/>
            <w:left w:val="none" w:sz="0" w:space="0" w:color="auto"/>
            <w:bottom w:val="none" w:sz="0" w:space="0" w:color="auto"/>
            <w:right w:val="none" w:sz="0" w:space="0" w:color="auto"/>
          </w:divBdr>
        </w:div>
        <w:div w:id="349644010">
          <w:marLeft w:val="0"/>
          <w:marRight w:val="0"/>
          <w:marTop w:val="0"/>
          <w:marBottom w:val="0"/>
          <w:divBdr>
            <w:top w:val="none" w:sz="0" w:space="0" w:color="auto"/>
            <w:left w:val="none" w:sz="0" w:space="0" w:color="auto"/>
            <w:bottom w:val="none" w:sz="0" w:space="0" w:color="auto"/>
            <w:right w:val="none" w:sz="0" w:space="0" w:color="auto"/>
          </w:divBdr>
        </w:div>
        <w:div w:id="708455020">
          <w:marLeft w:val="0"/>
          <w:marRight w:val="0"/>
          <w:marTop w:val="0"/>
          <w:marBottom w:val="0"/>
          <w:divBdr>
            <w:top w:val="none" w:sz="0" w:space="0" w:color="auto"/>
            <w:left w:val="none" w:sz="0" w:space="0" w:color="auto"/>
            <w:bottom w:val="none" w:sz="0" w:space="0" w:color="auto"/>
            <w:right w:val="none" w:sz="0" w:space="0" w:color="auto"/>
          </w:divBdr>
        </w:div>
        <w:div w:id="105316821">
          <w:marLeft w:val="0"/>
          <w:marRight w:val="0"/>
          <w:marTop w:val="0"/>
          <w:marBottom w:val="0"/>
          <w:divBdr>
            <w:top w:val="none" w:sz="0" w:space="0" w:color="auto"/>
            <w:left w:val="none" w:sz="0" w:space="0" w:color="auto"/>
            <w:bottom w:val="none" w:sz="0" w:space="0" w:color="auto"/>
            <w:right w:val="none" w:sz="0" w:space="0" w:color="auto"/>
          </w:divBdr>
        </w:div>
        <w:div w:id="1265500898">
          <w:marLeft w:val="0"/>
          <w:marRight w:val="0"/>
          <w:marTop w:val="0"/>
          <w:marBottom w:val="0"/>
          <w:divBdr>
            <w:top w:val="none" w:sz="0" w:space="0" w:color="auto"/>
            <w:left w:val="none" w:sz="0" w:space="0" w:color="auto"/>
            <w:bottom w:val="none" w:sz="0" w:space="0" w:color="auto"/>
            <w:right w:val="none" w:sz="0" w:space="0" w:color="auto"/>
          </w:divBdr>
        </w:div>
        <w:div w:id="848064198">
          <w:marLeft w:val="0"/>
          <w:marRight w:val="0"/>
          <w:marTop w:val="0"/>
          <w:marBottom w:val="0"/>
          <w:divBdr>
            <w:top w:val="none" w:sz="0" w:space="0" w:color="auto"/>
            <w:left w:val="none" w:sz="0" w:space="0" w:color="auto"/>
            <w:bottom w:val="none" w:sz="0" w:space="0" w:color="auto"/>
            <w:right w:val="none" w:sz="0" w:space="0" w:color="auto"/>
          </w:divBdr>
        </w:div>
        <w:div w:id="1474173237">
          <w:marLeft w:val="0"/>
          <w:marRight w:val="0"/>
          <w:marTop w:val="0"/>
          <w:marBottom w:val="0"/>
          <w:divBdr>
            <w:top w:val="none" w:sz="0" w:space="0" w:color="auto"/>
            <w:left w:val="none" w:sz="0" w:space="0" w:color="auto"/>
            <w:bottom w:val="none" w:sz="0" w:space="0" w:color="auto"/>
            <w:right w:val="none" w:sz="0" w:space="0" w:color="auto"/>
          </w:divBdr>
        </w:div>
        <w:div w:id="499741055">
          <w:marLeft w:val="0"/>
          <w:marRight w:val="0"/>
          <w:marTop w:val="0"/>
          <w:marBottom w:val="0"/>
          <w:divBdr>
            <w:top w:val="none" w:sz="0" w:space="0" w:color="auto"/>
            <w:left w:val="none" w:sz="0" w:space="0" w:color="auto"/>
            <w:bottom w:val="none" w:sz="0" w:space="0" w:color="auto"/>
            <w:right w:val="none" w:sz="0" w:space="0" w:color="auto"/>
          </w:divBdr>
        </w:div>
        <w:div w:id="891772130">
          <w:marLeft w:val="0"/>
          <w:marRight w:val="0"/>
          <w:marTop w:val="0"/>
          <w:marBottom w:val="0"/>
          <w:divBdr>
            <w:top w:val="none" w:sz="0" w:space="0" w:color="auto"/>
            <w:left w:val="none" w:sz="0" w:space="0" w:color="auto"/>
            <w:bottom w:val="none" w:sz="0" w:space="0" w:color="auto"/>
            <w:right w:val="none" w:sz="0" w:space="0" w:color="auto"/>
          </w:divBdr>
        </w:div>
        <w:div w:id="1885943541">
          <w:marLeft w:val="0"/>
          <w:marRight w:val="0"/>
          <w:marTop w:val="0"/>
          <w:marBottom w:val="0"/>
          <w:divBdr>
            <w:top w:val="none" w:sz="0" w:space="0" w:color="auto"/>
            <w:left w:val="none" w:sz="0" w:space="0" w:color="auto"/>
            <w:bottom w:val="none" w:sz="0" w:space="0" w:color="auto"/>
            <w:right w:val="none" w:sz="0" w:space="0" w:color="auto"/>
          </w:divBdr>
        </w:div>
        <w:div w:id="1571382610">
          <w:marLeft w:val="0"/>
          <w:marRight w:val="0"/>
          <w:marTop w:val="0"/>
          <w:marBottom w:val="0"/>
          <w:divBdr>
            <w:top w:val="none" w:sz="0" w:space="0" w:color="auto"/>
            <w:left w:val="none" w:sz="0" w:space="0" w:color="auto"/>
            <w:bottom w:val="none" w:sz="0" w:space="0" w:color="auto"/>
            <w:right w:val="none" w:sz="0" w:space="0" w:color="auto"/>
          </w:divBdr>
        </w:div>
        <w:div w:id="534271827">
          <w:marLeft w:val="0"/>
          <w:marRight w:val="0"/>
          <w:marTop w:val="0"/>
          <w:marBottom w:val="0"/>
          <w:divBdr>
            <w:top w:val="none" w:sz="0" w:space="0" w:color="auto"/>
            <w:left w:val="none" w:sz="0" w:space="0" w:color="auto"/>
            <w:bottom w:val="none" w:sz="0" w:space="0" w:color="auto"/>
            <w:right w:val="none" w:sz="0" w:space="0" w:color="auto"/>
          </w:divBdr>
        </w:div>
        <w:div w:id="565603814">
          <w:marLeft w:val="0"/>
          <w:marRight w:val="0"/>
          <w:marTop w:val="0"/>
          <w:marBottom w:val="0"/>
          <w:divBdr>
            <w:top w:val="none" w:sz="0" w:space="0" w:color="auto"/>
            <w:left w:val="none" w:sz="0" w:space="0" w:color="auto"/>
            <w:bottom w:val="none" w:sz="0" w:space="0" w:color="auto"/>
            <w:right w:val="none" w:sz="0" w:space="0" w:color="auto"/>
          </w:divBdr>
        </w:div>
        <w:div w:id="924455924">
          <w:marLeft w:val="0"/>
          <w:marRight w:val="0"/>
          <w:marTop w:val="0"/>
          <w:marBottom w:val="0"/>
          <w:divBdr>
            <w:top w:val="none" w:sz="0" w:space="0" w:color="auto"/>
            <w:left w:val="none" w:sz="0" w:space="0" w:color="auto"/>
            <w:bottom w:val="none" w:sz="0" w:space="0" w:color="auto"/>
            <w:right w:val="none" w:sz="0" w:space="0" w:color="auto"/>
          </w:divBdr>
        </w:div>
        <w:div w:id="1919556522">
          <w:marLeft w:val="0"/>
          <w:marRight w:val="0"/>
          <w:marTop w:val="0"/>
          <w:marBottom w:val="0"/>
          <w:divBdr>
            <w:top w:val="none" w:sz="0" w:space="0" w:color="auto"/>
            <w:left w:val="none" w:sz="0" w:space="0" w:color="auto"/>
            <w:bottom w:val="none" w:sz="0" w:space="0" w:color="auto"/>
            <w:right w:val="none" w:sz="0" w:space="0" w:color="auto"/>
          </w:divBdr>
        </w:div>
        <w:div w:id="1380320028">
          <w:marLeft w:val="0"/>
          <w:marRight w:val="0"/>
          <w:marTop w:val="0"/>
          <w:marBottom w:val="0"/>
          <w:divBdr>
            <w:top w:val="none" w:sz="0" w:space="0" w:color="auto"/>
            <w:left w:val="none" w:sz="0" w:space="0" w:color="auto"/>
            <w:bottom w:val="none" w:sz="0" w:space="0" w:color="auto"/>
            <w:right w:val="none" w:sz="0" w:space="0" w:color="auto"/>
          </w:divBdr>
        </w:div>
        <w:div w:id="1126587621">
          <w:marLeft w:val="0"/>
          <w:marRight w:val="0"/>
          <w:marTop w:val="0"/>
          <w:marBottom w:val="0"/>
          <w:divBdr>
            <w:top w:val="none" w:sz="0" w:space="0" w:color="auto"/>
            <w:left w:val="none" w:sz="0" w:space="0" w:color="auto"/>
            <w:bottom w:val="none" w:sz="0" w:space="0" w:color="auto"/>
            <w:right w:val="none" w:sz="0" w:space="0" w:color="auto"/>
          </w:divBdr>
        </w:div>
        <w:div w:id="1351032160">
          <w:marLeft w:val="0"/>
          <w:marRight w:val="0"/>
          <w:marTop w:val="0"/>
          <w:marBottom w:val="0"/>
          <w:divBdr>
            <w:top w:val="none" w:sz="0" w:space="0" w:color="auto"/>
            <w:left w:val="none" w:sz="0" w:space="0" w:color="auto"/>
            <w:bottom w:val="none" w:sz="0" w:space="0" w:color="auto"/>
            <w:right w:val="none" w:sz="0" w:space="0" w:color="auto"/>
          </w:divBdr>
        </w:div>
        <w:div w:id="175075189">
          <w:marLeft w:val="0"/>
          <w:marRight w:val="0"/>
          <w:marTop w:val="0"/>
          <w:marBottom w:val="0"/>
          <w:divBdr>
            <w:top w:val="none" w:sz="0" w:space="0" w:color="auto"/>
            <w:left w:val="none" w:sz="0" w:space="0" w:color="auto"/>
            <w:bottom w:val="none" w:sz="0" w:space="0" w:color="auto"/>
            <w:right w:val="none" w:sz="0" w:space="0" w:color="auto"/>
          </w:divBdr>
        </w:div>
        <w:div w:id="369569821">
          <w:marLeft w:val="0"/>
          <w:marRight w:val="0"/>
          <w:marTop w:val="0"/>
          <w:marBottom w:val="0"/>
          <w:divBdr>
            <w:top w:val="none" w:sz="0" w:space="0" w:color="auto"/>
            <w:left w:val="none" w:sz="0" w:space="0" w:color="auto"/>
            <w:bottom w:val="none" w:sz="0" w:space="0" w:color="auto"/>
            <w:right w:val="none" w:sz="0" w:space="0" w:color="auto"/>
          </w:divBdr>
        </w:div>
        <w:div w:id="1298102063">
          <w:marLeft w:val="0"/>
          <w:marRight w:val="0"/>
          <w:marTop w:val="0"/>
          <w:marBottom w:val="0"/>
          <w:divBdr>
            <w:top w:val="none" w:sz="0" w:space="0" w:color="auto"/>
            <w:left w:val="none" w:sz="0" w:space="0" w:color="auto"/>
            <w:bottom w:val="none" w:sz="0" w:space="0" w:color="auto"/>
            <w:right w:val="none" w:sz="0" w:space="0" w:color="auto"/>
          </w:divBdr>
        </w:div>
        <w:div w:id="2102798248">
          <w:marLeft w:val="0"/>
          <w:marRight w:val="0"/>
          <w:marTop w:val="0"/>
          <w:marBottom w:val="0"/>
          <w:divBdr>
            <w:top w:val="none" w:sz="0" w:space="0" w:color="auto"/>
            <w:left w:val="none" w:sz="0" w:space="0" w:color="auto"/>
            <w:bottom w:val="none" w:sz="0" w:space="0" w:color="auto"/>
            <w:right w:val="none" w:sz="0" w:space="0" w:color="auto"/>
          </w:divBdr>
        </w:div>
        <w:div w:id="1579289716">
          <w:marLeft w:val="0"/>
          <w:marRight w:val="0"/>
          <w:marTop w:val="0"/>
          <w:marBottom w:val="0"/>
          <w:divBdr>
            <w:top w:val="none" w:sz="0" w:space="0" w:color="auto"/>
            <w:left w:val="none" w:sz="0" w:space="0" w:color="auto"/>
            <w:bottom w:val="none" w:sz="0" w:space="0" w:color="auto"/>
            <w:right w:val="none" w:sz="0" w:space="0" w:color="auto"/>
          </w:divBdr>
        </w:div>
        <w:div w:id="1064524528">
          <w:marLeft w:val="0"/>
          <w:marRight w:val="0"/>
          <w:marTop w:val="0"/>
          <w:marBottom w:val="0"/>
          <w:divBdr>
            <w:top w:val="none" w:sz="0" w:space="0" w:color="auto"/>
            <w:left w:val="none" w:sz="0" w:space="0" w:color="auto"/>
            <w:bottom w:val="none" w:sz="0" w:space="0" w:color="auto"/>
            <w:right w:val="none" w:sz="0" w:space="0" w:color="auto"/>
          </w:divBdr>
        </w:div>
        <w:div w:id="1583946467">
          <w:marLeft w:val="0"/>
          <w:marRight w:val="0"/>
          <w:marTop w:val="0"/>
          <w:marBottom w:val="0"/>
          <w:divBdr>
            <w:top w:val="none" w:sz="0" w:space="0" w:color="auto"/>
            <w:left w:val="none" w:sz="0" w:space="0" w:color="auto"/>
            <w:bottom w:val="none" w:sz="0" w:space="0" w:color="auto"/>
            <w:right w:val="none" w:sz="0" w:space="0" w:color="auto"/>
          </w:divBdr>
        </w:div>
        <w:div w:id="363601845">
          <w:marLeft w:val="0"/>
          <w:marRight w:val="0"/>
          <w:marTop w:val="0"/>
          <w:marBottom w:val="0"/>
          <w:divBdr>
            <w:top w:val="none" w:sz="0" w:space="0" w:color="auto"/>
            <w:left w:val="none" w:sz="0" w:space="0" w:color="auto"/>
            <w:bottom w:val="none" w:sz="0" w:space="0" w:color="auto"/>
            <w:right w:val="none" w:sz="0" w:space="0" w:color="auto"/>
          </w:divBdr>
        </w:div>
        <w:div w:id="1847666654">
          <w:marLeft w:val="0"/>
          <w:marRight w:val="0"/>
          <w:marTop w:val="0"/>
          <w:marBottom w:val="0"/>
          <w:divBdr>
            <w:top w:val="none" w:sz="0" w:space="0" w:color="auto"/>
            <w:left w:val="none" w:sz="0" w:space="0" w:color="auto"/>
            <w:bottom w:val="none" w:sz="0" w:space="0" w:color="auto"/>
            <w:right w:val="none" w:sz="0" w:space="0" w:color="auto"/>
          </w:divBdr>
        </w:div>
        <w:div w:id="99180814">
          <w:marLeft w:val="0"/>
          <w:marRight w:val="0"/>
          <w:marTop w:val="0"/>
          <w:marBottom w:val="0"/>
          <w:divBdr>
            <w:top w:val="none" w:sz="0" w:space="0" w:color="auto"/>
            <w:left w:val="none" w:sz="0" w:space="0" w:color="auto"/>
            <w:bottom w:val="none" w:sz="0" w:space="0" w:color="auto"/>
            <w:right w:val="none" w:sz="0" w:space="0" w:color="auto"/>
          </w:divBdr>
        </w:div>
        <w:div w:id="2037732098">
          <w:marLeft w:val="0"/>
          <w:marRight w:val="0"/>
          <w:marTop w:val="0"/>
          <w:marBottom w:val="0"/>
          <w:divBdr>
            <w:top w:val="none" w:sz="0" w:space="0" w:color="auto"/>
            <w:left w:val="none" w:sz="0" w:space="0" w:color="auto"/>
            <w:bottom w:val="none" w:sz="0" w:space="0" w:color="auto"/>
            <w:right w:val="none" w:sz="0" w:space="0" w:color="auto"/>
          </w:divBdr>
        </w:div>
        <w:div w:id="481505242">
          <w:marLeft w:val="0"/>
          <w:marRight w:val="0"/>
          <w:marTop w:val="0"/>
          <w:marBottom w:val="0"/>
          <w:divBdr>
            <w:top w:val="none" w:sz="0" w:space="0" w:color="auto"/>
            <w:left w:val="none" w:sz="0" w:space="0" w:color="auto"/>
            <w:bottom w:val="none" w:sz="0" w:space="0" w:color="auto"/>
            <w:right w:val="none" w:sz="0" w:space="0" w:color="auto"/>
          </w:divBdr>
        </w:div>
        <w:div w:id="12951426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71C84CB6E44478BFD3B875A10BF52" ma:contentTypeVersion="10" ma:contentTypeDescription="Create a new document." ma:contentTypeScope="" ma:versionID="3fb4dd3451b814389e7aa056453725eb">
  <xsd:schema xmlns:xsd="http://www.w3.org/2001/XMLSchema" xmlns:xs="http://www.w3.org/2001/XMLSchema" xmlns:p="http://schemas.microsoft.com/office/2006/metadata/properties" xmlns:ns3="7ec0612f-9b24-4c3a-98a5-f0a83483900e" targetNamespace="http://schemas.microsoft.com/office/2006/metadata/properties" ma:root="true" ma:fieldsID="2ff7ccdbf425be0f2aae5f4e6c03a54d" ns3:_="">
    <xsd:import namespace="7ec0612f-9b24-4c3a-98a5-f0a83483900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c0612f-9b24-4c3a-98a5-f0a83483900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ec0612f-9b24-4c3a-98a5-f0a83483900e" xsi:nil="true"/>
  </documentManagement>
</p:properties>
</file>

<file path=customXml/itemProps1.xml><?xml version="1.0" encoding="utf-8"?>
<ds:datastoreItem xmlns:ds="http://schemas.openxmlformats.org/officeDocument/2006/customXml" ds:itemID="{47EAE3D6-25C0-4197-B9C0-60DB7133E3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c0612f-9b24-4c3a-98a5-f0a8348390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5B99A5-A880-4AAF-8005-A68AAC8D05CC}">
  <ds:schemaRefs>
    <ds:schemaRef ds:uri="http://schemas.microsoft.com/sharepoint/v3/contenttype/forms"/>
  </ds:schemaRefs>
</ds:datastoreItem>
</file>

<file path=customXml/itemProps3.xml><?xml version="1.0" encoding="utf-8"?>
<ds:datastoreItem xmlns:ds="http://schemas.openxmlformats.org/officeDocument/2006/customXml" ds:itemID="{3AC656D1-B09A-44F1-8EA5-51B691124177}">
  <ds:schemaRefs>
    <ds:schemaRef ds:uri="http://www.w3.org/XML/1998/namespace"/>
    <ds:schemaRef ds:uri="http://purl.org/dc/dcmitype/"/>
    <ds:schemaRef ds:uri="http://schemas.microsoft.com/office/2006/documentManagement/types"/>
    <ds:schemaRef ds:uri="http://purl.org/dc/terms/"/>
    <ds:schemaRef ds:uri="http://schemas.microsoft.com/office/infopath/2007/PartnerControls"/>
    <ds:schemaRef ds:uri="http://purl.org/dc/elements/1.1/"/>
    <ds:schemaRef ds:uri="http://schemas.openxmlformats.org/package/2006/metadata/core-properties"/>
    <ds:schemaRef ds:uri="7ec0612f-9b24-4c3a-98a5-f0a83483900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2744</Words>
  <Characters>15098</Characters>
  <Application>Microsoft Office Word</Application>
  <DocSecurity>0</DocSecurity>
  <Lines>247</Lines>
  <Paragraphs>61</Paragraphs>
  <ScaleCrop>false</ScaleCrop>
  <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Cox (2412700)</dc:creator>
  <cp:keywords/>
  <dc:description/>
  <cp:lastModifiedBy>Amy Cox</cp:lastModifiedBy>
  <cp:revision>2</cp:revision>
  <cp:lastPrinted>2025-05-23T10:43:00Z</cp:lastPrinted>
  <dcterms:created xsi:type="dcterms:W3CDTF">2025-05-23T10:44:00Z</dcterms:created>
  <dcterms:modified xsi:type="dcterms:W3CDTF">2025-05-23T10:44:00Z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d77929fe-3a91-4a8f-a8af-4aae7899e079</vt:lpwstr>
  </property>
  <property fmtid="{D5CDD505-2E9C-101B-9397-08002B2CF9AE}" pid="3" name="ContentTypeId">
    <vt:lpwstr>0x0101007F171C84CB6E44478BFD3B875A10BF52</vt:lpwstr>
  </property>
</Properties>
</file>