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50"/>
        <w:gridCol w:w="2231"/>
        <w:gridCol w:w="2231"/>
      </w:tblGrid>
      <w:tr w:rsidR="00F30126" w:rsidRPr="00F30126" w14:paraId="16A6EA4B" w14:textId="77777777">
        <w:trPr>
          <w:trHeight w:val="1255"/>
        </w:trPr>
        <w:tc>
          <w:tcPr>
            <w:tcW w:w="2818" w:type="dxa"/>
            <w:vAlign w:val="center"/>
          </w:tcPr>
          <w:p w14:paraId="469CA17B" w14:textId="022F27EF" w:rsidR="00F30126" w:rsidRPr="00F30126" w:rsidRDefault="0055608A" w:rsidP="00F30126">
            <w:pPr>
              <w:jc w:val="center"/>
              <w:rPr>
                <w:b/>
                <w:sz w:val="28"/>
                <w:szCs w:val="28"/>
              </w:rPr>
            </w:pPr>
            <w:r w:rsidRPr="003B0537">
              <w:rPr>
                <w:b/>
                <w:noProof/>
                <w:sz w:val="28"/>
                <w:szCs w:val="28"/>
                <w:lang w:eastAsia="zh-CN"/>
              </w:rPr>
              <w:drawing>
                <wp:inline distT="0" distB="0" distL="0" distR="0" wp14:anchorId="294A3CA9" wp14:editId="72214A60">
                  <wp:extent cx="2561590" cy="826135"/>
                  <wp:effectExtent l="0" t="0" r="0" b="0"/>
                  <wp:docPr id="1" name="Picture 1" descr="TSD_logo20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1590" cy="826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01EBC8C7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4D823137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1C770B87" w14:textId="77777777" w:rsidR="00F30126" w:rsidRDefault="00F30126"/>
    <w:p w14:paraId="1E01EA13" w14:textId="77777777" w:rsidR="00AC6C62" w:rsidRDefault="00AC6C62"/>
    <w:p w14:paraId="4A7D9EF0" w14:textId="77777777" w:rsidR="007D12ED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</w:p>
    <w:p w14:paraId="50473454" w14:textId="77777777" w:rsidR="003B0537" w:rsidRPr="003B0537" w:rsidRDefault="003B0537" w:rsidP="003B0537">
      <w:pPr>
        <w:jc w:val="center"/>
        <w:rPr>
          <w:rFonts w:ascii="Arial" w:hAnsi="Arial" w:cs="Arial"/>
          <w:sz w:val="32"/>
          <w:szCs w:val="32"/>
        </w:rPr>
      </w:pPr>
    </w:p>
    <w:p w14:paraId="56AF5DDF" w14:textId="77777777" w:rsidR="003B0537" w:rsidRDefault="003B0537"/>
    <w:p w14:paraId="20B1084F" w14:textId="77777777" w:rsidR="003F403E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MA 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</w:p>
    <w:p w14:paraId="42987F70" w14:textId="77777777" w:rsidR="00AC6C62" w:rsidRPr="003B0537" w:rsidRDefault="00AC6C62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6F5DC320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3"/>
        <w:gridCol w:w="6577"/>
      </w:tblGrid>
      <w:tr w:rsidR="00AC6C62" w:rsidRPr="003B0537" w14:paraId="6B30AAC1" w14:textId="77777777" w:rsidTr="00497CE0">
        <w:tc>
          <w:tcPr>
            <w:tcW w:w="2088" w:type="dxa"/>
            <w:vAlign w:val="center"/>
          </w:tcPr>
          <w:p w14:paraId="7B13A1DA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</w:p>
        </w:tc>
        <w:tc>
          <w:tcPr>
            <w:tcW w:w="6768" w:type="dxa"/>
          </w:tcPr>
          <w:p w14:paraId="3B351285" w14:textId="77777777" w:rsidR="00AC6C62" w:rsidRPr="003B0537" w:rsidRDefault="0042389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Robert Richardson</w:t>
            </w:r>
          </w:p>
          <w:p w14:paraId="7E144890" w14:textId="77777777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AC6C62" w:rsidRPr="003B0537" w14:paraId="436EFA4F" w14:textId="77777777" w:rsidTr="00497CE0">
        <w:tc>
          <w:tcPr>
            <w:tcW w:w="2088" w:type="dxa"/>
            <w:vAlign w:val="center"/>
          </w:tcPr>
          <w:p w14:paraId="4513A46D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68" w:type="dxa"/>
          </w:tcPr>
          <w:p w14:paraId="1D97BC3F" w14:textId="77777777" w:rsidR="00AC6C62" w:rsidRPr="003B0537" w:rsidRDefault="0042389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Philosophy (Part-time) M.A.</w:t>
            </w:r>
          </w:p>
          <w:p w14:paraId="611D7DC6" w14:textId="77777777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AC6C62" w:rsidRPr="003B0537" w14:paraId="7FD80F5B" w14:textId="77777777" w:rsidTr="00497CE0">
        <w:tc>
          <w:tcPr>
            <w:tcW w:w="2088" w:type="dxa"/>
            <w:vAlign w:val="center"/>
          </w:tcPr>
          <w:p w14:paraId="13857953" w14:textId="77777777" w:rsidR="00AC6C62" w:rsidRPr="003B0537" w:rsidRDefault="00AC6C62" w:rsidP="00497CE0">
            <w:pPr>
              <w:jc w:val="center"/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</w:p>
        </w:tc>
        <w:tc>
          <w:tcPr>
            <w:tcW w:w="6768" w:type="dxa"/>
          </w:tcPr>
          <w:p w14:paraId="028C29B7" w14:textId="77777777" w:rsidR="003B0537" w:rsidRDefault="0042389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Spring 2025</w:t>
            </w:r>
          </w:p>
          <w:p w14:paraId="56290CAC" w14:textId="77777777" w:rsidR="00B56E9B" w:rsidRPr="003B0537" w:rsidRDefault="00B56E9B">
            <w:pPr>
              <w:rPr>
                <w:rFonts w:ascii="Arial" w:hAnsi="Arial" w:cs="Arial"/>
              </w:rPr>
            </w:pPr>
          </w:p>
        </w:tc>
      </w:tr>
    </w:tbl>
    <w:p w14:paraId="79EF79A4" w14:textId="77777777" w:rsidR="00366998" w:rsidRPr="003B0537" w:rsidRDefault="00366998">
      <w:pPr>
        <w:rPr>
          <w:rFonts w:ascii="Arial" w:hAnsi="Arial" w:cs="Arial"/>
        </w:rPr>
      </w:pPr>
    </w:p>
    <w:p w14:paraId="731A7106" w14:textId="77777777" w:rsidR="003B0537" w:rsidRDefault="008B49D7">
      <w:pPr>
        <w:rPr>
          <w:rFonts w:ascii="Arial" w:hAnsi="Arial" w:cs="Arial"/>
        </w:rPr>
      </w:pPr>
      <w:r w:rsidRPr="003B0537">
        <w:rPr>
          <w:rFonts w:ascii="Arial" w:hAnsi="Arial" w:cs="Arial"/>
        </w:rPr>
        <w:t>I have</w:t>
      </w:r>
      <w:r w:rsidR="00AC6C62" w:rsidRPr="003B0537">
        <w:rPr>
          <w:rFonts w:ascii="Arial" w:hAnsi="Arial" w:cs="Arial"/>
        </w:rPr>
        <w:t xml:space="preserve"> completed</w:t>
      </w:r>
      <w:r w:rsidR="003B0537">
        <w:rPr>
          <w:rFonts w:ascii="Arial" w:hAnsi="Arial" w:cs="Arial"/>
        </w:rPr>
        <w:t xml:space="preserve"> </w:t>
      </w:r>
      <w:r w:rsidR="00AC6C62" w:rsidRPr="003B0537">
        <w:rPr>
          <w:rFonts w:ascii="Arial" w:hAnsi="Arial" w:cs="Arial"/>
        </w:rPr>
        <w:t xml:space="preserve">Part 1 of </w:t>
      </w:r>
      <w:r w:rsidRPr="003B0537">
        <w:rPr>
          <w:rFonts w:ascii="Arial" w:hAnsi="Arial" w:cs="Arial"/>
        </w:rPr>
        <w:t>my</w:t>
      </w:r>
      <w:r w:rsidR="003B0537" w:rsidRPr="003B0537">
        <w:rPr>
          <w:rFonts w:ascii="Arial" w:hAnsi="Arial" w:cs="Arial"/>
        </w:rPr>
        <w:t xml:space="preserve"> degree.</w:t>
      </w:r>
    </w:p>
    <w:p w14:paraId="586EFB79" w14:textId="77777777" w:rsidR="00DC7EED" w:rsidRDefault="00DC7EE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3B0537" w:rsidRPr="001F5503" w14:paraId="60D7164B" w14:textId="77777777" w:rsidTr="001F5503">
        <w:tc>
          <w:tcPr>
            <w:tcW w:w="8856" w:type="dxa"/>
          </w:tcPr>
          <w:p w14:paraId="34B23A62" w14:textId="77777777" w:rsidR="000A0ACA" w:rsidRDefault="003B0537" w:rsidP="000A0ACA">
            <w:pPr>
              <w:jc w:val="center"/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Title of Dissertation:</w:t>
            </w:r>
            <w:r w:rsidR="00D530BB">
              <w:rPr>
                <w:rFonts w:ascii="Arial" w:hAnsi="Arial" w:cs="Arial"/>
              </w:rPr>
              <w:t xml:space="preserve"> </w:t>
            </w:r>
          </w:p>
          <w:p w14:paraId="17305000" w14:textId="414DDF41" w:rsidR="003B0537" w:rsidRPr="000D02FB" w:rsidRDefault="000A0ACA" w:rsidP="000D02FB">
            <w:pPr>
              <w:jc w:val="center"/>
            </w:pPr>
            <w:r>
              <w:t xml:space="preserve">The Continental Analytic Divide, The </w:t>
            </w:r>
            <w:bookmarkStart w:id="0" w:name="_Hlk192414441"/>
            <w:r>
              <w:t>mischaracterization of Language and Being in Wittgenstein and Heidegger and its resolution with “Life” Philosophy</w:t>
            </w:r>
            <w:bookmarkEnd w:id="0"/>
          </w:p>
          <w:p w14:paraId="3379C068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4A9DBE1B" w14:textId="77777777" w:rsidTr="001F5503">
        <w:tc>
          <w:tcPr>
            <w:tcW w:w="8856" w:type="dxa"/>
          </w:tcPr>
          <w:p w14:paraId="07A8EB3A" w14:textId="2D8C5393" w:rsidR="00136C1B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Aims and Objectives:</w:t>
            </w:r>
          </w:p>
          <w:p w14:paraId="469A84AB" w14:textId="77777777" w:rsidR="000900F6" w:rsidRPr="00434D0A" w:rsidRDefault="000900F6">
            <w:r w:rsidRPr="00434D0A">
              <w:t xml:space="preserve">-Evaluate and research the history of </w:t>
            </w:r>
            <w:r w:rsidRPr="00434D0A">
              <w:rPr>
                <w:i/>
                <w:iCs/>
              </w:rPr>
              <w:t>logos</w:t>
            </w:r>
            <w:r w:rsidR="00E00717" w:rsidRPr="00434D0A">
              <w:t>.</w:t>
            </w:r>
          </w:p>
          <w:p w14:paraId="30E07D2C" w14:textId="3449E25A" w:rsidR="000900F6" w:rsidRPr="00434D0A" w:rsidRDefault="000900F6">
            <w:r w:rsidRPr="00434D0A">
              <w:t>-See if this was explored in Wittgenstein and particularly Heidegger</w:t>
            </w:r>
            <w:r w:rsidR="007A4A5A" w:rsidRPr="00434D0A">
              <w:t>.</w:t>
            </w:r>
          </w:p>
          <w:p w14:paraId="2F2ECDCA" w14:textId="77777777" w:rsidR="000900F6" w:rsidRPr="00434D0A" w:rsidRDefault="000900F6">
            <w:r w:rsidRPr="00434D0A">
              <w:t>-Use this as a way of discerning whether the analytic continental divide can be clarified using their thinking and brought more into communication with each other productively.</w:t>
            </w:r>
            <w:r w:rsidR="00E00717" w:rsidRPr="00434D0A">
              <w:t xml:space="preserve"> </w:t>
            </w:r>
          </w:p>
          <w:p w14:paraId="319978D4" w14:textId="5FB0BCAF" w:rsidR="00E00717" w:rsidRPr="00434D0A" w:rsidRDefault="00E00717">
            <w:r w:rsidRPr="00434D0A">
              <w:t>-Clarify the nature of the concept of “life”, personhood/the soul/experiences etc. as a solution to this confusion between the aims of the analytic and continental tradition</w:t>
            </w:r>
            <w:r w:rsidR="003538D3" w:rsidRPr="00434D0A">
              <w:t>.</w:t>
            </w:r>
          </w:p>
          <w:p w14:paraId="67BD2A90" w14:textId="77777777" w:rsidR="000900F6" w:rsidRPr="00434D0A" w:rsidRDefault="000900F6">
            <w:r w:rsidRPr="00434D0A">
              <w:t>-Write a 15,000 word dissertation on my chosen subject</w:t>
            </w:r>
            <w:r w:rsidR="00E00717" w:rsidRPr="00434D0A">
              <w:t>.</w:t>
            </w:r>
          </w:p>
          <w:p w14:paraId="5F16D670" w14:textId="77777777" w:rsidR="000900F6" w:rsidRPr="00434D0A" w:rsidRDefault="000900F6">
            <w:r w:rsidRPr="00434D0A">
              <w:t>-Work with my assigned mentor to meet the standards and academic objectives of this project</w:t>
            </w:r>
            <w:r w:rsidR="00E00717" w:rsidRPr="00434D0A">
              <w:t>.</w:t>
            </w:r>
          </w:p>
          <w:p w14:paraId="0A2D77C2" w14:textId="77777777" w:rsidR="000900F6" w:rsidRPr="00434D0A" w:rsidRDefault="000900F6">
            <w:r w:rsidRPr="00434D0A">
              <w:t xml:space="preserve">-Have my thesis evaluate and marked along with a cross examination of the different </w:t>
            </w:r>
            <w:r w:rsidR="00E00717" w:rsidRPr="00434D0A">
              <w:t>research and discussion to determine a grade for the overall project.</w:t>
            </w:r>
          </w:p>
          <w:p w14:paraId="1DCD3A0C" w14:textId="46532FB5" w:rsidR="003B0537" w:rsidRPr="00434D0A" w:rsidRDefault="00E00717">
            <w:r w:rsidRPr="00434D0A">
              <w:t>-Engage and research for an extensive long term research project for the first</w:t>
            </w:r>
            <w:r w:rsidR="000E5B1B" w:rsidRPr="00434D0A">
              <w:t xml:space="preserve"> </w:t>
            </w:r>
            <w:r w:rsidRPr="00434D0A">
              <w:t>time.</w:t>
            </w:r>
          </w:p>
          <w:p w14:paraId="51E28D37" w14:textId="77777777" w:rsidR="003B0537" w:rsidRDefault="003B0537">
            <w:pPr>
              <w:rPr>
                <w:rFonts w:ascii="Arial" w:hAnsi="Arial" w:cs="Arial"/>
              </w:rPr>
            </w:pPr>
          </w:p>
          <w:p w14:paraId="6538AEFB" w14:textId="77777777" w:rsidR="001A72AD" w:rsidRPr="001F5503" w:rsidRDefault="001A72AD">
            <w:pPr>
              <w:rPr>
                <w:rFonts w:ascii="Arial" w:hAnsi="Arial" w:cs="Arial"/>
              </w:rPr>
            </w:pPr>
          </w:p>
        </w:tc>
      </w:tr>
      <w:tr w:rsidR="003B0537" w:rsidRPr="001F5503" w14:paraId="28A1B491" w14:textId="77777777" w:rsidTr="001F5503">
        <w:tc>
          <w:tcPr>
            <w:tcW w:w="8856" w:type="dxa"/>
          </w:tcPr>
          <w:p w14:paraId="2092F35E" w14:textId="77777777" w:rsidR="000A0ACA" w:rsidRDefault="003B0537" w:rsidP="000A0ACA">
            <w:pPr>
              <w:spacing w:line="480" w:lineRule="auto"/>
            </w:pPr>
            <w:r w:rsidRPr="001F5503">
              <w:rPr>
                <w:rFonts w:ascii="Arial" w:hAnsi="Arial" w:cs="Arial"/>
              </w:rPr>
              <w:t>Abstract (approximately 500 words</w:t>
            </w:r>
            <w:r w:rsidR="00E61446">
              <w:rPr>
                <w:rFonts w:ascii="Arial" w:hAnsi="Arial" w:cs="Arial"/>
              </w:rPr>
              <w:t>)</w:t>
            </w:r>
            <w:r w:rsidRPr="001F5503">
              <w:rPr>
                <w:rFonts w:ascii="Arial" w:hAnsi="Arial" w:cs="Arial"/>
              </w:rPr>
              <w:t>:</w:t>
            </w:r>
            <w:r w:rsidR="000A0ACA">
              <w:rPr>
                <w:rFonts w:ascii="Arial" w:hAnsi="Arial" w:cs="Arial"/>
              </w:rPr>
              <w:t xml:space="preserve"> </w:t>
            </w:r>
          </w:p>
          <w:p w14:paraId="5BE513BE" w14:textId="77777777" w:rsidR="0078201F" w:rsidRDefault="001637A8" w:rsidP="0078201F">
            <w:pPr>
              <w:spacing w:line="480" w:lineRule="auto"/>
              <w:ind w:firstLine="720"/>
            </w:pPr>
            <w:r>
              <w:lastRenderedPageBreak/>
              <w:br/>
            </w:r>
            <w:r w:rsidR="0078201F" w:rsidRPr="007B44CB">
              <w:t>The split between continental and analytic philosophy has been so pervasive in characterizing the disputes between these two sides in philosophy</w:t>
            </w:r>
            <w:r w:rsidR="0078201F">
              <w:t>,</w:t>
            </w:r>
            <w:r w:rsidR="0078201F" w:rsidRPr="007B44CB">
              <w:t xml:space="preserve"> which derive from Heidegger and Wittgenstein both in the 20</w:t>
            </w:r>
            <w:r w:rsidR="0078201F" w:rsidRPr="007B44CB">
              <w:rPr>
                <w:vertAlign w:val="superscript"/>
              </w:rPr>
              <w:t>th</w:t>
            </w:r>
            <w:r w:rsidR="0078201F" w:rsidRPr="007B44CB">
              <w:t xml:space="preserve"> century. Both seem to, however, with the respective emphasis on Being and language to have reach</w:t>
            </w:r>
            <w:r w:rsidR="0078201F">
              <w:t>ed</w:t>
            </w:r>
            <w:r w:rsidR="0078201F" w:rsidRPr="007B44CB">
              <w:t xml:space="preserve"> an impasse that has led to the respective development of these two sides and created in part the philosophical traditions that have come out of each.  A reemphasis on the nature of the term </w:t>
            </w:r>
            <w:r w:rsidR="0078201F" w:rsidRPr="007B44CB">
              <w:rPr>
                <w:i/>
                <w:iCs/>
              </w:rPr>
              <w:t>logos</w:t>
            </w:r>
            <w:r w:rsidR="0078201F" w:rsidRPr="007B44CB">
              <w:t xml:space="preserve"> and the way that Wittgenstein’s and Heidegger’s </w:t>
            </w:r>
            <w:r w:rsidR="0078201F">
              <w:t xml:space="preserve">conflicting </w:t>
            </w:r>
            <w:r w:rsidR="0078201F" w:rsidRPr="007B44CB">
              <w:t>thinking leads to a distortion in the very characterization of this term</w:t>
            </w:r>
            <w:r w:rsidR="0078201F">
              <w:t>,</w:t>
            </w:r>
            <w:r w:rsidR="0078201F" w:rsidRPr="007B44CB">
              <w:t xml:space="preserve"> etymologically</w:t>
            </w:r>
            <w:r w:rsidR="0078201F">
              <w:t>,</w:t>
            </w:r>
            <w:r w:rsidR="0078201F" w:rsidRPr="007B44CB">
              <w:t xml:space="preserve"> which includes both Being and language together</w:t>
            </w:r>
            <w:r w:rsidR="0078201F">
              <w:t xml:space="preserve">, and creates this noted conflict between the two parts of </w:t>
            </w:r>
            <w:r w:rsidR="0078201F" w:rsidRPr="00882EC2">
              <w:rPr>
                <w:i/>
                <w:iCs/>
              </w:rPr>
              <w:t>logos</w:t>
            </w:r>
            <w:r w:rsidR="0078201F">
              <w:t>, namely language and Being, as just mentioned,</w:t>
            </w:r>
            <w:r w:rsidR="0078201F" w:rsidRPr="007B44CB">
              <w:t xml:space="preserve"> may be a way to resolve the paradoxes inherent in both sides of the argument and the consequent ensnarement on either side of this philosophical divide.</w:t>
            </w:r>
          </w:p>
          <w:p w14:paraId="7E3356B5" w14:textId="7696693E" w:rsidR="0078201F" w:rsidRDefault="0078201F" w:rsidP="0078201F">
            <w:pPr>
              <w:spacing w:line="480" w:lineRule="auto"/>
              <w:ind w:firstLine="720"/>
            </w:pPr>
            <w:r w:rsidRPr="007B44CB">
              <w:t xml:space="preserve"> This discussion mainly returns one back to the </w:t>
            </w:r>
            <w:r>
              <w:t>P</w:t>
            </w:r>
            <w:r w:rsidRPr="007B44CB">
              <w:t>re</w:t>
            </w:r>
            <w:r>
              <w:t>-S</w:t>
            </w:r>
            <w:r w:rsidRPr="007B44CB">
              <w:t xml:space="preserve">ocratic etymology of the term </w:t>
            </w:r>
            <w:r>
              <w:rPr>
                <w:i/>
                <w:iCs/>
              </w:rPr>
              <w:t>logos</w:t>
            </w:r>
            <w:r w:rsidRPr="007B44CB">
              <w:t xml:space="preserve">. The </w:t>
            </w:r>
            <w:r w:rsidRPr="000C1824">
              <w:rPr>
                <w:i/>
                <w:iCs/>
              </w:rPr>
              <w:t>Britannica</w:t>
            </w:r>
            <w:r w:rsidRPr="007B44CB">
              <w:t xml:space="preserve"> defines it as such</w:t>
            </w:r>
            <w:r>
              <w:t>:</w:t>
            </w:r>
            <w:r w:rsidRPr="007B44CB">
              <w:t xml:space="preserve"> “</w:t>
            </w:r>
            <w:r w:rsidRPr="00CB7CD8">
              <w:rPr>
                <w:rStyle w:val="Strong"/>
                <w:i/>
                <w:iCs/>
                <w:shd w:val="clear" w:color="auto" w:fill="FFFFFF"/>
              </w:rPr>
              <w:t>logos</w:t>
            </w:r>
            <w:r w:rsidRPr="007B44CB">
              <w:rPr>
                <w:shd w:val="clear" w:color="auto" w:fill="FFFFFF"/>
              </w:rPr>
              <w:t>, in ancient </w:t>
            </w:r>
            <w:r w:rsidRPr="000D377E">
              <w:rPr>
                <w:shd w:val="clear" w:color="auto" w:fill="FFFFFF"/>
              </w:rPr>
              <w:t>Greek</w:t>
            </w:r>
            <w:r w:rsidRPr="007B44CB">
              <w:rPr>
                <w:shd w:val="clear" w:color="auto" w:fill="FFFFFF"/>
              </w:rPr>
              <w:t> </w:t>
            </w:r>
            <w:r w:rsidRPr="000D377E">
              <w:rPr>
                <w:shd w:val="clear" w:color="auto" w:fill="FFFFFF"/>
              </w:rPr>
              <w:t>philosophy</w:t>
            </w:r>
            <w:r w:rsidRPr="007B44CB">
              <w:rPr>
                <w:shd w:val="clear" w:color="auto" w:fill="FFFFFF"/>
              </w:rPr>
              <w:t> and early </w:t>
            </w:r>
            <w:r w:rsidRPr="000D377E">
              <w:rPr>
                <w:shd w:val="clear" w:color="auto" w:fill="FFFFFF"/>
              </w:rPr>
              <w:t>Christian</w:t>
            </w:r>
            <w:r w:rsidRPr="007B44CB">
              <w:rPr>
                <w:shd w:val="clear" w:color="auto" w:fill="FFFFFF"/>
              </w:rPr>
              <w:t> </w:t>
            </w:r>
            <w:r w:rsidRPr="000D377E">
              <w:rPr>
                <w:shd w:val="clear" w:color="auto" w:fill="FFFFFF"/>
              </w:rPr>
              <w:t>theology</w:t>
            </w:r>
            <w:r w:rsidRPr="007B44CB">
              <w:rPr>
                <w:shd w:val="clear" w:color="auto" w:fill="FFFFFF"/>
              </w:rPr>
              <w:t>, the divine </w:t>
            </w:r>
            <w:r w:rsidRPr="000D377E">
              <w:rPr>
                <w:shd w:val="clear" w:color="auto" w:fill="FFFFFF"/>
              </w:rPr>
              <w:t>reason</w:t>
            </w:r>
            <w:r w:rsidRPr="007B44CB">
              <w:rPr>
                <w:shd w:val="clear" w:color="auto" w:fill="FFFFFF"/>
              </w:rPr>
              <w:t> </w:t>
            </w:r>
            <w:r w:rsidRPr="000D377E">
              <w:rPr>
                <w:shd w:val="clear" w:color="auto" w:fill="FFFFFF"/>
              </w:rPr>
              <w:t>implicit</w:t>
            </w:r>
            <w:r w:rsidRPr="007B44CB">
              <w:rPr>
                <w:shd w:val="clear" w:color="auto" w:fill="FFFFFF"/>
              </w:rPr>
              <w:t> in the cosmos, ordering it and giving it form and meaning.”</w:t>
            </w:r>
            <w:r>
              <w:rPr>
                <w:shd w:val="clear" w:color="auto" w:fill="FFFFFF"/>
              </w:rPr>
              <w:t xml:space="preserve">  (“Philosophy and Theology”, </w:t>
            </w:r>
            <w:r w:rsidRPr="000C1824">
              <w:rPr>
                <w:i/>
                <w:iCs/>
                <w:shd w:val="clear" w:color="auto" w:fill="FFFFFF"/>
              </w:rPr>
              <w:t>Britannica</w:t>
            </w:r>
            <w:r>
              <w:rPr>
                <w:shd w:val="clear" w:color="auto" w:fill="FFFFFF"/>
              </w:rPr>
              <w:t>). A</w:t>
            </w:r>
            <w:r w:rsidRPr="007B44CB">
              <w:rPr>
                <w:shd w:val="clear" w:color="auto" w:fill="FFFFFF"/>
              </w:rPr>
              <w:t>lso</w:t>
            </w:r>
            <w:r>
              <w:rPr>
                <w:shd w:val="clear" w:color="auto" w:fill="FFFFFF"/>
              </w:rPr>
              <w:t>,</w:t>
            </w:r>
            <w:r w:rsidRPr="007B44CB">
              <w:rPr>
                <w:shd w:val="clear" w:color="auto" w:fill="FFFFFF"/>
              </w:rPr>
              <w:t xml:space="preserve"> it traces back to the Stoic</w:t>
            </w:r>
            <w:r>
              <w:rPr>
                <w:shd w:val="clear" w:color="auto" w:fill="FFFFFF"/>
              </w:rPr>
              <w:t>’</w:t>
            </w:r>
            <w:r w:rsidRPr="007B44CB">
              <w:rPr>
                <w:shd w:val="clear" w:color="auto" w:fill="FFFFFF"/>
              </w:rPr>
              <w:t>s</w:t>
            </w:r>
            <w:r>
              <w:rPr>
                <w:shd w:val="clear" w:color="auto" w:fill="FFFFFF"/>
              </w:rPr>
              <w:t>, understanding etymologically,</w:t>
            </w:r>
            <w:r w:rsidRPr="007B44CB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where</w:t>
            </w:r>
            <w:r w:rsidRPr="007B44CB">
              <w:rPr>
                <w:shd w:val="clear" w:color="auto" w:fill="FFFFFF"/>
              </w:rPr>
              <w:t xml:space="preserve"> the </w:t>
            </w:r>
            <w:r w:rsidRPr="00AD16E2">
              <w:rPr>
                <w:i/>
                <w:iCs/>
                <w:shd w:val="clear" w:color="auto" w:fill="FFFFFF"/>
              </w:rPr>
              <w:t>Britannica</w:t>
            </w:r>
            <w:r w:rsidRPr="007B44CB">
              <w:rPr>
                <w:shd w:val="clear" w:color="auto" w:fill="FFFFFF"/>
              </w:rPr>
              <w:t xml:space="preserve"> define</w:t>
            </w:r>
            <w:r>
              <w:rPr>
                <w:shd w:val="clear" w:color="auto" w:fill="FFFFFF"/>
              </w:rPr>
              <w:t xml:space="preserve">s </w:t>
            </w:r>
            <w:r w:rsidRPr="0005185A">
              <w:rPr>
                <w:i/>
                <w:iCs/>
                <w:shd w:val="clear" w:color="auto" w:fill="FFFFFF"/>
              </w:rPr>
              <w:t>logos</w:t>
            </w:r>
            <w:r w:rsidRPr="007B44CB">
              <w:rPr>
                <w:shd w:val="clear" w:color="auto" w:fill="FFFFFF"/>
              </w:rPr>
              <w:t xml:space="preserve"> as </w:t>
            </w:r>
            <w:proofErr w:type="gramStart"/>
            <w:r w:rsidRPr="007B44CB">
              <w:rPr>
                <w:shd w:val="clear" w:color="auto" w:fill="FFFFFF"/>
              </w:rPr>
              <w:t>the,</w:t>
            </w:r>
            <w:proofErr w:type="gramEnd"/>
            <w:r w:rsidRPr="007B44CB">
              <w:rPr>
                <w:shd w:val="clear" w:color="auto" w:fill="FFFFFF"/>
              </w:rPr>
              <w:t xml:space="preserve"> “providence, nature, god, and the soul of the </w:t>
            </w:r>
            <w:r w:rsidRPr="000D377E">
              <w:rPr>
                <w:shd w:val="clear" w:color="auto" w:fill="FFFFFF"/>
              </w:rPr>
              <w:t>universe</w:t>
            </w:r>
            <w:r>
              <w:t xml:space="preserve">.” </w:t>
            </w:r>
            <w:r w:rsidRPr="00947963">
              <w:t>(“Philosophy and Theology”,</w:t>
            </w:r>
            <w:r w:rsidRPr="005E6939">
              <w:t xml:space="preserve"> </w:t>
            </w:r>
            <w:r w:rsidRPr="00947963">
              <w:rPr>
                <w:i/>
                <w:iCs/>
              </w:rPr>
              <w:t>Britannica</w:t>
            </w:r>
            <w:r w:rsidRPr="005E6939">
              <w:t xml:space="preserve">). </w:t>
            </w:r>
            <w:r w:rsidRPr="007B44CB">
              <w:t xml:space="preserve">This seems to relate the ideal of </w:t>
            </w:r>
            <w:r w:rsidRPr="00AD16E2">
              <w:rPr>
                <w:i/>
                <w:iCs/>
              </w:rPr>
              <w:t>logos</w:t>
            </w:r>
            <w:r w:rsidRPr="007B44CB">
              <w:t xml:space="preserve"> closely to the ultimate ground, which for Heidegger, he is attempting to understand through the term Being</w:t>
            </w:r>
            <w:r>
              <w:t xml:space="preserve">, but looking at Being largely alone and treating it like a reified general category, at least this is my general impression rightly or wrongly—especially in </w:t>
            </w:r>
            <w:r w:rsidRPr="00C32029">
              <w:rPr>
                <w:i/>
                <w:iCs/>
              </w:rPr>
              <w:t>Being and Time</w:t>
            </w:r>
            <w:r>
              <w:rPr>
                <w:i/>
                <w:iCs/>
              </w:rPr>
              <w:t>—</w:t>
            </w:r>
            <w:r>
              <w:t xml:space="preserve"> and </w:t>
            </w:r>
            <w:r>
              <w:lastRenderedPageBreak/>
              <w:t xml:space="preserve">distorts the Pre-Socratic meaning of this term though Heidegger does admittedly look back keenly towards the Pre-Socratic understanding of the term </w:t>
            </w:r>
            <w:r w:rsidRPr="00BA1A1C">
              <w:rPr>
                <w:i/>
                <w:iCs/>
              </w:rPr>
              <w:t>logos</w:t>
            </w:r>
            <w:r>
              <w:t xml:space="preserve">. So, determining how much Heidegger addresses and specifically how he addresses his indebtedness to the Pre-Socratic term </w:t>
            </w:r>
            <w:r w:rsidRPr="0005185A">
              <w:rPr>
                <w:i/>
                <w:iCs/>
              </w:rPr>
              <w:t>logo</w:t>
            </w:r>
            <w:r>
              <w:rPr>
                <w:i/>
                <w:iCs/>
              </w:rPr>
              <w:t xml:space="preserve">s, </w:t>
            </w:r>
            <w:r>
              <w:t>in his framing of the Being question, remains pertinent.</w:t>
            </w:r>
            <w:r w:rsidRPr="007B44CB">
              <w:t xml:space="preserve"> </w:t>
            </w:r>
            <w:r w:rsidRPr="005E04CC">
              <w:rPr>
                <w:i/>
                <w:iCs/>
              </w:rPr>
              <w:t>Logos</w:t>
            </w:r>
            <w:r w:rsidRPr="007B44CB">
              <w:t xml:space="preserve"> also traces through the definition of reason and to other definitions directly to the term word, which defines it more specifically through Wittgenstein’s understanding of language</w:t>
            </w:r>
            <w:r>
              <w:t>,</w:t>
            </w:r>
            <w:r w:rsidRPr="007B44CB">
              <w:t xml:space="preserve"> and his theories about language</w:t>
            </w:r>
            <w:r>
              <w:t>, using as it does words</w:t>
            </w:r>
            <w:r w:rsidRPr="007B44CB">
              <w:t>.</w:t>
            </w:r>
          </w:p>
          <w:p w14:paraId="1292532B" w14:textId="77777777" w:rsidR="0078201F" w:rsidRDefault="0078201F" w:rsidP="0078201F">
            <w:pPr>
              <w:spacing w:line="480" w:lineRule="auto"/>
              <w:ind w:firstLine="720"/>
            </w:pPr>
            <w:r w:rsidRPr="007B44CB">
              <w:t xml:space="preserve"> Understanding</w:t>
            </w:r>
            <w:r>
              <w:t xml:space="preserve"> this debate</w:t>
            </w:r>
            <w:r w:rsidRPr="007B44CB">
              <w:t xml:space="preserve"> in terms of Dilthey’s discussion of the human sciences especially understood in terms of understanding the human in terms of Dilthey’s</w:t>
            </w:r>
            <w:r>
              <w:t xml:space="preserve"> philosophy of the</w:t>
            </w:r>
            <w:r w:rsidRPr="007B44CB">
              <w:t xml:space="preserve"> </w:t>
            </w:r>
            <w:r>
              <w:t>l</w:t>
            </w:r>
            <w:r w:rsidRPr="007B44CB">
              <w:t>ife</w:t>
            </w:r>
            <w:r>
              <w:t xml:space="preserve"> sciences,</w:t>
            </w:r>
            <w:r w:rsidRPr="007B44CB">
              <w:t xml:space="preserve"> does little to characterize the term</w:t>
            </w:r>
            <w:r>
              <w:t>s Language and Being,</w:t>
            </w:r>
            <w:r w:rsidRPr="007B44CB">
              <w:t xml:space="preserve"> without a deeper appreciation that I will have to explore later </w:t>
            </w:r>
            <w:r>
              <w:t>in</w:t>
            </w:r>
            <w:r w:rsidRPr="007B44CB">
              <w:t xml:space="preserve"> Dilthey’s philosophy; but Scheler’s conceptions of the different types of life, from trees and animals to humans</w:t>
            </w:r>
            <w:r>
              <w:t>,</w:t>
            </w:r>
            <w:r w:rsidRPr="007B44CB">
              <w:t xml:space="preserve"> characterizes at least a preliminary delimitation of the concept within the larger nexus of the “life sciences”,</w:t>
            </w:r>
            <w:r>
              <w:t xml:space="preserve"> relating this to Dilthey,</w:t>
            </w:r>
            <w:r w:rsidRPr="007B44CB">
              <w:t xml:space="preserve"> i.e. biology, and harkens back to Aristotle’s prior categoric understanding as a biologist of different classifications of specie</w:t>
            </w:r>
            <w:r>
              <w:t>s</w:t>
            </w:r>
            <w:r w:rsidRPr="007B44CB">
              <w:t>. This, however, does little to illumine the peculiarly human aspect</w:t>
            </w:r>
            <w:r>
              <w:t>s</w:t>
            </w:r>
            <w:r w:rsidRPr="007B44CB">
              <w:t xml:space="preserve"> of </w:t>
            </w:r>
            <w:r w:rsidRPr="0005185A">
              <w:rPr>
                <w:i/>
                <w:iCs/>
              </w:rPr>
              <w:t>logos</w:t>
            </w:r>
            <w:r w:rsidRPr="007B44CB">
              <w:t xml:space="preserve"> as</w:t>
            </w:r>
            <w:r>
              <w:t xml:space="preserve"> a</w:t>
            </w:r>
            <w:r w:rsidRPr="007B44CB">
              <w:t xml:space="preserve"> life process, of </w:t>
            </w:r>
            <w:r>
              <w:t>B</w:t>
            </w:r>
            <w:r w:rsidRPr="007B44CB">
              <w:t>eing and reason</w:t>
            </w:r>
            <w:r>
              <w:t>/word taken</w:t>
            </w:r>
            <w:r w:rsidRPr="007B44CB">
              <w:t xml:space="preserve"> together, and thus little to delimit the difference</w:t>
            </w:r>
            <w:r>
              <w:t>s</w:t>
            </w:r>
            <w:r w:rsidRPr="007B44CB">
              <w:t xml:space="preserve"> between the philosophical debate between Wittgensteinian inspired thinkers and Heideggerian camp of philosophers. The history of </w:t>
            </w:r>
            <w:r w:rsidRPr="0005185A">
              <w:rPr>
                <w:i/>
                <w:iCs/>
              </w:rPr>
              <w:t>logos</w:t>
            </w:r>
            <w:r w:rsidRPr="007B44CB">
              <w:t xml:space="preserve"> in the Western tradition</w:t>
            </w:r>
            <w:r>
              <w:t>,</w:t>
            </w:r>
            <w:r w:rsidRPr="007B44CB">
              <w:t xml:space="preserve"> therefore</w:t>
            </w:r>
            <w:r>
              <w:t>,</w:t>
            </w:r>
            <w:r w:rsidRPr="007B44CB">
              <w:t xml:space="preserve"> remains curiously obscured</w:t>
            </w:r>
            <w:r>
              <w:t>,</w:t>
            </w:r>
            <w:r w:rsidRPr="007B44CB">
              <w:t xml:space="preserve"> and will need to be explored in terms of Aristotle, Scheler, Dilthey and other thinkers like the philosophical anthropology that Heidegger tried to distance himself from in terms of </w:t>
            </w:r>
            <w:r w:rsidRPr="007B44CB">
              <w:lastRenderedPageBreak/>
              <w:t>thinkers like Plessner</w:t>
            </w:r>
            <w:r>
              <w:t xml:space="preserve"> for one</w:t>
            </w:r>
            <w:r w:rsidRPr="007B44CB">
              <w:t>, and Scheler already mentioned, chief among the representatives of this largely 20</w:t>
            </w:r>
            <w:r w:rsidRPr="007B44CB">
              <w:rPr>
                <w:vertAlign w:val="superscript"/>
              </w:rPr>
              <w:t>th</w:t>
            </w:r>
            <w:r w:rsidRPr="007B44CB">
              <w:t xml:space="preserve"> century movement. </w:t>
            </w:r>
          </w:p>
          <w:p w14:paraId="128D6460" w14:textId="77777777" w:rsidR="0078201F" w:rsidRPr="002A0B1A" w:rsidRDefault="0078201F" w:rsidP="0078201F">
            <w:pPr>
              <w:spacing w:line="480" w:lineRule="auto"/>
              <w:ind w:firstLine="720"/>
              <w:rPr>
                <w:i/>
                <w:iCs/>
              </w:rPr>
            </w:pPr>
            <w:r w:rsidRPr="007B44CB">
              <w:t xml:space="preserve">Thus all attempts to understand </w:t>
            </w:r>
            <w:r w:rsidRPr="0005185A">
              <w:rPr>
                <w:i/>
                <w:iCs/>
              </w:rPr>
              <w:t>logos</w:t>
            </w:r>
            <w:r w:rsidRPr="007B44CB">
              <w:t xml:space="preserve"> as the key to understanding the human being specifically in terms of life itself</w:t>
            </w:r>
            <w:r>
              <w:t xml:space="preserve"> as the experience of </w:t>
            </w:r>
            <w:r w:rsidRPr="00BF7798">
              <w:rPr>
                <w:i/>
                <w:iCs/>
              </w:rPr>
              <w:t>logos</w:t>
            </w:r>
            <w:r>
              <w:t>, but not merely as mostly biology, so as to distinguish from the aforementioned philosophy of Aristotle as well as Scheler and philosophical anthropology, needs to be better understood,</w:t>
            </w:r>
            <w:r w:rsidRPr="007B44CB">
              <w:t xml:space="preserve"> as opposed to the heav</w:t>
            </w:r>
            <w:r>
              <w:t>il</w:t>
            </w:r>
            <w:r w:rsidRPr="007B44CB">
              <w:t>y worn over categories of Being and language characteristic of the linguistic turn with Wittgenstein and the overemphasizing of Being, with Heidegger understanding them as intimately connected</w:t>
            </w:r>
            <w:r>
              <w:t xml:space="preserve">, in </w:t>
            </w:r>
            <w:r w:rsidRPr="00BF7798">
              <w:rPr>
                <w:i/>
                <w:iCs/>
              </w:rPr>
              <w:t>logos</w:t>
            </w:r>
            <w:r>
              <w:t>,</w:t>
            </w:r>
            <w:r w:rsidRPr="007B44CB">
              <w:t xml:space="preserve"> and not in the reified way the 20</w:t>
            </w:r>
            <w:r w:rsidRPr="007B44CB">
              <w:rPr>
                <w:vertAlign w:val="superscript"/>
              </w:rPr>
              <w:t>th</w:t>
            </w:r>
            <w:r w:rsidRPr="007B44CB">
              <w:t xml:space="preserve"> century thinking has often understood them as being separate</w:t>
            </w:r>
            <w:r>
              <w:t>d</w:t>
            </w:r>
            <w:r w:rsidRPr="007B44CB">
              <w:t xml:space="preserve">, as unified in the underlying Heraclitean and </w:t>
            </w:r>
            <w:r>
              <w:t>P</w:t>
            </w:r>
            <w:r w:rsidRPr="007B44CB">
              <w:t>re</w:t>
            </w:r>
            <w:r>
              <w:t>-S</w:t>
            </w:r>
            <w:r w:rsidRPr="007B44CB">
              <w:t xml:space="preserve">ocratic understanding of </w:t>
            </w:r>
            <w:r w:rsidRPr="00882EC2">
              <w:rPr>
                <w:i/>
                <w:iCs/>
              </w:rPr>
              <w:t>logos</w:t>
            </w:r>
            <w:r w:rsidRPr="007B44CB">
              <w:t xml:space="preserve"> as a fundament to life itself, human life particularly. </w:t>
            </w:r>
          </w:p>
          <w:p w14:paraId="408F23A8" w14:textId="555082DA" w:rsidR="003B0537" w:rsidRPr="001637A8" w:rsidRDefault="003B0537">
            <w:pPr>
              <w:rPr>
                <w:rFonts w:ascii="Arial" w:hAnsi="Arial" w:cs="Arial"/>
              </w:rPr>
            </w:pPr>
          </w:p>
          <w:p w14:paraId="4E57BAF3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2EDC5AB6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5690C03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0A2A3454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0263F27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E784FFF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2BB2E06D" w14:textId="77777777" w:rsidTr="001F5503">
        <w:tc>
          <w:tcPr>
            <w:tcW w:w="8856" w:type="dxa"/>
          </w:tcPr>
          <w:p w14:paraId="5E98EABA" w14:textId="77777777" w:rsidR="003B0537" w:rsidRDefault="003B0537" w:rsidP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lastRenderedPageBreak/>
              <w:t>Short Introductory Bibliography:</w:t>
            </w:r>
          </w:p>
          <w:p w14:paraId="7FB001ED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  <w:jc w:val="center"/>
            </w:pPr>
            <w:r>
              <w:t>Bibliography</w:t>
            </w:r>
          </w:p>
          <w:p w14:paraId="1E46CCC6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  <w:jc w:val="center"/>
            </w:pPr>
          </w:p>
          <w:p w14:paraId="1D2A7C28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Dilthey, Wilhelm. </w:t>
            </w:r>
            <w:r>
              <w:rPr>
                <w:i/>
                <w:iCs/>
              </w:rPr>
              <w:t xml:space="preserve">Selected Works. Vol. 1 Introduction to the Human Sciences. </w:t>
            </w:r>
            <w:r w:rsidRPr="00B7276A">
              <w:t>Ed</w:t>
            </w:r>
            <w:r>
              <w:rPr>
                <w:i/>
                <w:iCs/>
              </w:rPr>
              <w:t xml:space="preserve">. </w:t>
            </w:r>
            <w:r w:rsidRPr="00B7276A">
              <w:t>Rudolf A. Makkreel and Frithjof Rodi</w:t>
            </w:r>
            <w:r>
              <w:t xml:space="preserve">. Princeton University Press, 1991. </w:t>
            </w:r>
          </w:p>
          <w:p w14:paraId="01E9D52A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02A35C71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Gordon, Peter, E. </w:t>
            </w:r>
            <w:r>
              <w:rPr>
                <w:i/>
                <w:iCs/>
              </w:rPr>
              <w:t>Adorno and Existence</w:t>
            </w:r>
            <w:r>
              <w:t xml:space="preserve">. Harvard University Press, 2018. </w:t>
            </w:r>
          </w:p>
          <w:p w14:paraId="501E06A9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2AF2674B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Gordon, Peter E. </w:t>
            </w:r>
            <w:r>
              <w:rPr>
                <w:i/>
                <w:iCs/>
              </w:rPr>
              <w:t>Continental Divide: Heidegger, Cassirer, Davos</w:t>
            </w:r>
            <w:r>
              <w:t xml:space="preserve">. Harvard University Press, 2012. </w:t>
            </w:r>
          </w:p>
          <w:p w14:paraId="30717BA4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0CA122CA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Heidegger, Martin, and David Farrell Krell. </w:t>
            </w:r>
            <w:r>
              <w:rPr>
                <w:i/>
                <w:iCs/>
              </w:rPr>
              <w:t>Basic Writings</w:t>
            </w:r>
            <w:r>
              <w:t>. Harper Perennial/Modern Thought, 2008.</w:t>
            </w:r>
          </w:p>
          <w:p w14:paraId="1CC05B8D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1A850498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Heidegger, Martin. </w:t>
            </w:r>
            <w:r>
              <w:rPr>
                <w:i/>
                <w:iCs/>
              </w:rPr>
              <w:t xml:space="preserve">Being and Time. </w:t>
            </w:r>
            <w:r>
              <w:t>Harper Perennial/Modern Thought, 2008.</w:t>
            </w:r>
          </w:p>
          <w:p w14:paraId="7C0E02EC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4093116B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Moran, Dermot and Timothy Mooney. </w:t>
            </w:r>
            <w:r>
              <w:rPr>
                <w:i/>
                <w:iCs/>
              </w:rPr>
              <w:t>The Phenomenology Reader</w:t>
            </w:r>
            <w:r>
              <w:t xml:space="preserve">. Routledge, 2010. </w:t>
            </w:r>
          </w:p>
          <w:p w14:paraId="65100F1C" w14:textId="77777777" w:rsidR="000D02FB" w:rsidRDefault="000D02FB" w:rsidP="000D02FB">
            <w:pPr>
              <w:pStyle w:val="NormalWeb"/>
              <w:spacing w:before="0" w:beforeAutospacing="0" w:after="0" w:afterAutospacing="0"/>
              <w:rPr>
                <w:color w:val="333333"/>
              </w:rPr>
            </w:pPr>
          </w:p>
          <w:p w14:paraId="34208BD3" w14:textId="77777777" w:rsidR="000D02FB" w:rsidRPr="00B260DF" w:rsidRDefault="000D02FB" w:rsidP="000D02FB">
            <w:pPr>
              <w:pStyle w:val="NormalWeb"/>
              <w:spacing w:before="0" w:beforeAutospacing="0" w:after="0" w:afterAutospacing="0"/>
            </w:pPr>
            <w:r>
              <w:rPr>
                <w:color w:val="333333"/>
              </w:rPr>
              <w:t xml:space="preserve">Scheler, Max. </w:t>
            </w:r>
            <w:r w:rsidRPr="00B37FCC">
              <w:rPr>
                <w:i/>
                <w:iCs/>
                <w:color w:val="333333"/>
              </w:rPr>
              <w:t xml:space="preserve">The </w:t>
            </w:r>
            <w:r>
              <w:rPr>
                <w:i/>
                <w:iCs/>
                <w:color w:val="333333"/>
              </w:rPr>
              <w:t>H</w:t>
            </w:r>
            <w:r w:rsidRPr="00B37FCC">
              <w:rPr>
                <w:i/>
                <w:iCs/>
                <w:color w:val="333333"/>
              </w:rPr>
              <w:t xml:space="preserve">uman </w:t>
            </w:r>
            <w:r>
              <w:rPr>
                <w:i/>
                <w:iCs/>
                <w:color w:val="333333"/>
              </w:rPr>
              <w:t>P</w:t>
            </w:r>
            <w:r w:rsidRPr="00B37FCC">
              <w:rPr>
                <w:i/>
                <w:iCs/>
                <w:color w:val="333333"/>
              </w:rPr>
              <w:t xml:space="preserve">lace in the </w:t>
            </w:r>
            <w:r>
              <w:rPr>
                <w:i/>
                <w:iCs/>
                <w:color w:val="333333"/>
              </w:rPr>
              <w:t>C</w:t>
            </w:r>
            <w:r w:rsidRPr="00B37FCC">
              <w:rPr>
                <w:i/>
                <w:iCs/>
                <w:color w:val="333333"/>
              </w:rPr>
              <w:t>osmos</w:t>
            </w:r>
            <w:r>
              <w:rPr>
                <w:color w:val="333333"/>
              </w:rPr>
              <w:t>.</w:t>
            </w:r>
            <w:r w:rsidRPr="00B260DF">
              <w:rPr>
                <w:color w:val="333333"/>
              </w:rPr>
              <w:t xml:space="preserve"> Northwestern University Press</w:t>
            </w:r>
            <w:r>
              <w:rPr>
                <w:color w:val="333333"/>
              </w:rPr>
              <w:t xml:space="preserve">, </w:t>
            </w:r>
            <w:r w:rsidRPr="00B260DF">
              <w:rPr>
                <w:color w:val="333333"/>
              </w:rPr>
              <w:t>2009</w:t>
            </w:r>
            <w:r>
              <w:rPr>
                <w:color w:val="333333"/>
              </w:rPr>
              <w:t>.</w:t>
            </w:r>
          </w:p>
          <w:p w14:paraId="5FA0F1A5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</w:p>
          <w:p w14:paraId="228C5C40" w14:textId="77777777" w:rsidR="000D02FB" w:rsidRDefault="000D02FB" w:rsidP="000D02FB">
            <w:pPr>
              <w:pStyle w:val="NormalWeb"/>
              <w:spacing w:before="0" w:beforeAutospacing="0" w:after="0" w:afterAutospacing="0" w:line="480" w:lineRule="auto"/>
              <w:ind w:left="562" w:hanging="562"/>
              <w:contextualSpacing/>
            </w:pPr>
            <w:r>
              <w:t xml:space="preserve">Wittgenstein, Ludwig, and G. E. M. Anscombe </w:t>
            </w:r>
            <w:r>
              <w:rPr>
                <w:i/>
                <w:iCs/>
              </w:rPr>
              <w:t xml:space="preserve">Philosophical Investigations </w:t>
            </w:r>
            <w:r>
              <w:t>Prentice</w:t>
            </w:r>
          </w:p>
          <w:p w14:paraId="3C633889" w14:textId="714FEEE3" w:rsidR="000D02FB" w:rsidRDefault="000D02FB" w:rsidP="000D02FB">
            <w:pPr>
              <w:pStyle w:val="NormalWeb"/>
              <w:spacing w:before="0" w:beforeAutospacing="0" w:after="0" w:afterAutospacing="0" w:line="480" w:lineRule="auto"/>
              <w:ind w:left="562" w:hanging="562"/>
              <w:contextualSpacing/>
            </w:pPr>
            <w:r>
              <w:t xml:space="preserve">Hall, 1968. </w:t>
            </w:r>
          </w:p>
          <w:p w14:paraId="457CA155" w14:textId="77777777" w:rsidR="000D02FB" w:rsidRDefault="000D02FB" w:rsidP="000D02FB">
            <w:pPr>
              <w:pStyle w:val="NormalWeb"/>
              <w:spacing w:before="0" w:beforeAutospacing="0" w:after="0" w:afterAutospacing="0"/>
              <w:ind w:left="567" w:hanging="567"/>
            </w:pPr>
            <w:r>
              <w:t xml:space="preserve">Wittgenstein, Ludwig, and C. K. Ogden. </w:t>
            </w:r>
            <w:r>
              <w:rPr>
                <w:i/>
                <w:iCs/>
              </w:rPr>
              <w:t>Tractatus Logico-Philosophicus</w:t>
            </w:r>
            <w:r>
              <w:t>. Dover, 2003.</w:t>
            </w:r>
          </w:p>
          <w:p w14:paraId="56198291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4E5C8F1F" w14:textId="77777777" w:rsidTr="001F5503">
        <w:tc>
          <w:tcPr>
            <w:tcW w:w="8856" w:type="dxa"/>
          </w:tcPr>
          <w:p w14:paraId="085870B8" w14:textId="508C70E0" w:rsidR="00E719A5" w:rsidRPr="00052BE6" w:rsidRDefault="003B0537" w:rsidP="00E719A5">
            <w:r w:rsidRPr="001F5503">
              <w:rPr>
                <w:rFonts w:ascii="Arial" w:hAnsi="Arial" w:cs="Arial"/>
              </w:rPr>
              <w:lastRenderedPageBreak/>
              <w:t>Proposed Supervisor:</w:t>
            </w:r>
            <w:r w:rsidR="00F46C56">
              <w:rPr>
                <w:rFonts w:ascii="Arial" w:hAnsi="Arial" w:cs="Arial"/>
              </w:rPr>
              <w:t xml:space="preserve"> </w:t>
            </w:r>
            <w:r w:rsidR="000F228C" w:rsidRPr="00052BE6">
              <w:t>I would prefer a p</w:t>
            </w:r>
            <w:r w:rsidR="00E6474A" w:rsidRPr="00052BE6">
              <w:t>rofessor w</w:t>
            </w:r>
            <w:r w:rsidR="0012591C" w:rsidRPr="00052BE6">
              <w:t xml:space="preserve">ith an interest in supervising this </w:t>
            </w:r>
            <w:r w:rsidR="000F228C" w:rsidRPr="00052BE6">
              <w:t>topic</w:t>
            </w:r>
            <w:r w:rsidR="001D5AB2" w:rsidRPr="00052BE6">
              <w:t xml:space="preserve"> and with my potential presentation of the subject</w:t>
            </w:r>
            <w:r w:rsidR="00E13D17" w:rsidRPr="00052BE6">
              <w:t xml:space="preserve"> in a dissertation</w:t>
            </w:r>
            <w:r w:rsidR="001D5AB2" w:rsidRPr="00052BE6">
              <w:t>.</w:t>
            </w:r>
            <w:r w:rsidR="00C10DBB" w:rsidRPr="00052BE6">
              <w:t xml:space="preserve"> </w:t>
            </w:r>
          </w:p>
          <w:p w14:paraId="40532DA6" w14:textId="77777777" w:rsidR="003B0537" w:rsidRPr="00052BE6" w:rsidRDefault="003B0537"/>
          <w:p w14:paraId="16F84ADC" w14:textId="77777777" w:rsidR="00E40642" w:rsidRPr="001F5503" w:rsidRDefault="00E40642">
            <w:pPr>
              <w:rPr>
                <w:rFonts w:ascii="Arial" w:hAnsi="Arial" w:cs="Arial"/>
              </w:rPr>
            </w:pPr>
          </w:p>
        </w:tc>
      </w:tr>
    </w:tbl>
    <w:p w14:paraId="4FEB70C0" w14:textId="77777777" w:rsidR="003B0537" w:rsidRPr="003B0537" w:rsidRDefault="003B0537">
      <w:pPr>
        <w:rPr>
          <w:rFonts w:ascii="Arial" w:hAnsi="Arial" w:cs="Arial"/>
        </w:rPr>
      </w:pPr>
    </w:p>
    <w:p w14:paraId="16516373" w14:textId="77777777" w:rsidR="003B0537" w:rsidRDefault="003B0537">
      <w:pPr>
        <w:rPr>
          <w:rFonts w:ascii="Arial" w:hAnsi="Arial" w:cs="Arial"/>
        </w:rPr>
      </w:pPr>
    </w:p>
    <w:p w14:paraId="4B60E341" w14:textId="77777777" w:rsidR="003B0537" w:rsidRDefault="003B0537">
      <w:pPr>
        <w:rPr>
          <w:rFonts w:ascii="Arial" w:hAnsi="Arial" w:cs="Arial"/>
        </w:rPr>
      </w:pPr>
    </w:p>
    <w:p w14:paraId="5EFB2275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ethical approval for project is needed – NO</w:t>
      </w:r>
    </w:p>
    <w:p w14:paraId="6365C748" w14:textId="77777777" w:rsidR="003B0537" w:rsidRDefault="003B0537">
      <w:pPr>
        <w:rPr>
          <w:rFonts w:ascii="Arial" w:hAnsi="Arial" w:cs="Arial"/>
          <w:i/>
          <w:color w:val="222222"/>
          <w:shd w:val="clear" w:color="auto" w:fill="F8F9FA"/>
        </w:rPr>
      </w:pPr>
    </w:p>
    <w:p w14:paraId="529AFAC2" w14:textId="77777777" w:rsidR="00423896" w:rsidRDefault="00423896">
      <w:pPr>
        <w:rPr>
          <w:rFonts w:ascii="Arial" w:hAnsi="Arial" w:cs="Arial"/>
        </w:rPr>
      </w:pPr>
    </w:p>
    <w:p w14:paraId="1E92CA02" w14:textId="77777777" w:rsidR="003F403E" w:rsidRDefault="003B0537" w:rsidP="003F403E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</w:t>
      </w:r>
    </w:p>
    <w:p w14:paraId="005C66ED" w14:textId="77777777" w:rsidR="00AC6C62" w:rsidRPr="003B0537" w:rsidRDefault="00AC6C62">
      <w:pPr>
        <w:rPr>
          <w:rFonts w:ascii="Arial" w:hAnsi="Arial" w:cs="Arial"/>
        </w:rPr>
      </w:pPr>
    </w:p>
    <w:p w14:paraId="73E54E69" w14:textId="77777777" w:rsidR="0058546C" w:rsidRPr="003B0537" w:rsidRDefault="0058546C">
      <w:pPr>
        <w:rPr>
          <w:rFonts w:ascii="Arial" w:hAnsi="Arial" w:cs="Arial"/>
        </w:rPr>
      </w:pPr>
    </w:p>
    <w:p w14:paraId="3EFE1AD1" w14:textId="77777777" w:rsidR="00B30598" w:rsidRPr="00423896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14:paraId="355791C7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7B804E90" w14:textId="77777777" w:rsidR="00B30598" w:rsidRPr="00B30598" w:rsidRDefault="00B30598">
      <w:pPr>
        <w:rPr>
          <w:rFonts w:ascii="Arial" w:hAnsi="Arial" w:cs="Arial"/>
        </w:rPr>
      </w:pPr>
    </w:p>
    <w:p w14:paraId="0452F143" w14:textId="77777777" w:rsidR="0058546C" w:rsidRPr="003B0537" w:rsidRDefault="0058546C">
      <w:pPr>
        <w:rPr>
          <w:rFonts w:ascii="Arial" w:hAnsi="Arial" w:cs="Arial"/>
        </w:rPr>
      </w:pPr>
    </w:p>
    <w:p w14:paraId="7CFE500F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 </w:t>
      </w:r>
    </w:p>
    <w:p w14:paraId="43523C8C" w14:textId="77777777" w:rsidR="00B30598" w:rsidRPr="003B0537" w:rsidRDefault="003F403E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</w:t>
      </w:r>
    </w:p>
    <w:p w14:paraId="44E98C51" w14:textId="77777777" w:rsidR="0058546C" w:rsidRPr="003B0537" w:rsidRDefault="0058546C">
      <w:pPr>
        <w:rPr>
          <w:rFonts w:ascii="Arial" w:hAnsi="Arial" w:cs="Arial"/>
        </w:rPr>
      </w:pPr>
    </w:p>
    <w:p w14:paraId="4EB8E7E0" w14:textId="77777777" w:rsidR="003F403E" w:rsidRDefault="003F403E">
      <w:pPr>
        <w:rPr>
          <w:rFonts w:ascii="Arial" w:hAnsi="Arial" w:cs="Arial"/>
        </w:rPr>
      </w:pPr>
    </w:p>
    <w:p w14:paraId="26A45E29" w14:textId="77777777" w:rsidR="00366998" w:rsidRDefault="003866C2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0900F6">
        <w:rPr>
          <w:rFonts w:ascii="Arial" w:hAnsi="Arial" w:cs="Arial"/>
        </w:rPr>
        <w:t xml:space="preserve"> </w:t>
      </w:r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p w14:paraId="0ABCFFF3" w14:textId="77777777" w:rsidR="00B30598" w:rsidRPr="003B0537" w:rsidRDefault="00B30598">
      <w:pPr>
        <w:rPr>
          <w:rFonts w:ascii="Arial" w:hAnsi="Arial" w:cs="Arial"/>
        </w:rPr>
      </w:pPr>
    </w:p>
    <w:p w14:paraId="0FB3B179" w14:textId="77777777" w:rsidR="00366998" w:rsidRPr="003B0537" w:rsidRDefault="00366998">
      <w:pPr>
        <w:rPr>
          <w:rFonts w:ascii="Arial" w:hAnsi="Arial" w:cs="Arial"/>
        </w:rPr>
      </w:pPr>
    </w:p>
    <w:p w14:paraId="7BAC182A" w14:textId="77777777" w:rsidR="00366998" w:rsidRPr="003B0537" w:rsidRDefault="00366998">
      <w:pPr>
        <w:rPr>
          <w:rFonts w:ascii="Arial" w:hAnsi="Arial" w:cs="Arial"/>
        </w:rPr>
      </w:pPr>
    </w:p>
    <w:p w14:paraId="1427FFB7" w14:textId="77777777" w:rsidR="00366998" w:rsidRPr="003B0537" w:rsidRDefault="00366998">
      <w:pPr>
        <w:rPr>
          <w:rFonts w:ascii="Arial" w:hAnsi="Arial" w:cs="Arial"/>
        </w:rPr>
      </w:pPr>
    </w:p>
    <w:p w14:paraId="5D89DE14" w14:textId="77777777" w:rsidR="003F403E" w:rsidRDefault="00E61446" w:rsidP="003F403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return this fo</w:t>
      </w:r>
      <w:r w:rsidR="00D629B6">
        <w:rPr>
          <w:rFonts w:ascii="Arial" w:hAnsi="Arial" w:cs="Arial"/>
          <w:b/>
        </w:rPr>
        <w:t>rm to your Programme Director</w:t>
      </w:r>
      <w:r w:rsidR="003B0537" w:rsidRPr="003B0537">
        <w:rPr>
          <w:rFonts w:ascii="Arial" w:hAnsi="Arial" w:cs="Arial"/>
          <w:b/>
        </w:rPr>
        <w:t>.</w:t>
      </w:r>
    </w:p>
    <w:p w14:paraId="0D1993DD" w14:textId="77777777"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B70B52" w14:textId="77777777" w:rsidR="00280AF6" w:rsidRDefault="00280AF6">
      <w:r>
        <w:separator/>
      </w:r>
    </w:p>
  </w:endnote>
  <w:endnote w:type="continuationSeparator" w:id="0">
    <w:p w14:paraId="5146AC8C" w14:textId="77777777" w:rsidR="00280AF6" w:rsidRDefault="00280A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D974C" w14:textId="77777777" w:rsidR="00280AF6" w:rsidRDefault="00280AF6">
      <w:r>
        <w:separator/>
      </w:r>
    </w:p>
  </w:footnote>
  <w:footnote w:type="continuationSeparator" w:id="0">
    <w:p w14:paraId="4D4EDA16" w14:textId="77777777" w:rsidR="00280AF6" w:rsidRDefault="00280A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606958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doNotDisplayPageBoundarie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17BD4"/>
    <w:rsid w:val="00026288"/>
    <w:rsid w:val="00052BE6"/>
    <w:rsid w:val="00072475"/>
    <w:rsid w:val="000900F6"/>
    <w:rsid w:val="000A0ACA"/>
    <w:rsid w:val="000D02FB"/>
    <w:rsid w:val="000D377E"/>
    <w:rsid w:val="000E5B1B"/>
    <w:rsid w:val="000F228C"/>
    <w:rsid w:val="000F43BF"/>
    <w:rsid w:val="0012591C"/>
    <w:rsid w:val="00134ADD"/>
    <w:rsid w:val="00136C1B"/>
    <w:rsid w:val="00151D42"/>
    <w:rsid w:val="001637A8"/>
    <w:rsid w:val="00193E9C"/>
    <w:rsid w:val="001A72AD"/>
    <w:rsid w:val="001C4FED"/>
    <w:rsid w:val="001D0396"/>
    <w:rsid w:val="001D5AB2"/>
    <w:rsid w:val="001F5503"/>
    <w:rsid w:val="00201E38"/>
    <w:rsid w:val="00233829"/>
    <w:rsid w:val="00265F49"/>
    <w:rsid w:val="00272557"/>
    <w:rsid w:val="00280AF6"/>
    <w:rsid w:val="00286C21"/>
    <w:rsid w:val="0030508D"/>
    <w:rsid w:val="003538D3"/>
    <w:rsid w:val="00366998"/>
    <w:rsid w:val="003866C2"/>
    <w:rsid w:val="003B0537"/>
    <w:rsid w:val="003F403E"/>
    <w:rsid w:val="00405C66"/>
    <w:rsid w:val="0041004B"/>
    <w:rsid w:val="00423896"/>
    <w:rsid w:val="00434D0A"/>
    <w:rsid w:val="00435880"/>
    <w:rsid w:val="00465F7A"/>
    <w:rsid w:val="00497CE0"/>
    <w:rsid w:val="004B6363"/>
    <w:rsid w:val="0055608A"/>
    <w:rsid w:val="0058546C"/>
    <w:rsid w:val="005B1F12"/>
    <w:rsid w:val="005D4B18"/>
    <w:rsid w:val="005F624C"/>
    <w:rsid w:val="006F30F1"/>
    <w:rsid w:val="006F7848"/>
    <w:rsid w:val="0078201F"/>
    <w:rsid w:val="007A4A5A"/>
    <w:rsid w:val="007D12ED"/>
    <w:rsid w:val="007D1B67"/>
    <w:rsid w:val="007F6746"/>
    <w:rsid w:val="008A3B7B"/>
    <w:rsid w:val="008A5AB7"/>
    <w:rsid w:val="008B49D7"/>
    <w:rsid w:val="008C3EC2"/>
    <w:rsid w:val="008D1595"/>
    <w:rsid w:val="008E2B0B"/>
    <w:rsid w:val="008F4938"/>
    <w:rsid w:val="00922323"/>
    <w:rsid w:val="00A23D17"/>
    <w:rsid w:val="00AC6C62"/>
    <w:rsid w:val="00B30598"/>
    <w:rsid w:val="00B56E9B"/>
    <w:rsid w:val="00B970D3"/>
    <w:rsid w:val="00BA7B2A"/>
    <w:rsid w:val="00C10DBB"/>
    <w:rsid w:val="00C405F3"/>
    <w:rsid w:val="00CC231B"/>
    <w:rsid w:val="00CD1148"/>
    <w:rsid w:val="00D530BB"/>
    <w:rsid w:val="00D629B6"/>
    <w:rsid w:val="00DC7EED"/>
    <w:rsid w:val="00DD0641"/>
    <w:rsid w:val="00DF2CDE"/>
    <w:rsid w:val="00E00717"/>
    <w:rsid w:val="00E021AA"/>
    <w:rsid w:val="00E06103"/>
    <w:rsid w:val="00E07339"/>
    <w:rsid w:val="00E13D17"/>
    <w:rsid w:val="00E15B9C"/>
    <w:rsid w:val="00E40642"/>
    <w:rsid w:val="00E61446"/>
    <w:rsid w:val="00E6474A"/>
    <w:rsid w:val="00E719A5"/>
    <w:rsid w:val="00E91E92"/>
    <w:rsid w:val="00EA01EF"/>
    <w:rsid w:val="00EB23D3"/>
    <w:rsid w:val="00F0229B"/>
    <w:rsid w:val="00F30126"/>
    <w:rsid w:val="00F46C56"/>
    <w:rsid w:val="00F57931"/>
    <w:rsid w:val="00F6035F"/>
    <w:rsid w:val="00F75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A6E259"/>
  <w15:chartTrackingRefBased/>
  <w15:docId w15:val="{F508FD7B-77B5-45CA-8795-3A4C1B30F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Strong">
    <w:name w:val="Strong"/>
    <w:uiPriority w:val="22"/>
    <w:qFormat/>
    <w:rsid w:val="000A0ACA"/>
    <w:rPr>
      <w:b/>
      <w:bCs/>
    </w:rPr>
  </w:style>
  <w:style w:type="character" w:styleId="Hyperlink">
    <w:name w:val="Hyperlink"/>
    <w:uiPriority w:val="99"/>
    <w:unhideWhenUsed/>
    <w:rsid w:val="000A0ACA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0D02FB"/>
    <w:pPr>
      <w:spacing w:before="100" w:beforeAutospacing="1" w:after="100" w:afterAutospacing="1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0</TotalTime>
  <Pages>5</Pages>
  <Words>1078</Words>
  <Characters>6273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7337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Diane Richardson</cp:lastModifiedBy>
  <cp:revision>2</cp:revision>
  <cp:lastPrinted>2008-11-20T21:40:00Z</cp:lastPrinted>
  <dcterms:created xsi:type="dcterms:W3CDTF">2025-03-12T23:30:00Z</dcterms:created>
  <dcterms:modified xsi:type="dcterms:W3CDTF">2025-03-12T23:30:00Z</dcterms:modified>
</cp:coreProperties>
</file>