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60B6B" w14:textId="62937250" w:rsidR="00195976" w:rsidRPr="000A2839" w:rsidRDefault="00C47F81">
      <w:pPr>
        <w:rPr>
          <w:rFonts w:ascii="Arial" w:hAnsi="Arial" w:cs="Arial"/>
          <w:b/>
          <w:bCs/>
          <w:i/>
          <w:iCs/>
          <w:u w:val="single"/>
        </w:rPr>
      </w:pPr>
      <w:r w:rsidRPr="000A2839">
        <w:rPr>
          <w:rFonts w:ascii="Arial" w:hAnsi="Arial" w:cs="Arial"/>
          <w:b/>
          <w:bCs/>
          <w:u w:val="single"/>
        </w:rPr>
        <w:t>Reference List</w:t>
      </w:r>
    </w:p>
    <w:p w14:paraId="059D5DB7" w14:textId="77777777" w:rsidR="00C47F81" w:rsidRDefault="00C47F81"/>
    <w:p w14:paraId="036AE158" w14:textId="366CB4BD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>Baker, C. and Wright, W. E. (2021</w:t>
      </w:r>
      <w:r w:rsidRPr="000A2839">
        <w:rPr>
          <w:rFonts w:ascii="Arial" w:hAnsi="Arial" w:cs="Arial"/>
          <w:i/>
          <w:iCs/>
        </w:rPr>
        <w:t>) Foundations of Bilingual Education and Bilingualism.</w:t>
      </w:r>
      <w:r w:rsidRPr="000A2839">
        <w:rPr>
          <w:rFonts w:ascii="Arial" w:hAnsi="Arial" w:cs="Arial"/>
        </w:rPr>
        <w:t xml:space="preserve"> 7</w:t>
      </w:r>
      <w:r w:rsidRPr="000A2839">
        <w:rPr>
          <w:rFonts w:ascii="Arial" w:hAnsi="Arial" w:cs="Arial"/>
          <w:vertAlign w:val="superscript"/>
        </w:rPr>
        <w:t>th</w:t>
      </w:r>
      <w:r w:rsidRPr="000A2839">
        <w:rPr>
          <w:rFonts w:ascii="Arial" w:hAnsi="Arial" w:cs="Arial"/>
        </w:rPr>
        <w:t xml:space="preserve"> </w:t>
      </w:r>
      <w:proofErr w:type="spellStart"/>
      <w:r w:rsidRPr="000A2839">
        <w:rPr>
          <w:rFonts w:ascii="Arial" w:hAnsi="Arial" w:cs="Arial"/>
        </w:rPr>
        <w:t>edn</w:t>
      </w:r>
      <w:proofErr w:type="spellEnd"/>
      <w:r w:rsidRPr="000A2839">
        <w:rPr>
          <w:rFonts w:ascii="Arial" w:hAnsi="Arial" w:cs="Arial"/>
        </w:rPr>
        <w:t>. Bristol: Multilingual Matters.</w:t>
      </w:r>
    </w:p>
    <w:p w14:paraId="36539ECC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Baker, C. (2014) </w:t>
      </w:r>
      <w:r w:rsidRPr="000A2839">
        <w:rPr>
          <w:rFonts w:ascii="Arial" w:hAnsi="Arial" w:cs="Arial"/>
          <w:i/>
          <w:iCs/>
        </w:rPr>
        <w:t xml:space="preserve">A Parents’ and Teachers’ Guide to Bilingualism. </w:t>
      </w:r>
      <w:r w:rsidRPr="000A2839">
        <w:rPr>
          <w:rFonts w:ascii="Arial" w:hAnsi="Arial" w:cs="Arial"/>
        </w:rPr>
        <w:t>4</w:t>
      </w:r>
      <w:r w:rsidRPr="000A2839">
        <w:rPr>
          <w:rFonts w:ascii="Arial" w:hAnsi="Arial" w:cs="Arial"/>
          <w:vertAlign w:val="superscript"/>
        </w:rPr>
        <w:t>th</w:t>
      </w:r>
      <w:r w:rsidRPr="000A2839">
        <w:rPr>
          <w:rFonts w:ascii="Arial" w:hAnsi="Arial" w:cs="Arial"/>
        </w:rPr>
        <w:t xml:space="preserve"> </w:t>
      </w:r>
      <w:proofErr w:type="spellStart"/>
      <w:r w:rsidRPr="000A2839">
        <w:rPr>
          <w:rFonts w:ascii="Arial" w:hAnsi="Arial" w:cs="Arial"/>
        </w:rPr>
        <w:t>edn</w:t>
      </w:r>
      <w:proofErr w:type="spellEnd"/>
      <w:r w:rsidRPr="000A2839">
        <w:rPr>
          <w:rFonts w:ascii="Arial" w:hAnsi="Arial" w:cs="Arial"/>
        </w:rPr>
        <w:t>. Bristol: Multilingual Matters.</w:t>
      </w:r>
    </w:p>
    <w:p w14:paraId="40FFC9EE" w14:textId="57B42CFC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Baker, C. (no date). ‘The advantages of </w:t>
      </w:r>
      <w:proofErr w:type="spellStart"/>
      <w:r w:rsidRPr="000A2839">
        <w:rPr>
          <w:rFonts w:ascii="Arial" w:hAnsi="Arial" w:cs="Arial"/>
        </w:rPr>
        <w:t>Blingualism</w:t>
      </w:r>
      <w:proofErr w:type="spellEnd"/>
      <w:r w:rsidRPr="000A2839">
        <w:rPr>
          <w:rFonts w:ascii="Arial" w:hAnsi="Arial" w:cs="Arial"/>
        </w:rPr>
        <w:t xml:space="preserve"> in Welsh and English’, </w:t>
      </w:r>
      <w:r w:rsidRPr="000A2839">
        <w:rPr>
          <w:rFonts w:ascii="Arial" w:hAnsi="Arial" w:cs="Arial"/>
          <w:i/>
          <w:iCs/>
        </w:rPr>
        <w:t xml:space="preserve">Rapporteur Group on Bilingualism. </w:t>
      </w:r>
      <w:r w:rsidRPr="000A2839">
        <w:rPr>
          <w:rFonts w:ascii="Arial" w:hAnsi="Arial" w:cs="Arial"/>
        </w:rPr>
        <w:t xml:space="preserve">Available at: </w:t>
      </w:r>
      <w:hyperlink r:id="rId4" w:history="1">
        <w:r w:rsidRPr="000A2839">
          <w:rPr>
            <w:rStyle w:val="Hyperlink"/>
            <w:rFonts w:ascii="Arial" w:hAnsi="Arial" w:cs="Arial"/>
          </w:rPr>
          <w:t>https://senedd.wales/NAfW%20Documents/paper_3_-_prof._colin_baker.pdf%20-%2002092010/paper_3_-_prof._colin_baker-English.pdf</w:t>
        </w:r>
      </w:hyperlink>
      <w:r w:rsidRPr="000A2839">
        <w:rPr>
          <w:rFonts w:ascii="Arial" w:hAnsi="Arial" w:cs="Arial"/>
        </w:rPr>
        <w:t xml:space="preserve"> (Accessed: 18 March 2023).</w:t>
      </w:r>
    </w:p>
    <w:p w14:paraId="2FF296CA" w14:textId="3FBEDE5D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>Bialystok, E. (2006) ‘Second-Language Acquisition and Bilingualism at an Early Age and the Impact on Early Cognitive Development’</w:t>
      </w:r>
      <w:r w:rsidR="00A2062D">
        <w:rPr>
          <w:rFonts w:ascii="Arial" w:hAnsi="Arial" w:cs="Arial"/>
        </w:rPr>
        <w:t>,</w:t>
      </w:r>
      <w:r w:rsidRPr="000A2839">
        <w:rPr>
          <w:rFonts w:ascii="Arial" w:hAnsi="Arial" w:cs="Arial"/>
        </w:rPr>
        <w:t xml:space="preserve"> </w:t>
      </w:r>
      <w:proofErr w:type="spellStart"/>
      <w:r w:rsidRPr="000A2839">
        <w:rPr>
          <w:rFonts w:ascii="Arial" w:hAnsi="Arial" w:cs="Arial"/>
          <w:i/>
          <w:iCs/>
        </w:rPr>
        <w:t>Encylopedia</w:t>
      </w:r>
      <w:proofErr w:type="spellEnd"/>
      <w:r w:rsidRPr="000A2839">
        <w:rPr>
          <w:rFonts w:ascii="Arial" w:hAnsi="Arial" w:cs="Arial"/>
          <w:i/>
          <w:iCs/>
        </w:rPr>
        <w:t xml:space="preserve"> on Early Childhood Development</w:t>
      </w:r>
      <w:r w:rsidR="00413092">
        <w:rPr>
          <w:rFonts w:ascii="Arial" w:hAnsi="Arial" w:cs="Arial"/>
          <w:i/>
          <w:iCs/>
        </w:rPr>
        <w:t>.</w:t>
      </w:r>
      <w:r w:rsidRPr="000A2839">
        <w:rPr>
          <w:rFonts w:ascii="Arial" w:hAnsi="Arial" w:cs="Arial"/>
          <w:i/>
          <w:iCs/>
        </w:rPr>
        <w:t xml:space="preserve"> </w:t>
      </w:r>
      <w:r w:rsidRPr="000A2839">
        <w:rPr>
          <w:rFonts w:ascii="Arial" w:hAnsi="Arial" w:cs="Arial"/>
        </w:rPr>
        <w:t xml:space="preserve">Available at: </w:t>
      </w:r>
      <w:hyperlink r:id="rId5" w:history="1">
        <w:r w:rsidRPr="000A2839">
          <w:rPr>
            <w:rStyle w:val="Hyperlink"/>
            <w:rFonts w:ascii="Arial" w:hAnsi="Arial" w:cs="Arial"/>
          </w:rPr>
          <w:t>https://citeseerx.ist.psu.edu/viewdoc/download?doi=10.1.1.833.8531&amp;rep=rep1&amp;type=pdf</w:t>
        </w:r>
      </w:hyperlink>
      <w:r w:rsidRPr="000A2839">
        <w:rPr>
          <w:rFonts w:ascii="Arial" w:hAnsi="Arial" w:cs="Arial"/>
        </w:rPr>
        <w:t xml:space="preserve"> (Accessed</w:t>
      </w:r>
      <w:r w:rsidR="00413092">
        <w:rPr>
          <w:rFonts w:ascii="Arial" w:hAnsi="Arial" w:cs="Arial"/>
        </w:rPr>
        <w:t xml:space="preserve">: </w:t>
      </w:r>
      <w:r w:rsidRPr="000A2839">
        <w:rPr>
          <w:rFonts w:ascii="Arial" w:hAnsi="Arial" w:cs="Arial"/>
        </w:rPr>
        <w:t>20 March 2023).</w:t>
      </w:r>
    </w:p>
    <w:p w14:paraId="088F895F" w14:textId="64909332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Bialystok, E. (2015) ‘Bilingualism and the Development of Executive Function: The role of Attention’, </w:t>
      </w:r>
      <w:r w:rsidRPr="000A2839">
        <w:rPr>
          <w:rFonts w:ascii="Arial" w:hAnsi="Arial" w:cs="Arial"/>
          <w:i/>
          <w:iCs/>
        </w:rPr>
        <w:t>Child Development Perspectives</w:t>
      </w:r>
      <w:r w:rsidRPr="000A2839">
        <w:rPr>
          <w:rFonts w:ascii="Arial" w:hAnsi="Arial" w:cs="Arial"/>
        </w:rPr>
        <w:t>, 9(2), pp. 117-121.</w:t>
      </w:r>
      <w:r w:rsidR="00A32C80">
        <w:rPr>
          <w:rFonts w:ascii="Arial" w:hAnsi="Arial" w:cs="Arial"/>
        </w:rPr>
        <w:t xml:space="preserve"> Available at: </w:t>
      </w:r>
      <w:hyperlink r:id="rId6" w:history="1">
        <w:r w:rsidR="00305FCE" w:rsidRPr="00011693">
          <w:rPr>
            <w:rStyle w:val="Hyperlink"/>
            <w:rFonts w:ascii="Arial" w:hAnsi="Arial" w:cs="Arial"/>
          </w:rPr>
          <w:t>https://doi.org/10.1111/cdep.12116</w:t>
        </w:r>
      </w:hyperlink>
      <w:r w:rsidRPr="000A2839">
        <w:rPr>
          <w:rFonts w:ascii="Arial" w:hAnsi="Arial" w:cs="Arial"/>
        </w:rPr>
        <w:t xml:space="preserve"> </w:t>
      </w:r>
    </w:p>
    <w:p w14:paraId="0595A7A7" w14:textId="72787553" w:rsidR="000A2839" w:rsidRPr="000A2839" w:rsidRDefault="000A2839" w:rsidP="000A2839">
      <w:pPr>
        <w:spacing w:line="360" w:lineRule="auto"/>
        <w:rPr>
          <w:rFonts w:ascii="Arial" w:hAnsi="Arial" w:cs="Arial"/>
        </w:rPr>
      </w:pPr>
      <w:proofErr w:type="spellStart"/>
      <w:r w:rsidRPr="000A2839">
        <w:rPr>
          <w:rFonts w:ascii="Arial" w:hAnsi="Arial" w:cs="Arial"/>
        </w:rPr>
        <w:t>Booton</w:t>
      </w:r>
      <w:proofErr w:type="spellEnd"/>
      <w:r w:rsidRPr="000A2839">
        <w:rPr>
          <w:rFonts w:ascii="Arial" w:hAnsi="Arial" w:cs="Arial"/>
        </w:rPr>
        <w:t xml:space="preserve">, </w:t>
      </w:r>
      <w:proofErr w:type="spellStart"/>
      <w:r w:rsidRPr="000A2839">
        <w:rPr>
          <w:rFonts w:ascii="Arial" w:hAnsi="Arial" w:cs="Arial"/>
        </w:rPr>
        <w:t>Hoicka</w:t>
      </w:r>
      <w:proofErr w:type="spellEnd"/>
      <w:r w:rsidRPr="000A2839">
        <w:rPr>
          <w:rFonts w:ascii="Arial" w:hAnsi="Arial" w:cs="Arial"/>
        </w:rPr>
        <w:t xml:space="preserve">, E., O’Grady, A. M., Chan, H. Y. N., </w:t>
      </w:r>
      <w:r w:rsidR="00305FCE">
        <w:rPr>
          <w:rFonts w:ascii="Arial" w:hAnsi="Arial" w:cs="Arial"/>
        </w:rPr>
        <w:t>and</w:t>
      </w:r>
      <w:r w:rsidRPr="000A2839">
        <w:rPr>
          <w:rFonts w:ascii="Arial" w:hAnsi="Arial" w:cs="Arial"/>
        </w:rPr>
        <w:t xml:space="preserve"> Murphy, V. A. (2021) ‘Children’s divergent thinking and bilingualism’ </w:t>
      </w:r>
      <w:r w:rsidRPr="000A2839">
        <w:rPr>
          <w:rFonts w:ascii="Arial" w:hAnsi="Arial" w:cs="Arial"/>
          <w:i/>
          <w:iCs/>
        </w:rPr>
        <w:t>Thinking Skills and Creativity,</w:t>
      </w:r>
      <w:r w:rsidRPr="000A2839">
        <w:rPr>
          <w:rFonts w:ascii="Arial" w:hAnsi="Arial" w:cs="Arial"/>
        </w:rPr>
        <w:t xml:space="preserve"> 41, </w:t>
      </w:r>
      <w:r w:rsidR="00661A77">
        <w:rPr>
          <w:rFonts w:ascii="Arial" w:hAnsi="Arial" w:cs="Arial"/>
        </w:rPr>
        <w:t xml:space="preserve">pp. </w:t>
      </w:r>
      <w:r w:rsidRPr="000A2839">
        <w:rPr>
          <w:rFonts w:ascii="Arial" w:hAnsi="Arial" w:cs="Arial"/>
        </w:rPr>
        <w:t xml:space="preserve">100918–. </w:t>
      </w:r>
      <w:r w:rsidR="00661A77">
        <w:rPr>
          <w:rFonts w:ascii="Arial" w:hAnsi="Arial" w:cs="Arial"/>
        </w:rPr>
        <w:t xml:space="preserve">Available at: </w:t>
      </w:r>
      <w:hyperlink r:id="rId7" w:history="1">
        <w:r w:rsidR="00661A77" w:rsidRPr="00011693">
          <w:rPr>
            <w:rStyle w:val="Hyperlink"/>
            <w:rFonts w:ascii="Arial" w:hAnsi="Arial" w:cs="Arial"/>
          </w:rPr>
          <w:t>https://doi.org/10.1016/j.tsc.2021.100918</w:t>
        </w:r>
      </w:hyperlink>
      <w:r w:rsidRPr="000A2839">
        <w:rPr>
          <w:rFonts w:ascii="Arial" w:hAnsi="Arial" w:cs="Arial"/>
        </w:rPr>
        <w:t xml:space="preserve"> </w:t>
      </w:r>
    </w:p>
    <w:p w14:paraId="594D769A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Brodie, K. (2018) </w:t>
      </w:r>
      <w:r w:rsidRPr="000A2839">
        <w:rPr>
          <w:rFonts w:ascii="Arial" w:hAnsi="Arial" w:cs="Arial"/>
          <w:i/>
          <w:iCs/>
        </w:rPr>
        <w:t xml:space="preserve">The Holistic care and development of children from birth to three: An essential guide for students and practitioners. </w:t>
      </w:r>
      <w:r w:rsidRPr="000A2839">
        <w:rPr>
          <w:rFonts w:ascii="Arial" w:hAnsi="Arial" w:cs="Arial"/>
        </w:rPr>
        <w:t>Oxon: Routledge.</w:t>
      </w:r>
    </w:p>
    <w:p w14:paraId="0BCBCFFC" w14:textId="23A6F9AD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>Cambridge (2022) World of better learning</w:t>
      </w:r>
      <w:r w:rsidR="00661A77">
        <w:rPr>
          <w:rFonts w:ascii="Arial" w:hAnsi="Arial" w:cs="Arial"/>
        </w:rPr>
        <w:t>.</w:t>
      </w:r>
      <w:r w:rsidRPr="000A2839">
        <w:rPr>
          <w:rFonts w:ascii="Arial" w:hAnsi="Arial" w:cs="Arial"/>
        </w:rPr>
        <w:t xml:space="preserve"> Available at: </w:t>
      </w:r>
      <w:hyperlink r:id="rId8" w:history="1">
        <w:r w:rsidRPr="000A2839">
          <w:rPr>
            <w:rStyle w:val="Hyperlink"/>
            <w:rFonts w:ascii="Arial" w:hAnsi="Arial" w:cs="Arial"/>
          </w:rPr>
          <w:t>https://www.cambridge.org/elt/blog/2022/04/29/learning-language-changes-your-brain/</w:t>
        </w:r>
      </w:hyperlink>
      <w:r w:rsidRPr="000A2839">
        <w:rPr>
          <w:rFonts w:ascii="Arial" w:hAnsi="Arial" w:cs="Arial"/>
        </w:rPr>
        <w:t xml:space="preserve"> (Accessed: 20 March 2023).</w:t>
      </w:r>
    </w:p>
    <w:p w14:paraId="24F6A873" w14:textId="00DAC52E" w:rsid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Carmarthenshire County Council (2023) </w:t>
      </w:r>
      <w:r w:rsidRPr="000A2839">
        <w:rPr>
          <w:rFonts w:ascii="Arial" w:hAnsi="Arial" w:cs="Arial"/>
          <w:i/>
          <w:iCs/>
        </w:rPr>
        <w:t xml:space="preserve">Advantages of being bilingual. </w:t>
      </w:r>
      <w:r w:rsidRPr="000A2839">
        <w:rPr>
          <w:rFonts w:ascii="Arial" w:hAnsi="Arial" w:cs="Arial"/>
        </w:rPr>
        <w:t xml:space="preserve">Available at: </w:t>
      </w:r>
      <w:hyperlink r:id="rId9" w:anchor=".ZBW6ZBTP3rc" w:history="1">
        <w:r w:rsidRPr="000A2839">
          <w:rPr>
            <w:rStyle w:val="Hyperlink"/>
            <w:rFonts w:ascii="Arial" w:hAnsi="Arial" w:cs="Arial"/>
          </w:rPr>
          <w:t>https://www.carmarthenshire.gov.wales/home/council-services/education-schools/bilingual-education/advantages-of-being-bilingual/#.ZBW6ZBTP3rc</w:t>
        </w:r>
      </w:hyperlink>
      <w:r w:rsidRPr="000A2839">
        <w:rPr>
          <w:rFonts w:ascii="Arial" w:hAnsi="Arial" w:cs="Arial"/>
        </w:rPr>
        <w:t xml:space="preserve"> (Accessed: 18 March 2023).</w:t>
      </w:r>
    </w:p>
    <w:p w14:paraId="5D3E298F" w14:textId="0892D6F4" w:rsidR="00965C3A" w:rsidRPr="00E765D4" w:rsidRDefault="00965C3A" w:rsidP="000A28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Conteh, J. (2018) </w:t>
      </w:r>
      <w:r w:rsidR="00F06AE4">
        <w:rPr>
          <w:rFonts w:ascii="Arial" w:hAnsi="Arial" w:cs="Arial"/>
        </w:rPr>
        <w:t>‘</w:t>
      </w:r>
      <w:proofErr w:type="spellStart"/>
      <w:r w:rsidR="00F06AE4">
        <w:rPr>
          <w:rFonts w:ascii="Arial" w:hAnsi="Arial" w:cs="Arial"/>
        </w:rPr>
        <w:t>Translanguaging</w:t>
      </w:r>
      <w:proofErr w:type="spellEnd"/>
      <w:r w:rsidR="00F06AE4">
        <w:rPr>
          <w:rFonts w:ascii="Arial" w:hAnsi="Arial" w:cs="Arial"/>
        </w:rPr>
        <w:t xml:space="preserve">’, </w:t>
      </w:r>
      <w:r w:rsidR="00E765D4">
        <w:rPr>
          <w:rFonts w:ascii="Arial" w:hAnsi="Arial" w:cs="Arial"/>
          <w:i/>
          <w:iCs/>
        </w:rPr>
        <w:t xml:space="preserve">ELT Journal, </w:t>
      </w:r>
      <w:r w:rsidR="00E765D4">
        <w:rPr>
          <w:rFonts w:ascii="Arial" w:hAnsi="Arial" w:cs="Arial"/>
        </w:rPr>
        <w:t xml:space="preserve">72(4), </w:t>
      </w:r>
      <w:r w:rsidR="001A0462">
        <w:rPr>
          <w:rFonts w:ascii="Arial" w:hAnsi="Arial" w:cs="Arial"/>
        </w:rPr>
        <w:t xml:space="preserve">pp. 445-447. </w:t>
      </w:r>
      <w:r w:rsidR="00570752">
        <w:rPr>
          <w:rFonts w:ascii="Arial" w:hAnsi="Arial" w:cs="Arial"/>
        </w:rPr>
        <w:t xml:space="preserve">Available at: </w:t>
      </w:r>
      <w:hyperlink r:id="rId10" w:history="1">
        <w:r w:rsidR="003C569F" w:rsidRPr="00011693">
          <w:rPr>
            <w:rStyle w:val="Hyperlink"/>
            <w:rFonts w:ascii="Arial" w:hAnsi="Arial" w:cs="Arial"/>
          </w:rPr>
          <w:t>https://doi.org/10.1093/elt/ccy034</w:t>
        </w:r>
      </w:hyperlink>
      <w:r w:rsidR="003C569F">
        <w:rPr>
          <w:rFonts w:ascii="Arial" w:hAnsi="Arial" w:cs="Arial"/>
        </w:rPr>
        <w:t xml:space="preserve"> </w:t>
      </w:r>
    </w:p>
    <w:p w14:paraId="25A91C92" w14:textId="1558B19D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lastRenderedPageBreak/>
        <w:t xml:space="preserve">Craik, Bialystok and Freedman, (2010) ‘Delaying the onset of Alzheimer disease: Bilingualism as a form of cognitive reserve’, </w:t>
      </w:r>
      <w:r w:rsidRPr="000A2839">
        <w:rPr>
          <w:rFonts w:ascii="Arial" w:hAnsi="Arial" w:cs="Arial"/>
          <w:i/>
          <w:iCs/>
        </w:rPr>
        <w:t>Neurology</w:t>
      </w:r>
      <w:r w:rsidRPr="000A2839">
        <w:rPr>
          <w:rFonts w:ascii="Arial" w:hAnsi="Arial" w:cs="Arial"/>
        </w:rPr>
        <w:t xml:space="preserve">, 75(19), pp. 1726-1729. Available at: </w:t>
      </w:r>
      <w:hyperlink r:id="rId11" w:history="1">
        <w:r w:rsidRPr="000A2839">
          <w:rPr>
            <w:rStyle w:val="Hyperlink"/>
            <w:rFonts w:ascii="Arial" w:hAnsi="Arial" w:cs="Arial"/>
          </w:rPr>
          <w:t>https://www.ncbi.nlm.nih.gov/pmc/articles/PMC3033609</w:t>
        </w:r>
      </w:hyperlink>
      <w:r w:rsidRPr="000A2839">
        <w:rPr>
          <w:rFonts w:ascii="Arial" w:hAnsi="Arial" w:cs="Arial"/>
        </w:rPr>
        <w:t xml:space="preserve"> (Accessed: 18 March 2023).</w:t>
      </w:r>
    </w:p>
    <w:p w14:paraId="63B9C9E1" w14:textId="79D853F5" w:rsidR="000A2839" w:rsidRPr="000A2839" w:rsidRDefault="000A2839" w:rsidP="000A2839">
      <w:pPr>
        <w:spacing w:line="360" w:lineRule="auto"/>
        <w:rPr>
          <w:rFonts w:ascii="Arial" w:hAnsi="Arial" w:cs="Arial"/>
        </w:rPr>
      </w:pPr>
      <w:proofErr w:type="spellStart"/>
      <w:r w:rsidRPr="000A2839">
        <w:rPr>
          <w:rFonts w:ascii="Arial" w:hAnsi="Arial" w:cs="Arial"/>
        </w:rPr>
        <w:t>Gorrara</w:t>
      </w:r>
      <w:proofErr w:type="spellEnd"/>
      <w:r w:rsidRPr="000A2839">
        <w:rPr>
          <w:rFonts w:ascii="Arial" w:hAnsi="Arial" w:cs="Arial"/>
        </w:rPr>
        <w:t xml:space="preserve">, Jenkins, L., Jepson, E., </w:t>
      </w:r>
      <w:r w:rsidR="00661A77">
        <w:rPr>
          <w:rFonts w:ascii="Arial" w:hAnsi="Arial" w:cs="Arial"/>
        </w:rPr>
        <w:t>and</w:t>
      </w:r>
      <w:r w:rsidRPr="000A2839">
        <w:rPr>
          <w:rFonts w:ascii="Arial" w:hAnsi="Arial" w:cs="Arial"/>
        </w:rPr>
        <w:t xml:space="preserve"> Llewelyn Machin, T. (2020) ‘Multilingual perspectives: preparing for language learning in the new curriculum for Wales’, </w:t>
      </w:r>
      <w:r w:rsidRPr="000A2839">
        <w:rPr>
          <w:rFonts w:ascii="Arial" w:hAnsi="Arial" w:cs="Arial"/>
          <w:i/>
          <w:iCs/>
        </w:rPr>
        <w:t>Curriculum Journal (London, England)</w:t>
      </w:r>
      <w:r w:rsidRPr="000A2839">
        <w:rPr>
          <w:rFonts w:ascii="Arial" w:hAnsi="Arial" w:cs="Arial"/>
        </w:rPr>
        <w:t xml:space="preserve">, 31(2), </w:t>
      </w:r>
      <w:r w:rsidR="00A92BBA">
        <w:rPr>
          <w:rFonts w:ascii="Arial" w:hAnsi="Arial" w:cs="Arial"/>
        </w:rPr>
        <w:t xml:space="preserve">pp. </w:t>
      </w:r>
      <w:r w:rsidRPr="000A2839">
        <w:rPr>
          <w:rFonts w:ascii="Arial" w:hAnsi="Arial" w:cs="Arial"/>
        </w:rPr>
        <w:t xml:space="preserve">244–257. </w:t>
      </w:r>
      <w:r w:rsidR="00A92BBA">
        <w:rPr>
          <w:rFonts w:ascii="Arial" w:hAnsi="Arial" w:cs="Arial"/>
        </w:rPr>
        <w:t xml:space="preserve">Available at: </w:t>
      </w:r>
      <w:hyperlink r:id="rId12" w:history="1">
        <w:r w:rsidR="008763E5" w:rsidRPr="00011693">
          <w:rPr>
            <w:rStyle w:val="Hyperlink"/>
            <w:rFonts w:ascii="Arial" w:hAnsi="Arial" w:cs="Arial"/>
          </w:rPr>
          <w:t>https://doi.org/10.1002/curj.11</w:t>
        </w:r>
      </w:hyperlink>
      <w:r w:rsidRPr="000A2839">
        <w:rPr>
          <w:rFonts w:ascii="Arial" w:hAnsi="Arial" w:cs="Arial"/>
        </w:rPr>
        <w:t xml:space="preserve"> </w:t>
      </w:r>
    </w:p>
    <w:p w14:paraId="6982A975" w14:textId="55D40436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Marian, V. and Shook, A. (2012) ‘The Cognitive Benefits of Being Bilingual’, </w:t>
      </w:r>
      <w:r w:rsidRPr="008763E5">
        <w:rPr>
          <w:rFonts w:ascii="Arial" w:hAnsi="Arial" w:cs="Arial"/>
          <w:i/>
          <w:iCs/>
        </w:rPr>
        <w:t>Cerebrum : the Dana</w:t>
      </w:r>
      <w:r w:rsidR="008763E5">
        <w:rPr>
          <w:rFonts w:ascii="Arial" w:hAnsi="Arial" w:cs="Arial"/>
          <w:i/>
          <w:iCs/>
        </w:rPr>
        <w:t xml:space="preserve"> F</w:t>
      </w:r>
      <w:r w:rsidRPr="008763E5">
        <w:rPr>
          <w:rFonts w:ascii="Arial" w:hAnsi="Arial" w:cs="Arial"/>
          <w:i/>
          <w:iCs/>
        </w:rPr>
        <w:t xml:space="preserve">orum on </w:t>
      </w:r>
      <w:r w:rsidR="008763E5">
        <w:rPr>
          <w:rFonts w:ascii="Arial" w:hAnsi="Arial" w:cs="Arial"/>
          <w:i/>
          <w:iCs/>
        </w:rPr>
        <w:t>B</w:t>
      </w:r>
      <w:r w:rsidRPr="008763E5">
        <w:rPr>
          <w:rFonts w:ascii="Arial" w:hAnsi="Arial" w:cs="Arial"/>
          <w:i/>
          <w:iCs/>
        </w:rPr>
        <w:t xml:space="preserve">rain </w:t>
      </w:r>
      <w:r w:rsidR="008763E5">
        <w:rPr>
          <w:rFonts w:ascii="Arial" w:hAnsi="Arial" w:cs="Arial"/>
          <w:i/>
          <w:iCs/>
        </w:rPr>
        <w:t>S</w:t>
      </w:r>
      <w:r w:rsidRPr="008763E5">
        <w:rPr>
          <w:rFonts w:ascii="Arial" w:hAnsi="Arial" w:cs="Arial"/>
          <w:i/>
          <w:iCs/>
        </w:rPr>
        <w:t>cience</w:t>
      </w:r>
      <w:r w:rsidRPr="000A2839">
        <w:rPr>
          <w:rFonts w:ascii="Arial" w:hAnsi="Arial" w:cs="Arial"/>
        </w:rPr>
        <w:t xml:space="preserve">. 2012. 13. Available at: </w:t>
      </w:r>
      <w:hyperlink r:id="rId13" w:history="1">
        <w:r w:rsidRPr="000A2839">
          <w:rPr>
            <w:rStyle w:val="Hyperlink"/>
            <w:rFonts w:ascii="Arial" w:hAnsi="Arial" w:cs="Arial"/>
          </w:rPr>
          <w:t>https://www.researchgate.net/publication/235751035_The_Cognitive_Benefits_of_Being_Bilingual/citation/download</w:t>
        </w:r>
      </w:hyperlink>
      <w:r w:rsidRPr="000A2839">
        <w:rPr>
          <w:rFonts w:ascii="Arial" w:hAnsi="Arial" w:cs="Arial"/>
        </w:rPr>
        <w:t xml:space="preserve"> (Accessed: 18 March 2023).</w:t>
      </w:r>
    </w:p>
    <w:p w14:paraId="54ABDCD9" w14:textId="37C6A6A3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McLeod, Verdon, S., </w:t>
      </w:r>
      <w:r w:rsidR="008763E5">
        <w:rPr>
          <w:rFonts w:ascii="Arial" w:hAnsi="Arial" w:cs="Arial"/>
        </w:rPr>
        <w:t>and</w:t>
      </w:r>
      <w:r w:rsidRPr="000A2839">
        <w:rPr>
          <w:rFonts w:ascii="Arial" w:hAnsi="Arial" w:cs="Arial"/>
        </w:rPr>
        <w:t xml:space="preserve"> Theobald, M. (2015). ‘Becoming Bilingual: Children’s Insights About Making Friends in Bilingual Settings’, </w:t>
      </w:r>
      <w:r w:rsidRPr="000A2839">
        <w:rPr>
          <w:rFonts w:ascii="Arial" w:hAnsi="Arial" w:cs="Arial"/>
          <w:i/>
          <w:iCs/>
        </w:rPr>
        <w:t xml:space="preserve">International Journal of Early Childhood, 47(3), 385–402. </w:t>
      </w:r>
      <w:r w:rsidR="00163F1A">
        <w:rPr>
          <w:rFonts w:ascii="Arial" w:hAnsi="Arial" w:cs="Arial"/>
        </w:rPr>
        <w:t xml:space="preserve">Available at: </w:t>
      </w:r>
      <w:hyperlink r:id="rId14" w:history="1">
        <w:r w:rsidR="00163F1A" w:rsidRPr="00011693">
          <w:rPr>
            <w:rStyle w:val="Hyperlink"/>
            <w:rFonts w:ascii="Arial" w:hAnsi="Arial" w:cs="Arial"/>
          </w:rPr>
          <w:t>https://doi.org/10.1007/s13158-015-0148-7</w:t>
        </w:r>
      </w:hyperlink>
    </w:p>
    <w:p w14:paraId="60444786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Multilingual Montessori (2023) </w:t>
      </w:r>
      <w:r w:rsidRPr="000A2839">
        <w:rPr>
          <w:rFonts w:ascii="Arial" w:hAnsi="Arial" w:cs="Arial"/>
          <w:i/>
          <w:iCs/>
        </w:rPr>
        <w:t xml:space="preserve">What is the sandwich technique? </w:t>
      </w:r>
      <w:r w:rsidRPr="000A2839">
        <w:rPr>
          <w:rFonts w:ascii="Arial" w:hAnsi="Arial" w:cs="Arial"/>
        </w:rPr>
        <w:t xml:space="preserve">Available at: </w:t>
      </w:r>
      <w:hyperlink r:id="rId15" w:history="1">
        <w:r w:rsidRPr="000A2839">
          <w:rPr>
            <w:rStyle w:val="Hyperlink"/>
            <w:rFonts w:ascii="Arial" w:hAnsi="Arial" w:cs="Arial"/>
          </w:rPr>
          <w:t>https://multilingualmontessori.org/what-is-the-sandwich-technique</w:t>
        </w:r>
      </w:hyperlink>
      <w:r w:rsidRPr="000A2839">
        <w:rPr>
          <w:rFonts w:ascii="Arial" w:hAnsi="Arial" w:cs="Arial"/>
        </w:rPr>
        <w:t xml:space="preserve"> (Accessed: 21 March 2023). </w:t>
      </w:r>
    </w:p>
    <w:p w14:paraId="3678BF97" w14:textId="5C9ECBFB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NALDIC, (2011) </w:t>
      </w:r>
      <w:r w:rsidRPr="000A2839">
        <w:rPr>
          <w:rFonts w:ascii="Arial" w:hAnsi="Arial" w:cs="Arial"/>
          <w:i/>
          <w:iCs/>
        </w:rPr>
        <w:t xml:space="preserve">What is Bilingualism? </w:t>
      </w:r>
      <w:r w:rsidRPr="000A2839">
        <w:rPr>
          <w:rFonts w:ascii="Arial" w:hAnsi="Arial" w:cs="Arial"/>
        </w:rPr>
        <w:t xml:space="preserve">Available at: </w:t>
      </w:r>
      <w:hyperlink r:id="rId16" w:anchor=":~:text=Put%20simply%2C%20bilingualism%20is%20the%20ability%20to%20use,varying%20bilingual%20characteristics%20may%20be%20classified%20as%20bilingual" w:history="1">
        <w:r w:rsidRPr="000A2839">
          <w:rPr>
            <w:rStyle w:val="Hyperlink"/>
            <w:rFonts w:ascii="Arial" w:hAnsi="Arial" w:cs="Arial"/>
          </w:rPr>
          <w:t>https://www.naldic.org.uk/eal-initial-teacher-education/resources/ite-archive-bilingualism/#:~:text=Put%20simply%2C%20bilingualism%20is%20the%20ability%20to%20use,varying%20bilingual%20characteristics%20may%20be%20classified%20as%20bilingual</w:t>
        </w:r>
      </w:hyperlink>
      <w:r w:rsidRPr="000A2839">
        <w:rPr>
          <w:rFonts w:ascii="Arial" w:hAnsi="Arial" w:cs="Arial"/>
        </w:rPr>
        <w:t xml:space="preserve"> (Accessed: 18 March 2023).</w:t>
      </w:r>
    </w:p>
    <w:p w14:paraId="515ACA83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Office for National Statistics (2021) </w:t>
      </w:r>
      <w:r w:rsidRPr="00AF1FFB">
        <w:rPr>
          <w:rFonts w:ascii="Arial" w:hAnsi="Arial" w:cs="Arial"/>
          <w:i/>
          <w:iCs/>
        </w:rPr>
        <w:t>Welsh Language, Wales: Census 2021</w:t>
      </w:r>
      <w:r w:rsidRPr="000A2839">
        <w:rPr>
          <w:rFonts w:ascii="Arial" w:hAnsi="Arial" w:cs="Arial"/>
        </w:rPr>
        <w:t xml:space="preserve">. Available at: </w:t>
      </w:r>
      <w:hyperlink r:id="rId17" w:history="1">
        <w:r w:rsidRPr="000A2839">
          <w:rPr>
            <w:rStyle w:val="Hyperlink"/>
            <w:rFonts w:ascii="Arial" w:hAnsi="Arial" w:cs="Arial"/>
          </w:rPr>
          <w:t>https://www.ons.gov.uk/peoplepopulationandcommunity/culturalidentity/language/bulletins/welshlanguagewales/census2021</w:t>
        </w:r>
      </w:hyperlink>
      <w:r w:rsidRPr="000A2839">
        <w:rPr>
          <w:rFonts w:ascii="Arial" w:hAnsi="Arial" w:cs="Arial"/>
        </w:rPr>
        <w:t xml:space="preserve"> (Accessed: 20 March 2023).</w:t>
      </w:r>
    </w:p>
    <w:p w14:paraId="2317E872" w14:textId="6CA6343F" w:rsidR="000A2839" w:rsidRPr="000A2839" w:rsidRDefault="000A2839" w:rsidP="000A2839">
      <w:pPr>
        <w:spacing w:line="360" w:lineRule="auto"/>
        <w:rPr>
          <w:rFonts w:ascii="Arial" w:hAnsi="Arial" w:cs="Arial"/>
        </w:rPr>
      </w:pPr>
      <w:proofErr w:type="spellStart"/>
      <w:r w:rsidRPr="000A2839">
        <w:rPr>
          <w:rFonts w:ascii="Arial" w:hAnsi="Arial" w:cs="Arial"/>
        </w:rPr>
        <w:t>Pliatsikas</w:t>
      </w:r>
      <w:proofErr w:type="spellEnd"/>
      <w:r w:rsidRPr="000A2839">
        <w:rPr>
          <w:rFonts w:ascii="Arial" w:hAnsi="Arial" w:cs="Arial"/>
        </w:rPr>
        <w:t xml:space="preserve">, C., </w:t>
      </w:r>
      <w:proofErr w:type="spellStart"/>
      <w:r w:rsidRPr="000A2839">
        <w:rPr>
          <w:rFonts w:ascii="Arial" w:hAnsi="Arial" w:cs="Arial"/>
        </w:rPr>
        <w:t>Meteyard</w:t>
      </w:r>
      <w:proofErr w:type="spellEnd"/>
      <w:r w:rsidRPr="000A2839">
        <w:rPr>
          <w:rFonts w:ascii="Arial" w:hAnsi="Arial" w:cs="Arial"/>
        </w:rPr>
        <w:t xml:space="preserve">, L., </w:t>
      </w:r>
      <w:proofErr w:type="spellStart"/>
      <w:r w:rsidRPr="000A2839">
        <w:rPr>
          <w:rFonts w:ascii="Arial" w:hAnsi="Arial" w:cs="Arial"/>
        </w:rPr>
        <w:t>Verissimo</w:t>
      </w:r>
      <w:proofErr w:type="spellEnd"/>
      <w:r w:rsidRPr="000A2839">
        <w:rPr>
          <w:rFonts w:ascii="Arial" w:hAnsi="Arial" w:cs="Arial"/>
        </w:rPr>
        <w:t xml:space="preserve">, J. </w:t>
      </w:r>
      <w:r w:rsidRPr="00B226EA">
        <w:rPr>
          <w:rFonts w:ascii="Arial" w:hAnsi="Arial" w:cs="Arial"/>
          <w:i/>
          <w:iCs/>
        </w:rPr>
        <w:t>et al</w:t>
      </w:r>
      <w:r w:rsidRPr="000A2839">
        <w:rPr>
          <w:rFonts w:ascii="Arial" w:hAnsi="Arial" w:cs="Arial"/>
        </w:rPr>
        <w:t xml:space="preserve">. (2020) ‘The effect of bilingualism on brain development from early childhood to young adulthood’, </w:t>
      </w:r>
      <w:r w:rsidRPr="000A2839">
        <w:rPr>
          <w:rFonts w:ascii="Arial" w:hAnsi="Arial" w:cs="Arial"/>
          <w:i/>
          <w:iCs/>
        </w:rPr>
        <w:t xml:space="preserve">Brain Struct </w:t>
      </w:r>
      <w:proofErr w:type="spellStart"/>
      <w:r w:rsidRPr="000A2839">
        <w:rPr>
          <w:rFonts w:ascii="Arial" w:hAnsi="Arial" w:cs="Arial"/>
          <w:i/>
          <w:iCs/>
        </w:rPr>
        <w:t>Funct</w:t>
      </w:r>
      <w:proofErr w:type="spellEnd"/>
      <w:r w:rsidRPr="000A2839">
        <w:rPr>
          <w:rFonts w:ascii="Arial" w:hAnsi="Arial" w:cs="Arial"/>
          <w:i/>
          <w:iCs/>
        </w:rPr>
        <w:t xml:space="preserve">., </w:t>
      </w:r>
      <w:r w:rsidRPr="000A2839">
        <w:rPr>
          <w:rFonts w:ascii="Arial" w:hAnsi="Arial" w:cs="Arial"/>
        </w:rPr>
        <w:t xml:space="preserve">225. Pp. 2131-2153. </w:t>
      </w:r>
      <w:r w:rsidR="00B226EA">
        <w:rPr>
          <w:rFonts w:ascii="Arial" w:hAnsi="Arial" w:cs="Arial"/>
        </w:rPr>
        <w:t xml:space="preserve">Available at: </w:t>
      </w:r>
      <w:hyperlink r:id="rId18" w:history="1">
        <w:r w:rsidR="00B226EA" w:rsidRPr="00011693">
          <w:rPr>
            <w:rStyle w:val="Hyperlink"/>
            <w:rFonts w:ascii="Arial" w:hAnsi="Arial" w:cs="Arial"/>
          </w:rPr>
          <w:t>https://doi.org./10.1007/s00429-020-02115-5</w:t>
        </w:r>
      </w:hyperlink>
      <w:r w:rsidRPr="000A2839">
        <w:rPr>
          <w:rFonts w:ascii="Arial" w:hAnsi="Arial" w:cs="Arial"/>
        </w:rPr>
        <w:t xml:space="preserve"> </w:t>
      </w:r>
    </w:p>
    <w:p w14:paraId="673D239F" w14:textId="7D6FBE17" w:rsidR="000A2839" w:rsidRPr="000A2839" w:rsidRDefault="000A2839" w:rsidP="000A2839">
      <w:pPr>
        <w:spacing w:line="360" w:lineRule="auto"/>
        <w:rPr>
          <w:rFonts w:ascii="Arial" w:hAnsi="Arial" w:cs="Arial"/>
        </w:rPr>
      </w:pPr>
      <w:proofErr w:type="spellStart"/>
      <w:r w:rsidRPr="000A2839">
        <w:rPr>
          <w:rFonts w:ascii="Arial" w:hAnsi="Arial" w:cs="Arial"/>
        </w:rPr>
        <w:t>Storme</w:t>
      </w:r>
      <w:proofErr w:type="spellEnd"/>
      <w:r w:rsidRPr="000A2839">
        <w:rPr>
          <w:rFonts w:ascii="Arial" w:hAnsi="Arial" w:cs="Arial"/>
        </w:rPr>
        <w:t xml:space="preserve">, M., </w:t>
      </w:r>
      <w:proofErr w:type="spellStart"/>
      <w:r w:rsidRPr="000A2839">
        <w:rPr>
          <w:rFonts w:ascii="Arial" w:hAnsi="Arial" w:cs="Arial"/>
        </w:rPr>
        <w:t>Çelik</w:t>
      </w:r>
      <w:proofErr w:type="spellEnd"/>
      <w:r w:rsidRPr="000A2839">
        <w:rPr>
          <w:rFonts w:ascii="Arial" w:hAnsi="Arial" w:cs="Arial"/>
        </w:rPr>
        <w:t xml:space="preserve">, P., Camargo, A., </w:t>
      </w:r>
      <w:proofErr w:type="spellStart"/>
      <w:r w:rsidRPr="000A2839">
        <w:rPr>
          <w:rFonts w:ascii="Arial" w:hAnsi="Arial" w:cs="Arial"/>
        </w:rPr>
        <w:t>Forthmann</w:t>
      </w:r>
      <w:proofErr w:type="spellEnd"/>
      <w:r w:rsidRPr="000A2839">
        <w:rPr>
          <w:rFonts w:ascii="Arial" w:hAnsi="Arial" w:cs="Arial"/>
        </w:rPr>
        <w:t xml:space="preserve">, B., </w:t>
      </w:r>
      <w:proofErr w:type="spellStart"/>
      <w:r w:rsidRPr="000A2839">
        <w:rPr>
          <w:rFonts w:ascii="Arial" w:hAnsi="Arial" w:cs="Arial"/>
        </w:rPr>
        <w:t>Holling</w:t>
      </w:r>
      <w:proofErr w:type="spellEnd"/>
      <w:r w:rsidRPr="000A2839">
        <w:rPr>
          <w:rFonts w:ascii="Arial" w:hAnsi="Arial" w:cs="Arial"/>
        </w:rPr>
        <w:t xml:space="preserve">, H. and </w:t>
      </w:r>
      <w:proofErr w:type="spellStart"/>
      <w:r w:rsidRPr="000A2839">
        <w:rPr>
          <w:rFonts w:ascii="Arial" w:hAnsi="Arial" w:cs="Arial"/>
        </w:rPr>
        <w:t>Lubart</w:t>
      </w:r>
      <w:proofErr w:type="spellEnd"/>
      <w:r w:rsidRPr="000A2839">
        <w:rPr>
          <w:rFonts w:ascii="Arial" w:hAnsi="Arial" w:cs="Arial"/>
        </w:rPr>
        <w:t xml:space="preserve">, T. (2017) ‘The Effect of Forced Language Switching during Divergent Thinking: A Study on Bilinguals’ Originality of Ideas’, </w:t>
      </w:r>
      <w:r w:rsidRPr="000A2839">
        <w:rPr>
          <w:rFonts w:ascii="Arial" w:hAnsi="Arial" w:cs="Arial"/>
          <w:i/>
          <w:iCs/>
        </w:rPr>
        <w:t>Frontiers in Psychology</w:t>
      </w:r>
      <w:r w:rsidRPr="000A2839">
        <w:rPr>
          <w:rFonts w:ascii="Arial" w:hAnsi="Arial" w:cs="Arial"/>
        </w:rPr>
        <w:t xml:space="preserve">, 8. </w:t>
      </w:r>
      <w:r w:rsidR="00B226EA">
        <w:rPr>
          <w:rFonts w:ascii="Arial" w:hAnsi="Arial" w:cs="Arial"/>
        </w:rPr>
        <w:t xml:space="preserve">Available at: </w:t>
      </w:r>
      <w:hyperlink r:id="rId19" w:history="1">
        <w:r w:rsidR="00B226EA" w:rsidRPr="00011693">
          <w:rPr>
            <w:rStyle w:val="Hyperlink"/>
            <w:rFonts w:ascii="Arial" w:hAnsi="Arial" w:cs="Arial"/>
          </w:rPr>
          <w:t>https://doi.org/10.3389/fpsyg.2017.02086</w:t>
        </w:r>
      </w:hyperlink>
      <w:r w:rsidRPr="000A2839">
        <w:rPr>
          <w:rFonts w:ascii="Arial" w:hAnsi="Arial" w:cs="Arial"/>
        </w:rPr>
        <w:t xml:space="preserve"> </w:t>
      </w:r>
    </w:p>
    <w:p w14:paraId="2F8C6C2B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lastRenderedPageBreak/>
        <w:t xml:space="preserve">UNICEF (No date) </w:t>
      </w:r>
      <w:r w:rsidRPr="000A2839">
        <w:rPr>
          <w:rFonts w:ascii="Arial" w:hAnsi="Arial" w:cs="Arial"/>
          <w:i/>
          <w:iCs/>
        </w:rPr>
        <w:t>United Nations Convention on the Rights of the Child</w:t>
      </w:r>
      <w:r w:rsidRPr="000A2839">
        <w:rPr>
          <w:rFonts w:ascii="Arial" w:hAnsi="Arial" w:cs="Arial"/>
        </w:rPr>
        <w:t xml:space="preserve">. Available at: </w:t>
      </w:r>
      <w:hyperlink r:id="rId20" w:history="1">
        <w:r w:rsidRPr="000A2839">
          <w:rPr>
            <w:rStyle w:val="Hyperlink"/>
            <w:rFonts w:ascii="Arial" w:hAnsi="Arial" w:cs="Arial"/>
          </w:rPr>
          <w:t>https://www.unicef.org.uk/what-we-do/un-convention-child-rights</w:t>
        </w:r>
      </w:hyperlink>
      <w:r w:rsidRPr="000A2839">
        <w:rPr>
          <w:rFonts w:ascii="Arial" w:hAnsi="Arial" w:cs="Arial"/>
        </w:rPr>
        <w:t xml:space="preserve"> (Accessed: 21 March 2023).</w:t>
      </w:r>
    </w:p>
    <w:p w14:paraId="391E8C8E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Welsh Government (2017) </w:t>
      </w:r>
      <w:r w:rsidRPr="000A2839">
        <w:rPr>
          <w:rFonts w:ascii="Arial" w:hAnsi="Arial" w:cs="Arial"/>
          <w:i/>
          <w:iCs/>
        </w:rPr>
        <w:t xml:space="preserve">Cymraeg 2050 A million Welsh speakers. </w:t>
      </w:r>
      <w:r w:rsidRPr="000A2839">
        <w:rPr>
          <w:rFonts w:ascii="Arial" w:hAnsi="Arial" w:cs="Arial"/>
        </w:rPr>
        <w:t xml:space="preserve">Available at: </w:t>
      </w:r>
      <w:hyperlink r:id="rId21" w:history="1">
        <w:r w:rsidRPr="000A2839">
          <w:rPr>
            <w:rStyle w:val="Hyperlink"/>
            <w:rFonts w:ascii="Arial" w:hAnsi="Arial" w:cs="Arial"/>
          </w:rPr>
          <w:t>https://www.gov.wales/sites/default/files/publications/2018-12/cymraeg-2050-welsh-language-strategy.pdf</w:t>
        </w:r>
      </w:hyperlink>
      <w:r w:rsidRPr="000A2839">
        <w:rPr>
          <w:rFonts w:ascii="Arial" w:hAnsi="Arial" w:cs="Arial"/>
        </w:rPr>
        <w:t xml:space="preserve"> (Accessed: 21 March 2023).</w:t>
      </w:r>
    </w:p>
    <w:p w14:paraId="640302BE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Welsh Government (2021a) </w:t>
      </w:r>
      <w:r w:rsidRPr="000A2839">
        <w:rPr>
          <w:rFonts w:ascii="Arial" w:hAnsi="Arial" w:cs="Arial"/>
          <w:i/>
          <w:iCs/>
        </w:rPr>
        <w:t>Cymraeg 2050.</w:t>
      </w:r>
      <w:r w:rsidRPr="000A2839">
        <w:rPr>
          <w:rFonts w:ascii="Arial" w:hAnsi="Arial" w:cs="Arial"/>
        </w:rPr>
        <w:t xml:space="preserve"> Available at: </w:t>
      </w:r>
      <w:hyperlink r:id="rId22" w:anchor=":~:text=The%20Welsh%20Government%20has%20also%20published%20its%20response,community-based%20partners%20to%20increase%20the%20use%20of%20Welsh" w:history="1">
        <w:r w:rsidRPr="000A2839">
          <w:rPr>
            <w:rStyle w:val="Hyperlink"/>
            <w:rFonts w:ascii="Arial" w:hAnsi="Arial" w:cs="Arial"/>
          </w:rPr>
          <w:t>https://www.gov.wales/welsh-government-sets-out-next-five-years-cymraeg-2050#:~:text=The%20Welsh%20Government%20has%20also%20published%20its%20response,community-based%20partners%20to%20increase%20the%20use%20of%20Welsh</w:t>
        </w:r>
      </w:hyperlink>
      <w:r w:rsidRPr="000A2839">
        <w:rPr>
          <w:rFonts w:ascii="Arial" w:hAnsi="Arial" w:cs="Arial"/>
        </w:rPr>
        <w:t>. (Accessed: 21 March 2023).</w:t>
      </w:r>
    </w:p>
    <w:p w14:paraId="628D2716" w14:textId="77777777" w:rsidR="000A2839" w:rsidRPr="000A2839" w:rsidRDefault="000A2839" w:rsidP="000A2839">
      <w:pPr>
        <w:spacing w:line="360" w:lineRule="auto"/>
        <w:rPr>
          <w:rFonts w:ascii="Arial" w:hAnsi="Arial" w:cs="Arial"/>
        </w:rPr>
      </w:pPr>
      <w:r w:rsidRPr="000A2839">
        <w:rPr>
          <w:rFonts w:ascii="Arial" w:hAnsi="Arial" w:cs="Arial"/>
        </w:rPr>
        <w:t xml:space="preserve">Welsh Government (2021b) </w:t>
      </w:r>
      <w:r w:rsidRPr="000A2839">
        <w:rPr>
          <w:rFonts w:ascii="Arial" w:hAnsi="Arial" w:cs="Arial"/>
          <w:i/>
          <w:iCs/>
        </w:rPr>
        <w:t xml:space="preserve">Curriculum for Wales. </w:t>
      </w:r>
      <w:r w:rsidRPr="000A2839">
        <w:rPr>
          <w:rFonts w:ascii="Arial" w:hAnsi="Arial" w:cs="Arial"/>
        </w:rPr>
        <w:t xml:space="preserve">Available at: </w:t>
      </w:r>
      <w:hyperlink r:id="rId23" w:history="1">
        <w:r w:rsidRPr="000A2839">
          <w:rPr>
            <w:rStyle w:val="Hyperlink"/>
            <w:rFonts w:ascii="Arial" w:hAnsi="Arial" w:cs="Arial"/>
          </w:rPr>
          <w:t>https://hwb.gov.wales/curriculum-for-wales/languages-literacy-and-communication</w:t>
        </w:r>
      </w:hyperlink>
      <w:r w:rsidRPr="000A2839">
        <w:rPr>
          <w:rFonts w:ascii="Arial" w:hAnsi="Arial" w:cs="Arial"/>
        </w:rPr>
        <w:t xml:space="preserve"> (Accessed: 21 March 2023).</w:t>
      </w:r>
    </w:p>
    <w:p w14:paraId="5C215EB1" w14:textId="35BB47A4" w:rsidR="000A2839" w:rsidRPr="000A2839" w:rsidRDefault="000A2839" w:rsidP="000A2839">
      <w:pPr>
        <w:spacing w:line="360" w:lineRule="auto"/>
        <w:rPr>
          <w:rFonts w:ascii="Arial" w:hAnsi="Arial" w:cs="Arial"/>
        </w:rPr>
      </w:pPr>
      <w:proofErr w:type="spellStart"/>
      <w:r w:rsidRPr="000A2839">
        <w:rPr>
          <w:rFonts w:ascii="Arial" w:hAnsi="Arial" w:cs="Arial"/>
        </w:rPr>
        <w:t>Woumans</w:t>
      </w:r>
      <w:proofErr w:type="spellEnd"/>
      <w:r w:rsidRPr="000A2839">
        <w:rPr>
          <w:rFonts w:ascii="Arial" w:hAnsi="Arial" w:cs="Arial"/>
        </w:rPr>
        <w:t xml:space="preserve">, E., </w:t>
      </w:r>
      <w:proofErr w:type="spellStart"/>
      <w:r w:rsidRPr="000A2839">
        <w:rPr>
          <w:rFonts w:ascii="Arial" w:hAnsi="Arial" w:cs="Arial"/>
        </w:rPr>
        <w:t>Santens</w:t>
      </w:r>
      <w:proofErr w:type="spellEnd"/>
      <w:r w:rsidRPr="000A2839">
        <w:rPr>
          <w:rFonts w:ascii="Arial" w:hAnsi="Arial" w:cs="Arial"/>
        </w:rPr>
        <w:t xml:space="preserve">, P., Sieben, A., </w:t>
      </w:r>
      <w:proofErr w:type="spellStart"/>
      <w:r w:rsidRPr="000A2839">
        <w:rPr>
          <w:rFonts w:ascii="Arial" w:hAnsi="Arial" w:cs="Arial"/>
        </w:rPr>
        <w:t>Versijpt</w:t>
      </w:r>
      <w:proofErr w:type="spellEnd"/>
      <w:r w:rsidRPr="000A2839">
        <w:rPr>
          <w:rFonts w:ascii="Arial" w:hAnsi="Arial" w:cs="Arial"/>
        </w:rPr>
        <w:t xml:space="preserve">, J., Stevens, M. and </w:t>
      </w:r>
      <w:proofErr w:type="spellStart"/>
      <w:r w:rsidRPr="000A2839">
        <w:rPr>
          <w:rFonts w:ascii="Arial" w:hAnsi="Arial" w:cs="Arial"/>
        </w:rPr>
        <w:t>Duyck</w:t>
      </w:r>
      <w:proofErr w:type="spellEnd"/>
      <w:r w:rsidRPr="000A2839">
        <w:rPr>
          <w:rFonts w:ascii="Arial" w:hAnsi="Arial" w:cs="Arial"/>
        </w:rPr>
        <w:t>, W. (2015) ‘Bilingualism delays clinical manifestation of Alzheimer’s disease’</w:t>
      </w:r>
      <w:r w:rsidR="00B226EA">
        <w:rPr>
          <w:rFonts w:ascii="Arial" w:hAnsi="Arial" w:cs="Arial"/>
        </w:rPr>
        <w:t>,</w:t>
      </w:r>
      <w:r w:rsidRPr="000A2839">
        <w:rPr>
          <w:rFonts w:ascii="Arial" w:hAnsi="Arial" w:cs="Arial"/>
          <w:i/>
          <w:iCs/>
        </w:rPr>
        <w:t xml:space="preserve"> Bilingualism (Cambridge, England)</w:t>
      </w:r>
      <w:r w:rsidRPr="000A2839">
        <w:rPr>
          <w:rFonts w:ascii="Arial" w:hAnsi="Arial" w:cs="Arial"/>
        </w:rPr>
        <w:t xml:space="preserve">, 18(3), </w:t>
      </w:r>
      <w:r w:rsidR="00B226EA">
        <w:rPr>
          <w:rFonts w:ascii="Arial" w:hAnsi="Arial" w:cs="Arial"/>
        </w:rPr>
        <w:t>pp</w:t>
      </w:r>
      <w:r w:rsidR="006D7DE2">
        <w:rPr>
          <w:rFonts w:ascii="Arial" w:hAnsi="Arial" w:cs="Arial"/>
        </w:rPr>
        <w:t>.</w:t>
      </w:r>
      <w:r w:rsidR="00B226EA">
        <w:rPr>
          <w:rFonts w:ascii="Arial" w:hAnsi="Arial" w:cs="Arial"/>
        </w:rPr>
        <w:t xml:space="preserve"> </w:t>
      </w:r>
      <w:r w:rsidRPr="000A2839">
        <w:rPr>
          <w:rFonts w:ascii="Arial" w:hAnsi="Arial" w:cs="Arial"/>
        </w:rPr>
        <w:t xml:space="preserve">568–574. </w:t>
      </w:r>
      <w:r w:rsidR="006D7DE2">
        <w:rPr>
          <w:rFonts w:ascii="Arial" w:hAnsi="Arial" w:cs="Arial"/>
        </w:rPr>
        <w:t xml:space="preserve">Available at: </w:t>
      </w:r>
      <w:hyperlink r:id="rId24" w:history="1">
        <w:r w:rsidR="006D7DE2" w:rsidRPr="00011693">
          <w:rPr>
            <w:rStyle w:val="Hyperlink"/>
            <w:rFonts w:ascii="Arial" w:hAnsi="Arial" w:cs="Arial"/>
          </w:rPr>
          <w:t>https://doi.org/10.1017/S136672891400087X</w:t>
        </w:r>
      </w:hyperlink>
      <w:r w:rsidRPr="000A2839">
        <w:rPr>
          <w:rFonts w:ascii="Arial" w:hAnsi="Arial" w:cs="Arial"/>
        </w:rPr>
        <w:t xml:space="preserve"> </w:t>
      </w:r>
    </w:p>
    <w:sectPr w:rsidR="000A2839" w:rsidRPr="000A2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E3"/>
    <w:rsid w:val="00004B91"/>
    <w:rsid w:val="000225BD"/>
    <w:rsid w:val="000303E5"/>
    <w:rsid w:val="00031E65"/>
    <w:rsid w:val="0005710E"/>
    <w:rsid w:val="000761F0"/>
    <w:rsid w:val="00077E82"/>
    <w:rsid w:val="00083974"/>
    <w:rsid w:val="0009617B"/>
    <w:rsid w:val="000A2839"/>
    <w:rsid w:val="000A76C4"/>
    <w:rsid w:val="000D3761"/>
    <w:rsid w:val="000D70E9"/>
    <w:rsid w:val="001163CB"/>
    <w:rsid w:val="001251AF"/>
    <w:rsid w:val="001406DC"/>
    <w:rsid w:val="00163F1A"/>
    <w:rsid w:val="001839F1"/>
    <w:rsid w:val="00194EC7"/>
    <w:rsid w:val="00195976"/>
    <w:rsid w:val="001A0462"/>
    <w:rsid w:val="001A6D85"/>
    <w:rsid w:val="001B258B"/>
    <w:rsid w:val="001E79FA"/>
    <w:rsid w:val="00276A32"/>
    <w:rsid w:val="002B5D89"/>
    <w:rsid w:val="002D4F43"/>
    <w:rsid w:val="00305FCE"/>
    <w:rsid w:val="00315A90"/>
    <w:rsid w:val="003259EF"/>
    <w:rsid w:val="00370392"/>
    <w:rsid w:val="00395430"/>
    <w:rsid w:val="003B6600"/>
    <w:rsid w:val="003C569F"/>
    <w:rsid w:val="003C7DB9"/>
    <w:rsid w:val="003F749D"/>
    <w:rsid w:val="0040749B"/>
    <w:rsid w:val="00413092"/>
    <w:rsid w:val="00443372"/>
    <w:rsid w:val="004617E1"/>
    <w:rsid w:val="004C4056"/>
    <w:rsid w:val="004D6C37"/>
    <w:rsid w:val="00531332"/>
    <w:rsid w:val="00532468"/>
    <w:rsid w:val="00534110"/>
    <w:rsid w:val="00570752"/>
    <w:rsid w:val="00571A8A"/>
    <w:rsid w:val="005811E9"/>
    <w:rsid w:val="005A623E"/>
    <w:rsid w:val="005C6E0B"/>
    <w:rsid w:val="005F11E7"/>
    <w:rsid w:val="00617ACB"/>
    <w:rsid w:val="00661A77"/>
    <w:rsid w:val="00685D66"/>
    <w:rsid w:val="00687A30"/>
    <w:rsid w:val="006935F0"/>
    <w:rsid w:val="006A27E3"/>
    <w:rsid w:val="006D7DE2"/>
    <w:rsid w:val="006F549F"/>
    <w:rsid w:val="0071544D"/>
    <w:rsid w:val="00725BCD"/>
    <w:rsid w:val="00734B8A"/>
    <w:rsid w:val="00743DC0"/>
    <w:rsid w:val="00750082"/>
    <w:rsid w:val="007963C0"/>
    <w:rsid w:val="007A1FF2"/>
    <w:rsid w:val="007A2839"/>
    <w:rsid w:val="007A75D4"/>
    <w:rsid w:val="007B19DD"/>
    <w:rsid w:val="007C5808"/>
    <w:rsid w:val="007E0787"/>
    <w:rsid w:val="00806E86"/>
    <w:rsid w:val="00807ED4"/>
    <w:rsid w:val="008265AD"/>
    <w:rsid w:val="00845DA5"/>
    <w:rsid w:val="0086019D"/>
    <w:rsid w:val="008763E5"/>
    <w:rsid w:val="008A0F7F"/>
    <w:rsid w:val="008A4556"/>
    <w:rsid w:val="008D39A6"/>
    <w:rsid w:val="00921305"/>
    <w:rsid w:val="00926F41"/>
    <w:rsid w:val="00964277"/>
    <w:rsid w:val="00965C3A"/>
    <w:rsid w:val="00976324"/>
    <w:rsid w:val="00982AE1"/>
    <w:rsid w:val="00984200"/>
    <w:rsid w:val="00984B02"/>
    <w:rsid w:val="00987847"/>
    <w:rsid w:val="009C448B"/>
    <w:rsid w:val="009C51D2"/>
    <w:rsid w:val="009F3FC5"/>
    <w:rsid w:val="00A2062D"/>
    <w:rsid w:val="00A32479"/>
    <w:rsid w:val="00A32C80"/>
    <w:rsid w:val="00A36BF4"/>
    <w:rsid w:val="00A45FD4"/>
    <w:rsid w:val="00A51C86"/>
    <w:rsid w:val="00A56B98"/>
    <w:rsid w:val="00A62D96"/>
    <w:rsid w:val="00A864B0"/>
    <w:rsid w:val="00A92BBA"/>
    <w:rsid w:val="00A93EA0"/>
    <w:rsid w:val="00A949B5"/>
    <w:rsid w:val="00AD06F7"/>
    <w:rsid w:val="00AF1FFB"/>
    <w:rsid w:val="00B165F7"/>
    <w:rsid w:val="00B226EA"/>
    <w:rsid w:val="00B41AC9"/>
    <w:rsid w:val="00B4794C"/>
    <w:rsid w:val="00B741F6"/>
    <w:rsid w:val="00B86354"/>
    <w:rsid w:val="00BE5E1E"/>
    <w:rsid w:val="00BF0E89"/>
    <w:rsid w:val="00BF543C"/>
    <w:rsid w:val="00C024E3"/>
    <w:rsid w:val="00C12B4B"/>
    <w:rsid w:val="00C47F81"/>
    <w:rsid w:val="00C62128"/>
    <w:rsid w:val="00C66907"/>
    <w:rsid w:val="00C81B2A"/>
    <w:rsid w:val="00CC6D90"/>
    <w:rsid w:val="00CD6BF6"/>
    <w:rsid w:val="00CE1FFF"/>
    <w:rsid w:val="00D02E56"/>
    <w:rsid w:val="00D14D6F"/>
    <w:rsid w:val="00D47E56"/>
    <w:rsid w:val="00D70747"/>
    <w:rsid w:val="00D80907"/>
    <w:rsid w:val="00D87274"/>
    <w:rsid w:val="00D87D4E"/>
    <w:rsid w:val="00D93199"/>
    <w:rsid w:val="00DD72B3"/>
    <w:rsid w:val="00DE433B"/>
    <w:rsid w:val="00DE6CDB"/>
    <w:rsid w:val="00DF470B"/>
    <w:rsid w:val="00DF708A"/>
    <w:rsid w:val="00E05E74"/>
    <w:rsid w:val="00E32B15"/>
    <w:rsid w:val="00E61057"/>
    <w:rsid w:val="00E64A5D"/>
    <w:rsid w:val="00E765D4"/>
    <w:rsid w:val="00EB0B5B"/>
    <w:rsid w:val="00ED525F"/>
    <w:rsid w:val="00EE1AE8"/>
    <w:rsid w:val="00F06AE4"/>
    <w:rsid w:val="00F30946"/>
    <w:rsid w:val="00F3352F"/>
    <w:rsid w:val="00F63ACC"/>
    <w:rsid w:val="00F642A5"/>
    <w:rsid w:val="00F8491C"/>
    <w:rsid w:val="00F86428"/>
    <w:rsid w:val="00FE1046"/>
    <w:rsid w:val="00FF53F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30BAF"/>
  <w15:chartTrackingRefBased/>
  <w15:docId w15:val="{8E3A0F8E-DE02-4820-9513-BCC462BF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70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0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elt/blog/2022/04/29/learning-language-changes-your-brain/" TargetMode="External"/><Relationship Id="rId13" Type="http://schemas.openxmlformats.org/officeDocument/2006/relationships/hyperlink" Target="https://www.researchgate.net/publication/235751035_The_Cognitive_Benefits_of_Being_Bilingual/citation/download" TargetMode="External"/><Relationship Id="rId18" Type="http://schemas.openxmlformats.org/officeDocument/2006/relationships/hyperlink" Target="https://doi.org./10.1007/s00429-020-02115-5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gov.wales/sites/default/files/publications/2018-12/cymraeg-2050-welsh-language-strategy.pdf" TargetMode="External"/><Relationship Id="rId7" Type="http://schemas.openxmlformats.org/officeDocument/2006/relationships/hyperlink" Target="https://doi.org/10.1016/j.tsc.2021.100918" TargetMode="External"/><Relationship Id="rId12" Type="http://schemas.openxmlformats.org/officeDocument/2006/relationships/hyperlink" Target="https://doi.org/10.1002/curj.11" TargetMode="External"/><Relationship Id="rId17" Type="http://schemas.openxmlformats.org/officeDocument/2006/relationships/hyperlink" Target="https://www.ons.gov.uk/peoplepopulationandcommunity/culturalidentity/language/bulletins/welshlanguagewales/census2021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aldic.org.uk/eal-initial-teacher-education/resources/ite-archive-bilingualism/" TargetMode="External"/><Relationship Id="rId20" Type="http://schemas.openxmlformats.org/officeDocument/2006/relationships/hyperlink" Target="https://www.unicef.org.uk/what-we-do/un-convention-child-rights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11/cdep.12116" TargetMode="External"/><Relationship Id="rId11" Type="http://schemas.openxmlformats.org/officeDocument/2006/relationships/hyperlink" Target="https://www.ncbi.nlm.nih.gov/pmc/articles/PMC3033609" TargetMode="External"/><Relationship Id="rId24" Type="http://schemas.openxmlformats.org/officeDocument/2006/relationships/hyperlink" Target="https://doi.org/10.1017/S136672891400087X" TargetMode="External"/><Relationship Id="rId5" Type="http://schemas.openxmlformats.org/officeDocument/2006/relationships/hyperlink" Target="https://citeseerx.ist.psu.edu/viewdoc/download?doi=10.1.1.833.8531&amp;rep=rep1&amp;type=pdf" TargetMode="External"/><Relationship Id="rId15" Type="http://schemas.openxmlformats.org/officeDocument/2006/relationships/hyperlink" Target="https://multilingualmontessori.org/what-is-the-sandwich-technique" TargetMode="External"/><Relationship Id="rId23" Type="http://schemas.openxmlformats.org/officeDocument/2006/relationships/hyperlink" Target="https://hwb.gov.wales/curriculum-for-wales/languages-literacy-and-communication" TargetMode="External"/><Relationship Id="rId10" Type="http://schemas.openxmlformats.org/officeDocument/2006/relationships/hyperlink" Target="https://doi.org/10.1093/elt/ccy034" TargetMode="External"/><Relationship Id="rId19" Type="http://schemas.openxmlformats.org/officeDocument/2006/relationships/hyperlink" Target="https://doi.org/10.3389/fpsyg.2017.02086" TargetMode="External"/><Relationship Id="rId4" Type="http://schemas.openxmlformats.org/officeDocument/2006/relationships/hyperlink" Target="https://senedd.wales/NAfW%20Documents/paper_3_-_prof._colin_baker.pdf%20-%2002092010/paper_3_-_prof._colin_baker-English.pdf" TargetMode="External"/><Relationship Id="rId9" Type="http://schemas.openxmlformats.org/officeDocument/2006/relationships/hyperlink" Target="https://www.carmarthenshire.gov.wales/home/council-services/education-schools/bilingual-education/advantages-of-being-bilingual/" TargetMode="External"/><Relationship Id="rId14" Type="http://schemas.openxmlformats.org/officeDocument/2006/relationships/hyperlink" Target="https://doi.org/10.1007/s13158-015-0148-7" TargetMode="External"/><Relationship Id="rId22" Type="http://schemas.openxmlformats.org/officeDocument/2006/relationships/hyperlink" Target="https://www.gov.wales/welsh-government-sets-out-next-five-years-cymraeg-2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1122</Words>
  <Characters>6397</Characters>
  <Application>Microsoft Office Word</Application>
  <DocSecurity>0</DocSecurity>
  <Lines>53</Lines>
  <Paragraphs>15</Paragraphs>
  <ScaleCrop>false</ScaleCrop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Turner (2216886)</dc:creator>
  <cp:keywords/>
  <dc:description/>
  <cp:lastModifiedBy>Lindsay Turner (2216886)</cp:lastModifiedBy>
  <cp:revision>153</cp:revision>
  <dcterms:created xsi:type="dcterms:W3CDTF">2023-03-17T13:54:00Z</dcterms:created>
  <dcterms:modified xsi:type="dcterms:W3CDTF">2023-03-25T13:35:00Z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4fc501c4e674df00891f5a38f1cf8e97da3e55beedaab38e94451e6dd29a081a</vt:lpwstr>
  </property>
</Properties>
</file>