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F6C" w:rsidRDefault="00D84F6C" w:rsidP="00256399">
      <w:pPr>
        <w:spacing w:after="0"/>
        <w:contextualSpacing/>
        <w:rPr>
          <w:rFonts w:ascii="Arial" w:hAnsi="Arial" w:cs="Arial"/>
          <w:b/>
        </w:rPr>
      </w:pPr>
      <w:r>
        <w:rPr>
          <w:rFonts w:ascii="Arial" w:hAnsi="Arial" w:cs="Arial"/>
          <w:b/>
        </w:rPr>
        <w:t>Introduction</w:t>
      </w:r>
    </w:p>
    <w:p w:rsidR="008F5148" w:rsidRPr="008F5148" w:rsidRDefault="00E81947" w:rsidP="00256399">
      <w:pPr>
        <w:spacing w:after="0"/>
        <w:contextualSpacing/>
        <w:rPr>
          <w:rFonts w:ascii="Arial" w:hAnsi="Arial" w:cs="Arial"/>
        </w:rPr>
      </w:pPr>
      <w:r w:rsidRPr="00D84F6C">
        <w:rPr>
          <w:rFonts w:ascii="Arial" w:hAnsi="Arial" w:cs="Arial"/>
        </w:rPr>
        <w:t xml:space="preserve">This report </w:t>
      </w:r>
      <w:r w:rsidR="00D44794">
        <w:rPr>
          <w:rFonts w:ascii="Arial" w:hAnsi="Arial" w:cs="Arial"/>
        </w:rPr>
        <w:t xml:space="preserve">looks at </w:t>
      </w:r>
      <w:r w:rsidR="003D6B60">
        <w:rPr>
          <w:rFonts w:ascii="Arial" w:hAnsi="Arial" w:cs="Arial"/>
        </w:rPr>
        <w:t>different types of</w:t>
      </w:r>
      <w:r w:rsidR="00D44794">
        <w:rPr>
          <w:rFonts w:ascii="Arial" w:hAnsi="Arial" w:cs="Arial"/>
        </w:rPr>
        <w:t xml:space="preserve"> organisations and considers how their business purpose impacts on the Human Resources function. It examines the role of the HR function in the different types of organisation and how external and internal factors impact on HR’s role. Finally, it </w:t>
      </w:r>
      <w:r w:rsidR="003D6B60" w:rsidRPr="003D6B60">
        <w:rPr>
          <w:rFonts w:ascii="Arial" w:hAnsi="Arial" w:cs="Arial"/>
        </w:rPr>
        <w:t>explores</w:t>
      </w:r>
      <w:r w:rsidR="003D6B60">
        <w:rPr>
          <w:rFonts w:ascii="Arial" w:hAnsi="Arial" w:cs="Arial"/>
        </w:rPr>
        <w:t xml:space="preserve"> HR’s contribution to strategy development and delivery.</w:t>
      </w:r>
      <w:r w:rsidR="003D6B60" w:rsidRPr="008F5148">
        <w:rPr>
          <w:rFonts w:cs="Arial"/>
          <w:sz w:val="20"/>
          <w:szCs w:val="20"/>
        </w:rPr>
        <w:t xml:space="preserve"> </w:t>
      </w:r>
    </w:p>
    <w:p w:rsidR="009C2F01" w:rsidRDefault="009C2F01" w:rsidP="00256399">
      <w:pPr>
        <w:spacing w:after="0"/>
        <w:contextualSpacing/>
        <w:rPr>
          <w:rFonts w:ascii="Arial" w:hAnsi="Arial" w:cs="Arial"/>
          <w:b/>
        </w:rPr>
      </w:pPr>
    </w:p>
    <w:p w:rsidR="00155BEE" w:rsidRDefault="003D6B60" w:rsidP="00256399">
      <w:pPr>
        <w:spacing w:after="0"/>
        <w:contextualSpacing/>
        <w:rPr>
          <w:rFonts w:ascii="Arial" w:hAnsi="Arial" w:cs="Arial"/>
        </w:rPr>
      </w:pPr>
      <w:r>
        <w:rPr>
          <w:rFonts w:ascii="Arial" w:hAnsi="Arial" w:cs="Arial"/>
        </w:rPr>
        <w:t>In the UK, most organisations can be identified as one of three types of organisation: private;</w:t>
      </w:r>
      <w:r w:rsidRPr="003D6B60">
        <w:rPr>
          <w:rFonts w:ascii="Arial" w:hAnsi="Arial" w:cs="Arial"/>
        </w:rPr>
        <w:t xml:space="preserve"> </w:t>
      </w:r>
      <w:r>
        <w:rPr>
          <w:rFonts w:ascii="Arial" w:hAnsi="Arial" w:cs="Arial"/>
        </w:rPr>
        <w:t xml:space="preserve">public sector; or third sector. </w:t>
      </w:r>
    </w:p>
    <w:p w:rsidR="00155BEE" w:rsidRDefault="00155BEE" w:rsidP="00256399">
      <w:pPr>
        <w:spacing w:after="0"/>
        <w:contextualSpacing/>
        <w:rPr>
          <w:rFonts w:ascii="Arial" w:hAnsi="Arial" w:cs="Arial"/>
        </w:rPr>
      </w:pPr>
    </w:p>
    <w:p w:rsidR="00155BEE" w:rsidRDefault="00155BEE" w:rsidP="00256399">
      <w:pPr>
        <w:spacing w:after="0"/>
        <w:contextualSpacing/>
        <w:rPr>
          <w:rFonts w:ascii="Arial" w:hAnsi="Arial" w:cs="Arial"/>
        </w:rPr>
      </w:pPr>
      <w:r w:rsidRPr="00155BEE">
        <w:rPr>
          <w:rFonts w:ascii="Arial" w:hAnsi="Arial" w:cs="Arial"/>
        </w:rPr>
        <w:t xml:space="preserve">Public Sector organisations </w:t>
      </w:r>
      <w:r>
        <w:rPr>
          <w:rFonts w:ascii="Arial" w:hAnsi="Arial" w:cs="Arial"/>
        </w:rPr>
        <w:t>provide public services to the UK population, such as health and education, and are funded by the public purse i.e. funds raised through taxation. As such, the public sector is accountable to the public, through elective officials and independent scrutiny, for the way in which it is managed.</w:t>
      </w:r>
    </w:p>
    <w:p w:rsidR="003D6B60" w:rsidRDefault="003D6B60" w:rsidP="00256399">
      <w:pPr>
        <w:spacing w:after="0"/>
        <w:contextualSpacing/>
        <w:rPr>
          <w:rFonts w:ascii="Arial" w:hAnsi="Arial" w:cs="Arial"/>
        </w:rPr>
      </w:pPr>
    </w:p>
    <w:p w:rsidR="00076F4E" w:rsidRDefault="00076F4E" w:rsidP="00256399">
      <w:pPr>
        <w:spacing w:after="0"/>
        <w:contextualSpacing/>
        <w:rPr>
          <w:rFonts w:ascii="Arial" w:hAnsi="Arial" w:cs="Arial"/>
        </w:rPr>
      </w:pPr>
      <w:r w:rsidRPr="00076F4E">
        <w:rPr>
          <w:rFonts w:ascii="Arial" w:hAnsi="Arial" w:cs="Arial"/>
        </w:rPr>
        <w:t>Private sector organisations</w:t>
      </w:r>
      <w:r>
        <w:rPr>
          <w:rFonts w:ascii="Arial" w:hAnsi="Arial" w:cs="Arial"/>
        </w:rPr>
        <w:t xml:space="preserve"> are established and operated by individuals, or groups of individuals</w:t>
      </w:r>
      <w:r w:rsidR="00D04E56">
        <w:rPr>
          <w:rFonts w:ascii="Arial" w:hAnsi="Arial" w:cs="Arial"/>
        </w:rPr>
        <w:t xml:space="preserve"> and are driven by profit; sole traders, partnerships and companies are types of private sector organisations and all are subject to varying regulation.</w:t>
      </w:r>
    </w:p>
    <w:p w:rsidR="00155BEE" w:rsidRDefault="00155BEE" w:rsidP="00256399">
      <w:pPr>
        <w:spacing w:after="0"/>
        <w:contextualSpacing/>
        <w:rPr>
          <w:rFonts w:ascii="Arial" w:hAnsi="Arial" w:cs="Arial"/>
        </w:rPr>
      </w:pPr>
    </w:p>
    <w:p w:rsidR="002463C5" w:rsidRDefault="00155BEE" w:rsidP="00256399">
      <w:pPr>
        <w:spacing w:after="0"/>
        <w:contextualSpacing/>
        <w:rPr>
          <w:rFonts w:ascii="Arial" w:hAnsi="Arial" w:cs="Arial"/>
        </w:rPr>
      </w:pPr>
      <w:r w:rsidRPr="00155BEE">
        <w:rPr>
          <w:rFonts w:ascii="Arial" w:hAnsi="Arial" w:cs="Arial"/>
        </w:rPr>
        <w:t>Third sector organisations</w:t>
      </w:r>
      <w:r>
        <w:rPr>
          <w:rFonts w:ascii="Arial" w:hAnsi="Arial" w:cs="Arial"/>
        </w:rPr>
        <w:t xml:space="preserve"> include charities, voluntary organisations and social enterprises and operate on a not-for-profit basis. </w:t>
      </w:r>
    </w:p>
    <w:p w:rsidR="00155BEE" w:rsidRDefault="00155BEE" w:rsidP="00256399">
      <w:pPr>
        <w:spacing w:after="0"/>
        <w:contextualSpacing/>
        <w:rPr>
          <w:rFonts w:ascii="Arial" w:hAnsi="Arial" w:cs="Arial"/>
        </w:rPr>
      </w:pPr>
    </w:p>
    <w:p w:rsidR="00002942" w:rsidRPr="00155BEE" w:rsidRDefault="00155BEE" w:rsidP="00256399">
      <w:pPr>
        <w:spacing w:after="0"/>
        <w:contextualSpacing/>
        <w:rPr>
          <w:rFonts w:ascii="Arial" w:hAnsi="Arial" w:cs="Arial"/>
          <w:b/>
        </w:rPr>
      </w:pPr>
      <w:r w:rsidRPr="00155BEE">
        <w:rPr>
          <w:rFonts w:ascii="Arial" w:hAnsi="Arial" w:cs="Arial"/>
          <w:b/>
        </w:rPr>
        <w:t>Case studies</w:t>
      </w:r>
    </w:p>
    <w:p w:rsidR="00155BEE" w:rsidRDefault="00EB5E1A" w:rsidP="00256399">
      <w:pPr>
        <w:spacing w:after="0"/>
        <w:contextualSpacing/>
        <w:rPr>
          <w:rFonts w:ascii="Arial" w:eastAsia="Times New Roman" w:hAnsi="Arial" w:cs="Arial"/>
        </w:rPr>
      </w:pPr>
      <w:r w:rsidRPr="00155BEE">
        <w:rPr>
          <w:rFonts w:ascii="Arial" w:hAnsi="Arial" w:cs="Arial"/>
          <w:szCs w:val="18"/>
        </w:rPr>
        <w:t>Hywel Dda University Health Board</w:t>
      </w:r>
      <w:r w:rsidR="00155BEE">
        <w:rPr>
          <w:rFonts w:ascii="Arial" w:hAnsi="Arial" w:cs="Arial"/>
          <w:szCs w:val="18"/>
        </w:rPr>
        <w:t xml:space="preserve"> is a public sector organisation that</w:t>
      </w:r>
      <w:r w:rsidRPr="00155BEE">
        <w:rPr>
          <w:rFonts w:ascii="Arial" w:hAnsi="Arial" w:cs="Arial"/>
          <w:szCs w:val="18"/>
        </w:rPr>
        <w:t xml:space="preserve"> provides</w:t>
      </w:r>
      <w:r w:rsidRPr="00EB5E1A">
        <w:rPr>
          <w:rFonts w:ascii="Arial" w:hAnsi="Arial" w:cs="Arial"/>
          <w:szCs w:val="18"/>
        </w:rPr>
        <w:t xml:space="preserve"> healthcare services to a total population of around 384,000 throughout Carmarthenshire, Ceredigion and Pembrokeshire. It provides Acute, Primary, Community, Mental Health and Learning Disabilities services via </w:t>
      </w:r>
      <w:r w:rsidR="00F06138">
        <w:rPr>
          <w:rFonts w:ascii="Arial" w:hAnsi="Arial" w:cs="Arial"/>
          <w:szCs w:val="18"/>
        </w:rPr>
        <w:t>H</w:t>
      </w:r>
      <w:r w:rsidRPr="00EB5E1A">
        <w:rPr>
          <w:rFonts w:ascii="Arial" w:hAnsi="Arial" w:cs="Arial"/>
          <w:szCs w:val="18"/>
        </w:rPr>
        <w:t xml:space="preserve">ospitals, Health Centres, GPs, Dentists, Pharmacists and Optometrists. </w:t>
      </w:r>
    </w:p>
    <w:p w:rsidR="00F06138" w:rsidRDefault="00F06138" w:rsidP="00256399">
      <w:pPr>
        <w:spacing w:after="0"/>
        <w:contextualSpacing/>
        <w:rPr>
          <w:rFonts w:ascii="Arial" w:eastAsia="Times New Roman" w:hAnsi="Arial" w:cs="Arial"/>
        </w:rPr>
      </w:pPr>
    </w:p>
    <w:p w:rsidR="00155BEE" w:rsidRPr="00EB5E1A" w:rsidRDefault="00155BEE" w:rsidP="00256399">
      <w:pPr>
        <w:spacing w:after="0"/>
        <w:contextualSpacing/>
        <w:rPr>
          <w:rFonts w:ascii="Arial" w:eastAsia="Times New Roman" w:hAnsi="Arial" w:cs="Arial"/>
        </w:rPr>
      </w:pPr>
      <w:r>
        <w:rPr>
          <w:rFonts w:ascii="Arial" w:eastAsia="Times New Roman" w:hAnsi="Arial" w:cs="Arial"/>
        </w:rPr>
        <w:t xml:space="preserve">Macmillan Cancer Support </w:t>
      </w:r>
      <w:r w:rsidR="001265DB">
        <w:rPr>
          <w:rFonts w:ascii="Arial" w:eastAsia="Times New Roman" w:hAnsi="Arial" w:cs="Arial"/>
        </w:rPr>
        <w:t xml:space="preserve">(hereon in referred to as Macmillan) </w:t>
      </w:r>
      <w:r>
        <w:rPr>
          <w:rFonts w:ascii="Arial" w:eastAsia="Times New Roman" w:hAnsi="Arial" w:cs="Arial"/>
        </w:rPr>
        <w:t xml:space="preserve">is a UK-wide </w:t>
      </w:r>
      <w:r w:rsidR="008D14D1">
        <w:rPr>
          <w:rFonts w:ascii="Arial" w:eastAsia="Times New Roman" w:hAnsi="Arial" w:cs="Arial"/>
        </w:rPr>
        <w:t xml:space="preserve">registered </w:t>
      </w:r>
      <w:r>
        <w:rPr>
          <w:rFonts w:ascii="Arial" w:eastAsia="Times New Roman" w:hAnsi="Arial" w:cs="Arial"/>
        </w:rPr>
        <w:t>charity organisation that provides support services to people living with cancer. In 2019, Macmillan provided personal support to £1.9m people,</w:t>
      </w:r>
      <w:r w:rsidR="00F06138">
        <w:rPr>
          <w:rFonts w:ascii="Arial" w:eastAsia="Times New Roman" w:hAnsi="Arial" w:cs="Arial"/>
        </w:rPr>
        <w:t xml:space="preserve"> as well as information services to over 8 million people, raised £229 million and spent over £180 million on services for people living with cancer. (Macmillan, 2019</w:t>
      </w:r>
      <w:r w:rsidR="008D14D1">
        <w:rPr>
          <w:rFonts w:ascii="Arial" w:eastAsia="Times New Roman" w:hAnsi="Arial" w:cs="Arial"/>
        </w:rPr>
        <w:t>, p7</w:t>
      </w:r>
      <w:r w:rsidR="00F06138">
        <w:rPr>
          <w:rFonts w:ascii="Arial" w:eastAsia="Times New Roman" w:hAnsi="Arial" w:cs="Arial"/>
        </w:rPr>
        <w:t>)</w:t>
      </w:r>
    </w:p>
    <w:p w:rsidR="00EB5E1A" w:rsidRDefault="00EB5E1A" w:rsidP="00256399">
      <w:pPr>
        <w:spacing w:after="0"/>
        <w:contextualSpacing/>
        <w:rPr>
          <w:rFonts w:ascii="Arial" w:eastAsia="Times New Roman" w:hAnsi="Arial" w:cs="Arial"/>
        </w:rPr>
      </w:pPr>
    </w:p>
    <w:p w:rsidR="006562DA" w:rsidRDefault="00F06138" w:rsidP="00256399">
      <w:pPr>
        <w:spacing w:after="0"/>
        <w:contextualSpacing/>
        <w:rPr>
          <w:rFonts w:ascii="Arial" w:hAnsi="Arial" w:cs="Arial"/>
          <w:b/>
        </w:rPr>
      </w:pPr>
      <w:r>
        <w:rPr>
          <w:rFonts w:ascii="Arial" w:hAnsi="Arial" w:cs="Arial"/>
          <w:b/>
        </w:rPr>
        <w:t>B</w:t>
      </w:r>
      <w:r w:rsidR="009A55CE">
        <w:rPr>
          <w:rFonts w:ascii="Arial" w:hAnsi="Arial" w:cs="Arial"/>
          <w:b/>
        </w:rPr>
        <w:t xml:space="preserve">usiness </w:t>
      </w:r>
      <w:r>
        <w:rPr>
          <w:rFonts w:ascii="Arial" w:hAnsi="Arial" w:cs="Arial"/>
          <w:b/>
        </w:rPr>
        <w:t>context and the HR function</w:t>
      </w:r>
    </w:p>
    <w:p w:rsidR="00553F91" w:rsidRDefault="007C495F" w:rsidP="00256399">
      <w:pPr>
        <w:spacing w:after="0"/>
        <w:contextualSpacing/>
        <w:rPr>
          <w:rFonts w:ascii="Arial" w:hAnsi="Arial" w:cs="Arial"/>
          <w:szCs w:val="18"/>
        </w:rPr>
      </w:pPr>
      <w:r>
        <w:rPr>
          <w:rFonts w:ascii="Arial" w:hAnsi="Arial" w:cs="Arial"/>
          <w:szCs w:val="18"/>
        </w:rPr>
        <w:t xml:space="preserve">Currently in the UK, around 17% </w:t>
      </w:r>
      <w:r w:rsidR="00553F91">
        <w:rPr>
          <w:rFonts w:ascii="Arial" w:hAnsi="Arial" w:cs="Arial"/>
          <w:szCs w:val="18"/>
        </w:rPr>
        <w:t xml:space="preserve">(5.5 million) </w:t>
      </w:r>
      <w:r>
        <w:rPr>
          <w:rFonts w:ascii="Arial" w:hAnsi="Arial" w:cs="Arial"/>
          <w:szCs w:val="18"/>
        </w:rPr>
        <w:t xml:space="preserve">of the </w:t>
      </w:r>
      <w:r w:rsidR="00553F91">
        <w:rPr>
          <w:rFonts w:ascii="Arial" w:hAnsi="Arial" w:cs="Arial"/>
          <w:szCs w:val="18"/>
        </w:rPr>
        <w:t xml:space="preserve">total </w:t>
      </w:r>
      <w:r>
        <w:rPr>
          <w:rFonts w:ascii="Arial" w:hAnsi="Arial" w:cs="Arial"/>
          <w:szCs w:val="18"/>
        </w:rPr>
        <w:t xml:space="preserve">workforce are employed by the public sector. (ONS, 2020). Public sector organisations such as Local Authorities and Health </w:t>
      </w:r>
      <w:r w:rsidR="00553F91">
        <w:rPr>
          <w:rFonts w:ascii="Arial" w:hAnsi="Arial" w:cs="Arial"/>
          <w:szCs w:val="18"/>
        </w:rPr>
        <w:t>Trusts</w:t>
      </w:r>
      <w:r w:rsidR="00BE2273">
        <w:rPr>
          <w:rFonts w:ascii="Arial" w:hAnsi="Arial" w:cs="Arial"/>
          <w:szCs w:val="18"/>
        </w:rPr>
        <w:t xml:space="preserve"> </w:t>
      </w:r>
      <w:r>
        <w:rPr>
          <w:rFonts w:ascii="Arial" w:hAnsi="Arial" w:cs="Arial"/>
          <w:szCs w:val="18"/>
        </w:rPr>
        <w:t xml:space="preserve">are </w:t>
      </w:r>
      <w:r w:rsidR="00553F91">
        <w:rPr>
          <w:rFonts w:ascii="Arial" w:hAnsi="Arial" w:cs="Arial"/>
          <w:szCs w:val="18"/>
        </w:rPr>
        <w:t>large organisations</w:t>
      </w:r>
      <w:r w:rsidR="00BE2273">
        <w:rPr>
          <w:rFonts w:ascii="Arial" w:hAnsi="Arial" w:cs="Arial"/>
          <w:szCs w:val="18"/>
        </w:rPr>
        <w:t xml:space="preserve"> and oft</w:t>
      </w:r>
      <w:r w:rsidR="00553F91">
        <w:rPr>
          <w:rFonts w:ascii="Arial" w:hAnsi="Arial" w:cs="Arial"/>
          <w:szCs w:val="18"/>
        </w:rPr>
        <w:t>en</w:t>
      </w:r>
      <w:r w:rsidR="00BE2273">
        <w:rPr>
          <w:rFonts w:ascii="Arial" w:hAnsi="Arial" w:cs="Arial"/>
          <w:szCs w:val="18"/>
        </w:rPr>
        <w:t xml:space="preserve"> the main </w:t>
      </w:r>
      <w:r w:rsidR="00553F91">
        <w:rPr>
          <w:rFonts w:ascii="Arial" w:hAnsi="Arial" w:cs="Arial"/>
          <w:szCs w:val="18"/>
        </w:rPr>
        <w:t>employ</w:t>
      </w:r>
      <w:r w:rsidR="00BE2273">
        <w:rPr>
          <w:rFonts w:ascii="Arial" w:hAnsi="Arial" w:cs="Arial"/>
          <w:szCs w:val="18"/>
        </w:rPr>
        <w:t>er in communities</w:t>
      </w:r>
      <w:r w:rsidR="00553F91">
        <w:rPr>
          <w:rFonts w:ascii="Arial" w:hAnsi="Arial" w:cs="Arial"/>
          <w:szCs w:val="18"/>
        </w:rPr>
        <w:t>.</w:t>
      </w:r>
    </w:p>
    <w:p w:rsidR="007C495F" w:rsidRDefault="007C495F" w:rsidP="00256399">
      <w:pPr>
        <w:spacing w:after="0"/>
        <w:contextualSpacing/>
        <w:rPr>
          <w:rFonts w:ascii="Arial" w:hAnsi="Arial" w:cs="Arial"/>
          <w:szCs w:val="18"/>
        </w:rPr>
      </w:pPr>
    </w:p>
    <w:p w:rsidR="00553F91" w:rsidRDefault="00F06138" w:rsidP="00256399">
      <w:pPr>
        <w:spacing w:after="0"/>
        <w:contextualSpacing/>
        <w:rPr>
          <w:rFonts w:ascii="Arial" w:eastAsia="Times New Roman" w:hAnsi="Arial" w:cs="Arial"/>
          <w:color w:val="000000"/>
        </w:rPr>
      </w:pPr>
      <w:r>
        <w:rPr>
          <w:rFonts w:ascii="Arial" w:hAnsi="Arial" w:cs="Arial"/>
          <w:szCs w:val="18"/>
        </w:rPr>
        <w:t>Hywel Dda Health Board</w:t>
      </w:r>
      <w:r w:rsidR="00553F91">
        <w:rPr>
          <w:rFonts w:ascii="Arial" w:hAnsi="Arial" w:cs="Arial"/>
          <w:szCs w:val="18"/>
        </w:rPr>
        <w:t xml:space="preserve"> </w:t>
      </w:r>
      <w:r w:rsidRPr="00EB5E1A">
        <w:rPr>
          <w:rFonts w:ascii="Arial" w:hAnsi="Arial" w:cs="Arial"/>
          <w:szCs w:val="18"/>
        </w:rPr>
        <w:t xml:space="preserve">employ </w:t>
      </w:r>
      <w:r>
        <w:rPr>
          <w:rFonts w:ascii="Arial" w:eastAsia="Times New Roman" w:hAnsi="Arial" w:cs="Arial"/>
        </w:rPr>
        <w:t xml:space="preserve">over 10,000 permanent staff and 2,000 temporary staff. </w:t>
      </w:r>
      <w:r w:rsidR="00294211">
        <w:rPr>
          <w:rFonts w:ascii="Arial" w:eastAsia="Times New Roman" w:hAnsi="Arial" w:cs="Arial"/>
        </w:rPr>
        <w:t>L</w:t>
      </w:r>
      <w:r w:rsidR="00553F91">
        <w:rPr>
          <w:rFonts w:ascii="Arial" w:eastAsia="Times New Roman" w:hAnsi="Arial" w:cs="Arial"/>
        </w:rPr>
        <w:t xml:space="preserve">ike all </w:t>
      </w:r>
      <w:r w:rsidR="00553F91">
        <w:rPr>
          <w:rFonts w:ascii="Arial" w:eastAsia="Times New Roman" w:hAnsi="Arial" w:cs="Arial"/>
          <w:color w:val="000000"/>
        </w:rPr>
        <w:t xml:space="preserve">Health Boards in Wales, </w:t>
      </w:r>
      <w:r w:rsidR="00294211">
        <w:rPr>
          <w:rFonts w:ascii="Arial" w:eastAsia="Times New Roman" w:hAnsi="Arial" w:cs="Arial"/>
          <w:color w:val="000000"/>
        </w:rPr>
        <w:t xml:space="preserve">Hywel Dda </w:t>
      </w:r>
      <w:r w:rsidR="00553F91">
        <w:rPr>
          <w:rFonts w:ascii="Arial" w:eastAsia="Times New Roman" w:hAnsi="Arial" w:cs="Arial"/>
          <w:color w:val="000000"/>
        </w:rPr>
        <w:t>operate a HR structure that comprises HR specialists, HR generalists and shared services. HR specialists head up functions such as resourcing and utilisation, learning and development and organisational development, developing HR policy and practice at a strategic level within the organisation. HR generalists are based on each of the four acute sites, supporting operational line managers to enact HR policy</w:t>
      </w:r>
      <w:r w:rsidR="00553F91" w:rsidRPr="00553F91">
        <w:rPr>
          <w:rFonts w:ascii="Arial" w:hAnsi="Arial" w:cs="Arial"/>
        </w:rPr>
        <w:t xml:space="preserve"> </w:t>
      </w:r>
      <w:r w:rsidR="00553F91">
        <w:rPr>
          <w:rFonts w:ascii="Arial" w:hAnsi="Arial" w:cs="Arial"/>
        </w:rPr>
        <w:t xml:space="preserve">with line managers also having </w:t>
      </w:r>
      <w:r w:rsidR="00553F91" w:rsidRPr="00712C1C">
        <w:rPr>
          <w:rFonts w:ascii="Arial" w:hAnsi="Arial" w:cs="Arial"/>
        </w:rPr>
        <w:t xml:space="preserve">responsibility for </w:t>
      </w:r>
      <w:r w:rsidR="00553F91">
        <w:rPr>
          <w:rFonts w:ascii="Arial" w:hAnsi="Arial" w:cs="Arial"/>
        </w:rPr>
        <w:t>managing</w:t>
      </w:r>
      <w:r w:rsidR="00553F91" w:rsidRPr="00712C1C">
        <w:rPr>
          <w:rFonts w:ascii="Arial" w:hAnsi="Arial" w:cs="Arial"/>
        </w:rPr>
        <w:t xml:space="preserve"> day-to day HR issues</w:t>
      </w:r>
      <w:r w:rsidR="00553F91">
        <w:rPr>
          <w:rFonts w:ascii="Arial" w:hAnsi="Arial" w:cs="Arial"/>
        </w:rPr>
        <w:t xml:space="preserve"> including absence management and performance appraisals</w:t>
      </w:r>
      <w:r w:rsidR="00553F91">
        <w:rPr>
          <w:rFonts w:ascii="Arial" w:eastAsia="Times New Roman" w:hAnsi="Arial" w:cs="Arial"/>
          <w:color w:val="000000"/>
        </w:rPr>
        <w:t xml:space="preserve">. </w:t>
      </w:r>
      <w:r w:rsidR="006571C9">
        <w:rPr>
          <w:rFonts w:ascii="Arial" w:eastAsia="Times New Roman" w:hAnsi="Arial" w:cs="Arial"/>
          <w:color w:val="000000"/>
        </w:rPr>
        <w:t>Within NHS Wales, t</w:t>
      </w:r>
      <w:r w:rsidR="00553F91">
        <w:rPr>
          <w:rFonts w:ascii="Arial" w:eastAsia="Times New Roman" w:hAnsi="Arial" w:cs="Arial"/>
          <w:color w:val="000000"/>
        </w:rPr>
        <w:t xml:space="preserve">ransactional HR processes </w:t>
      </w:r>
      <w:r w:rsidR="006571C9">
        <w:rPr>
          <w:rFonts w:ascii="Arial" w:eastAsia="Times New Roman" w:hAnsi="Arial" w:cs="Arial"/>
          <w:color w:val="000000"/>
        </w:rPr>
        <w:t>f</w:t>
      </w:r>
      <w:r w:rsidR="00553F91">
        <w:rPr>
          <w:rFonts w:ascii="Arial" w:eastAsia="Times New Roman" w:hAnsi="Arial" w:cs="Arial"/>
          <w:color w:val="000000"/>
        </w:rPr>
        <w:t>r</w:t>
      </w:r>
      <w:r w:rsidR="006571C9">
        <w:rPr>
          <w:rFonts w:ascii="Arial" w:eastAsia="Times New Roman" w:hAnsi="Arial" w:cs="Arial"/>
          <w:color w:val="000000"/>
        </w:rPr>
        <w:t>om hire through to retire services</w:t>
      </w:r>
      <w:r w:rsidR="00553F91">
        <w:rPr>
          <w:rFonts w:ascii="Arial" w:eastAsia="Times New Roman" w:hAnsi="Arial" w:cs="Arial"/>
          <w:color w:val="000000"/>
        </w:rPr>
        <w:t xml:space="preserve"> are outsourced to</w:t>
      </w:r>
      <w:r w:rsidR="006571C9">
        <w:rPr>
          <w:rFonts w:ascii="Arial" w:eastAsia="Times New Roman" w:hAnsi="Arial" w:cs="Arial"/>
          <w:color w:val="000000"/>
        </w:rPr>
        <w:t xml:space="preserve"> a shared service centre</w:t>
      </w:r>
      <w:r w:rsidR="00553F91">
        <w:rPr>
          <w:rFonts w:ascii="Arial" w:eastAsia="Times New Roman" w:hAnsi="Arial" w:cs="Arial"/>
          <w:color w:val="000000"/>
        </w:rPr>
        <w:t xml:space="preserve">. </w:t>
      </w:r>
      <w:r w:rsidR="006571C9">
        <w:rPr>
          <w:rFonts w:ascii="Arial" w:eastAsia="Times New Roman" w:hAnsi="Arial" w:cs="Arial"/>
          <w:color w:val="000000"/>
        </w:rPr>
        <w:t>This arrangement provides a standardised approach, economies of scale and, being the sole provider of these services to the NHS, allows a focus on customer care and service quality.</w:t>
      </w:r>
    </w:p>
    <w:p w:rsidR="00553F91" w:rsidRDefault="00553F91" w:rsidP="00256399">
      <w:pPr>
        <w:spacing w:after="0"/>
        <w:contextualSpacing/>
        <w:rPr>
          <w:rFonts w:ascii="Arial" w:eastAsia="Times New Roman" w:hAnsi="Arial" w:cs="Arial"/>
          <w:color w:val="000000"/>
        </w:rPr>
      </w:pPr>
    </w:p>
    <w:p w:rsidR="00553F91" w:rsidRDefault="00553F91" w:rsidP="00256399">
      <w:pPr>
        <w:spacing w:after="0"/>
        <w:contextualSpacing/>
        <w:rPr>
          <w:rFonts w:ascii="Arial" w:eastAsia="Times New Roman" w:hAnsi="Arial" w:cs="Arial"/>
          <w:color w:val="000000"/>
        </w:rPr>
      </w:pPr>
    </w:p>
    <w:p w:rsidR="002463C5" w:rsidRDefault="00553F91" w:rsidP="00256399">
      <w:pPr>
        <w:spacing w:after="0"/>
        <w:contextualSpacing/>
        <w:rPr>
          <w:rFonts w:ascii="Arial" w:hAnsi="Arial" w:cs="Arial"/>
        </w:rPr>
      </w:pPr>
      <w:r>
        <w:rPr>
          <w:rFonts w:ascii="Arial" w:eastAsia="Times New Roman" w:hAnsi="Arial" w:cs="Arial"/>
          <w:color w:val="000000"/>
        </w:rPr>
        <w:t xml:space="preserve">Macmillan employ around 1,800 people across the UK. Similar to the Health Board, their HR structure includes HR specialists that lead on specific functions which work alongside a team </w:t>
      </w:r>
      <w:r>
        <w:rPr>
          <w:rFonts w:ascii="Arial" w:eastAsia="Times New Roman" w:hAnsi="Arial" w:cs="Arial"/>
          <w:color w:val="000000"/>
        </w:rPr>
        <w:lastRenderedPageBreak/>
        <w:t xml:space="preserve">of HR Business Partners. The Macmillan structure is based on 9 regions across the UK, each with its own Business Partner, providing support and advice on HR policy and practice </w:t>
      </w:r>
      <w:r w:rsidRPr="006571C9">
        <w:rPr>
          <w:rFonts w:ascii="Arial" w:eastAsia="Times New Roman" w:hAnsi="Arial" w:cs="Arial"/>
        </w:rPr>
        <w:t>to line managers across their region.</w:t>
      </w:r>
      <w:r w:rsidR="006571C9" w:rsidRPr="006571C9">
        <w:rPr>
          <w:rFonts w:ascii="Arial" w:eastAsia="Times New Roman" w:hAnsi="Arial" w:cs="Arial"/>
        </w:rPr>
        <w:t xml:space="preserve"> However, </w:t>
      </w:r>
      <w:r w:rsidR="00417A08">
        <w:rPr>
          <w:rFonts w:ascii="Arial" w:eastAsia="Times New Roman" w:hAnsi="Arial" w:cs="Arial"/>
        </w:rPr>
        <w:t xml:space="preserve">like many charities, Macmillan </w:t>
      </w:r>
      <w:r w:rsidR="006571C9">
        <w:rPr>
          <w:rFonts w:ascii="Arial" w:eastAsia="Times New Roman" w:hAnsi="Arial" w:cs="Arial"/>
        </w:rPr>
        <w:t xml:space="preserve">manage their </w:t>
      </w:r>
      <w:r w:rsidR="006571C9" w:rsidRPr="006571C9">
        <w:rPr>
          <w:rFonts w:ascii="Arial" w:eastAsia="Times New Roman" w:hAnsi="Arial" w:cs="Arial"/>
        </w:rPr>
        <w:t>transactional</w:t>
      </w:r>
      <w:r w:rsidR="00417A08">
        <w:rPr>
          <w:rFonts w:ascii="Arial" w:eastAsia="Times New Roman" w:hAnsi="Arial" w:cs="Arial"/>
        </w:rPr>
        <w:t xml:space="preserve"> HR</w:t>
      </w:r>
      <w:r w:rsidR="006571C9" w:rsidRPr="006571C9">
        <w:rPr>
          <w:rFonts w:ascii="Arial" w:eastAsia="Times New Roman" w:hAnsi="Arial" w:cs="Arial"/>
        </w:rPr>
        <w:t xml:space="preserve"> tasks</w:t>
      </w:r>
      <w:r w:rsidR="006571C9">
        <w:rPr>
          <w:rFonts w:ascii="Arial" w:eastAsia="Times New Roman" w:hAnsi="Arial" w:cs="Arial"/>
        </w:rPr>
        <w:t xml:space="preserve"> in-house rather than outsourcing.</w:t>
      </w:r>
      <w:r w:rsidR="00BE2273">
        <w:rPr>
          <w:rFonts w:ascii="Arial" w:eastAsia="Times New Roman" w:hAnsi="Arial" w:cs="Arial"/>
        </w:rPr>
        <w:t xml:space="preserve"> </w:t>
      </w:r>
      <w:r w:rsidR="00782568">
        <w:rPr>
          <w:rFonts w:ascii="Arial" w:eastAsia="Times New Roman" w:hAnsi="Arial" w:cs="Arial"/>
        </w:rPr>
        <w:t>Factors such as l</w:t>
      </w:r>
      <w:r w:rsidR="00BE2273">
        <w:rPr>
          <w:rFonts w:ascii="Arial" w:eastAsia="Times New Roman" w:hAnsi="Arial" w:cs="Arial"/>
        </w:rPr>
        <w:t>imited resources</w:t>
      </w:r>
      <w:r w:rsidR="00782568">
        <w:rPr>
          <w:rFonts w:ascii="Arial" w:eastAsia="Times New Roman" w:hAnsi="Arial" w:cs="Arial"/>
        </w:rPr>
        <w:t xml:space="preserve"> or a lack of skills or expertise to commission services may impact on a charities appetite to outsource its services. Charity organisations also heavily rely on the public’s trust and need to consider what impact their relationship with an external company could have on their reputation, particularly if there are problems with the quality of service received. </w:t>
      </w:r>
      <w:r w:rsidR="00417A08">
        <w:rPr>
          <w:rFonts w:ascii="Arial" w:eastAsia="Times New Roman" w:hAnsi="Arial" w:cs="Arial"/>
        </w:rPr>
        <w:t xml:space="preserve">Charity organisations in the UK are able to collaborate in </w:t>
      </w:r>
      <w:r w:rsidR="00782568">
        <w:rPr>
          <w:rFonts w:ascii="Arial" w:eastAsia="Times New Roman" w:hAnsi="Arial" w:cs="Arial"/>
        </w:rPr>
        <w:t>the</w:t>
      </w:r>
      <w:r w:rsidR="00417A08">
        <w:rPr>
          <w:rFonts w:ascii="Arial" w:eastAsia="Times New Roman" w:hAnsi="Arial" w:cs="Arial"/>
        </w:rPr>
        <w:t xml:space="preserve"> sharing of facilities or back office functions such as HR, although </w:t>
      </w:r>
      <w:r w:rsidR="00782568">
        <w:rPr>
          <w:rFonts w:ascii="Arial" w:eastAsia="Times New Roman" w:hAnsi="Arial" w:cs="Arial"/>
        </w:rPr>
        <w:t>they</w:t>
      </w:r>
      <w:r w:rsidR="00417A08">
        <w:rPr>
          <w:rFonts w:ascii="Arial" w:eastAsia="Times New Roman" w:hAnsi="Arial" w:cs="Arial"/>
        </w:rPr>
        <w:t xml:space="preserve"> need to be satisfied that collaboration is in their best interest and doesn’t compromise their independence.</w:t>
      </w:r>
      <w:r w:rsidR="00417A08" w:rsidRPr="00417A08">
        <w:rPr>
          <w:rFonts w:ascii="Arial" w:eastAsia="Times New Roman" w:hAnsi="Arial" w:cs="Arial"/>
        </w:rPr>
        <w:t xml:space="preserve"> </w:t>
      </w:r>
      <w:r w:rsidR="00417A08">
        <w:rPr>
          <w:rFonts w:ascii="Arial" w:eastAsia="Times New Roman" w:hAnsi="Arial" w:cs="Arial"/>
        </w:rPr>
        <w:t>(UK Government, 2021)</w:t>
      </w:r>
      <w:r w:rsidR="002463C5">
        <w:rPr>
          <w:rFonts w:ascii="Arial" w:eastAsia="Times New Roman" w:hAnsi="Arial" w:cs="Arial"/>
        </w:rPr>
        <w:t xml:space="preserve"> </w:t>
      </w:r>
    </w:p>
    <w:p w:rsidR="006571C9" w:rsidRDefault="006571C9" w:rsidP="00256399">
      <w:pPr>
        <w:spacing w:after="0"/>
        <w:contextualSpacing/>
        <w:rPr>
          <w:rFonts w:ascii="Arial" w:eastAsia="Times New Roman" w:hAnsi="Arial" w:cs="Arial"/>
          <w:color w:val="FF0000"/>
        </w:rPr>
      </w:pPr>
    </w:p>
    <w:p w:rsidR="00F764DD" w:rsidRDefault="00F764DD" w:rsidP="00256399">
      <w:pPr>
        <w:spacing w:after="0"/>
        <w:contextualSpacing/>
        <w:rPr>
          <w:rFonts w:ascii="Arial" w:hAnsi="Arial" w:cs="Arial"/>
        </w:rPr>
      </w:pPr>
      <w:r>
        <w:rPr>
          <w:rFonts w:ascii="MyriadPro-Light" w:eastAsiaTheme="minorHAnsi" w:hAnsi="MyriadPro-Light" w:cs="MyriadPro-Light"/>
        </w:rPr>
        <w:t xml:space="preserve">As a publically funded body, the NHS has to adopt an open and transparent approach in their management of resources, including its workforce. </w:t>
      </w:r>
      <w:r w:rsidRPr="002045F3">
        <w:rPr>
          <w:rFonts w:ascii="Arial" w:hAnsi="Arial" w:cs="Arial"/>
        </w:rPr>
        <w:t xml:space="preserve">HR </w:t>
      </w:r>
      <w:r>
        <w:rPr>
          <w:rFonts w:ascii="Arial" w:hAnsi="Arial" w:cs="Arial"/>
        </w:rPr>
        <w:t>managers have a duty to ensure that decisions on issues such as terms and conditions, remuneration and access to training, are applied fairly and consistently.</w:t>
      </w:r>
      <w:r w:rsidR="00782568">
        <w:rPr>
          <w:rFonts w:ascii="Arial" w:hAnsi="Arial" w:cs="Arial"/>
        </w:rPr>
        <w:t xml:space="preserve"> This means that p</w:t>
      </w:r>
      <w:r>
        <w:rPr>
          <w:rFonts w:ascii="Arial" w:hAnsi="Arial" w:cs="Arial"/>
        </w:rPr>
        <w:t>ublic sector HR managers are less likely to be innovative in their approach than their private or third sector colleagues (Taylor and Wilkinson, 2016</w:t>
      </w:r>
      <w:r w:rsidR="002463C5">
        <w:rPr>
          <w:rFonts w:ascii="Arial" w:hAnsi="Arial" w:cs="Arial"/>
        </w:rPr>
        <w:t>a</w:t>
      </w:r>
      <w:r>
        <w:rPr>
          <w:rFonts w:ascii="Arial" w:hAnsi="Arial" w:cs="Arial"/>
        </w:rPr>
        <w:t>, p47).</w:t>
      </w:r>
    </w:p>
    <w:p w:rsidR="00F764DD" w:rsidRDefault="00F764DD" w:rsidP="00256399">
      <w:pPr>
        <w:spacing w:after="0"/>
        <w:contextualSpacing/>
        <w:rPr>
          <w:rFonts w:ascii="Arial" w:hAnsi="Arial" w:cs="Arial"/>
        </w:rPr>
      </w:pPr>
    </w:p>
    <w:p w:rsidR="00286F8E" w:rsidRDefault="00286F8E" w:rsidP="00256399">
      <w:pPr>
        <w:spacing w:after="0"/>
        <w:contextualSpacing/>
        <w:rPr>
          <w:rFonts w:ascii="Arial" w:eastAsia="Times New Roman" w:hAnsi="Arial" w:cs="Arial"/>
          <w:color w:val="000000"/>
        </w:rPr>
      </w:pPr>
      <w:r>
        <w:rPr>
          <w:rFonts w:ascii="Arial" w:eastAsia="Times New Roman" w:hAnsi="Arial" w:cs="Arial"/>
          <w:color w:val="000000"/>
        </w:rPr>
        <w:t xml:space="preserve">All jobs across NHS Wales are job matched to pre-defined role profiles. Remuneration is based on a banding system and employees are expected to commence in post at the lowest point of the scale within that band. Whilst there are some exceptions, decisions outside of policy need to be evidence-based and robust. This system means that it is difficult for the organisation to </w:t>
      </w:r>
      <w:r w:rsidR="00782568">
        <w:rPr>
          <w:rFonts w:ascii="Arial" w:eastAsia="Times New Roman" w:hAnsi="Arial" w:cs="Arial"/>
          <w:color w:val="000000"/>
        </w:rPr>
        <w:t>attract and retain its workforce</w:t>
      </w:r>
      <w:r>
        <w:rPr>
          <w:rFonts w:ascii="Arial" w:eastAsia="Times New Roman" w:hAnsi="Arial" w:cs="Arial"/>
          <w:color w:val="000000"/>
        </w:rPr>
        <w:t>, particularly medical and nursing staff, in</w:t>
      </w:r>
      <w:r w:rsidR="00782568">
        <w:rPr>
          <w:rFonts w:ascii="Arial" w:eastAsia="Times New Roman" w:hAnsi="Arial" w:cs="Arial"/>
          <w:color w:val="000000"/>
        </w:rPr>
        <w:t xml:space="preserve"> </w:t>
      </w:r>
      <w:r w:rsidR="009A45CC">
        <w:rPr>
          <w:rFonts w:ascii="Arial" w:eastAsia="Times New Roman" w:hAnsi="Arial" w:cs="Arial"/>
          <w:color w:val="000000"/>
        </w:rPr>
        <w:t xml:space="preserve">what is </w:t>
      </w:r>
      <w:r w:rsidR="00782568">
        <w:rPr>
          <w:rFonts w:ascii="Arial" w:eastAsia="Times New Roman" w:hAnsi="Arial" w:cs="Arial"/>
          <w:color w:val="000000"/>
        </w:rPr>
        <w:t xml:space="preserve">not just a </w:t>
      </w:r>
      <w:r>
        <w:rPr>
          <w:rFonts w:ascii="Arial" w:eastAsia="Times New Roman" w:hAnsi="Arial" w:cs="Arial"/>
          <w:color w:val="000000"/>
        </w:rPr>
        <w:t>competitive labour market</w:t>
      </w:r>
      <w:r w:rsidR="00782568">
        <w:rPr>
          <w:rFonts w:ascii="Arial" w:eastAsia="Times New Roman" w:hAnsi="Arial" w:cs="Arial"/>
          <w:color w:val="000000"/>
        </w:rPr>
        <w:t xml:space="preserve"> but a rural area</w:t>
      </w:r>
      <w:r w:rsidR="009A45CC">
        <w:rPr>
          <w:rFonts w:ascii="Arial" w:eastAsia="Times New Roman" w:hAnsi="Arial" w:cs="Arial"/>
          <w:color w:val="000000"/>
        </w:rPr>
        <w:t>, which provides additional challenge</w:t>
      </w:r>
      <w:r>
        <w:rPr>
          <w:rFonts w:ascii="Arial" w:eastAsia="Times New Roman" w:hAnsi="Arial" w:cs="Arial"/>
          <w:color w:val="000000"/>
        </w:rPr>
        <w:t xml:space="preserve">. </w:t>
      </w:r>
    </w:p>
    <w:p w:rsidR="00636C06" w:rsidRDefault="00636C06" w:rsidP="00256399">
      <w:pPr>
        <w:spacing w:after="0"/>
        <w:contextualSpacing/>
        <w:rPr>
          <w:rFonts w:ascii="Arial" w:eastAsia="Times New Roman" w:hAnsi="Arial" w:cs="Arial"/>
          <w:color w:val="000000"/>
        </w:rPr>
      </w:pPr>
    </w:p>
    <w:p w:rsidR="00636C06" w:rsidRDefault="00636C06" w:rsidP="00256399">
      <w:pPr>
        <w:spacing w:after="0"/>
        <w:contextualSpacing/>
        <w:rPr>
          <w:rFonts w:ascii="Arial" w:eastAsia="Times New Roman" w:hAnsi="Arial" w:cs="Arial"/>
          <w:color w:val="000000"/>
        </w:rPr>
      </w:pPr>
      <w:r>
        <w:rPr>
          <w:rFonts w:ascii="Arial" w:eastAsia="Times New Roman" w:hAnsi="Arial" w:cs="Arial"/>
          <w:color w:val="000000"/>
        </w:rPr>
        <w:t xml:space="preserve">Unlike in NHS Wales, Macmillan line managers are able to offer more flexibility in terms of remuneration, with the authority to decide on the pay level of new recruits. </w:t>
      </w:r>
      <w:r w:rsidR="009A45CC">
        <w:rPr>
          <w:rFonts w:ascii="Arial" w:eastAsia="Times New Roman" w:hAnsi="Arial" w:cs="Arial"/>
          <w:color w:val="000000"/>
        </w:rPr>
        <w:t xml:space="preserve">This can help charities to attract and remunerate staff at their level of skills and competence in a competitive market. </w:t>
      </w:r>
      <w:r>
        <w:rPr>
          <w:rFonts w:ascii="Arial" w:eastAsia="Times New Roman" w:hAnsi="Arial" w:cs="Arial"/>
          <w:color w:val="000000"/>
        </w:rPr>
        <w:t>However, this can result in pay discrepancies between employees with very similar responsibilities across the UK.</w:t>
      </w:r>
      <w:r w:rsidR="00031362">
        <w:rPr>
          <w:rFonts w:ascii="Arial" w:eastAsia="Times New Roman" w:hAnsi="Arial" w:cs="Arial"/>
          <w:color w:val="000000"/>
        </w:rPr>
        <w:t xml:space="preserve"> Inconsistent practice on issues such as pay can result in staff feelings of resentment or being undervalued, which in turn can put the organisation at risk of formal grievances and ultimately, employment tribunals.</w:t>
      </w:r>
    </w:p>
    <w:p w:rsidR="00FC3D2A" w:rsidRDefault="00FC3D2A" w:rsidP="00256399">
      <w:pPr>
        <w:spacing w:after="0"/>
        <w:contextualSpacing/>
        <w:rPr>
          <w:rFonts w:ascii="Arial" w:eastAsia="Times New Roman" w:hAnsi="Arial" w:cs="Arial"/>
          <w:color w:val="000000"/>
        </w:rPr>
      </w:pPr>
    </w:p>
    <w:p w:rsidR="004B31E3" w:rsidRPr="004B31E3" w:rsidRDefault="004B31E3" w:rsidP="00256399">
      <w:pPr>
        <w:spacing w:after="0"/>
        <w:contextualSpacing/>
        <w:rPr>
          <w:rFonts w:ascii="Arial" w:hAnsi="Arial" w:cs="Arial"/>
          <w:b/>
          <w:szCs w:val="20"/>
        </w:rPr>
      </w:pPr>
      <w:r w:rsidRPr="004B31E3">
        <w:rPr>
          <w:rFonts w:ascii="Arial" w:hAnsi="Arial" w:cs="Arial"/>
          <w:b/>
          <w:szCs w:val="20"/>
        </w:rPr>
        <w:t>How organisational structure and management roles impact on the HR function.</w:t>
      </w:r>
    </w:p>
    <w:p w:rsidR="00427509" w:rsidRPr="008A448C" w:rsidRDefault="00427509" w:rsidP="00256399">
      <w:pPr>
        <w:spacing w:after="0"/>
        <w:contextualSpacing/>
        <w:rPr>
          <w:rFonts w:ascii="Arial" w:eastAsia="Times New Roman" w:hAnsi="Arial" w:cs="Arial"/>
          <w:szCs w:val="24"/>
          <w:lang w:val="en" w:eastAsia="en-GB"/>
        </w:rPr>
      </w:pPr>
      <w:r w:rsidRPr="008A448C">
        <w:rPr>
          <w:rFonts w:ascii="Arial" w:eastAsia="Times New Roman" w:hAnsi="Arial" w:cs="Arial"/>
          <w:szCs w:val="24"/>
          <w:lang w:val="en" w:eastAsia="en-GB"/>
        </w:rPr>
        <w:t>An o</w:t>
      </w:r>
      <w:r w:rsidRPr="00427509">
        <w:rPr>
          <w:rFonts w:ascii="Arial" w:eastAsia="Times New Roman" w:hAnsi="Arial" w:cs="Arial"/>
          <w:szCs w:val="24"/>
          <w:lang w:val="en" w:eastAsia="en-GB"/>
        </w:rPr>
        <w:t>rgani</w:t>
      </w:r>
      <w:r w:rsidRPr="008A448C">
        <w:rPr>
          <w:rFonts w:ascii="Arial" w:eastAsia="Times New Roman" w:hAnsi="Arial" w:cs="Arial"/>
          <w:szCs w:val="24"/>
          <w:lang w:val="en" w:eastAsia="en-GB"/>
        </w:rPr>
        <w:t>s</w:t>
      </w:r>
      <w:r w:rsidRPr="00427509">
        <w:rPr>
          <w:rFonts w:ascii="Arial" w:eastAsia="Times New Roman" w:hAnsi="Arial" w:cs="Arial"/>
          <w:szCs w:val="24"/>
          <w:lang w:val="en" w:eastAsia="en-GB"/>
        </w:rPr>
        <w:t xml:space="preserve">ational structure is </w:t>
      </w:r>
      <w:r w:rsidRPr="008A448C">
        <w:rPr>
          <w:rFonts w:ascii="Arial" w:eastAsia="Times New Roman" w:hAnsi="Arial" w:cs="Arial"/>
          <w:szCs w:val="24"/>
          <w:lang w:val="en" w:eastAsia="en-GB"/>
        </w:rPr>
        <w:t xml:space="preserve">a system that sets out </w:t>
      </w:r>
      <w:r w:rsidR="008A448C" w:rsidRPr="008A448C">
        <w:rPr>
          <w:rFonts w:ascii="Arial" w:eastAsia="Times New Roman" w:hAnsi="Arial" w:cs="Arial"/>
          <w:szCs w:val="24"/>
          <w:lang w:val="en" w:eastAsia="en-GB"/>
        </w:rPr>
        <w:t>each</w:t>
      </w:r>
      <w:r w:rsidRPr="008A448C">
        <w:rPr>
          <w:rFonts w:ascii="Arial" w:eastAsia="Times New Roman" w:hAnsi="Arial" w:cs="Arial"/>
          <w:szCs w:val="24"/>
          <w:lang w:val="en" w:eastAsia="en-GB"/>
        </w:rPr>
        <w:t xml:space="preserve"> role and where </w:t>
      </w:r>
      <w:r w:rsidR="008A448C" w:rsidRPr="008A448C">
        <w:rPr>
          <w:rFonts w:ascii="Arial" w:eastAsia="Times New Roman" w:hAnsi="Arial" w:cs="Arial"/>
          <w:szCs w:val="24"/>
          <w:lang w:val="en" w:eastAsia="en-GB"/>
        </w:rPr>
        <w:t>it</w:t>
      </w:r>
      <w:r w:rsidRPr="008A448C">
        <w:rPr>
          <w:rFonts w:ascii="Arial" w:eastAsia="Times New Roman" w:hAnsi="Arial" w:cs="Arial"/>
          <w:szCs w:val="24"/>
          <w:lang w:val="en" w:eastAsia="en-GB"/>
        </w:rPr>
        <w:t xml:space="preserve"> sit</w:t>
      </w:r>
      <w:r w:rsidR="008A448C" w:rsidRPr="008A448C">
        <w:rPr>
          <w:rFonts w:ascii="Arial" w:eastAsia="Times New Roman" w:hAnsi="Arial" w:cs="Arial"/>
          <w:szCs w:val="24"/>
          <w:lang w:val="en" w:eastAsia="en-GB"/>
        </w:rPr>
        <w:t>s</w:t>
      </w:r>
      <w:r w:rsidRPr="008A448C">
        <w:rPr>
          <w:rFonts w:ascii="Arial" w:eastAsia="Times New Roman" w:hAnsi="Arial" w:cs="Arial"/>
          <w:szCs w:val="24"/>
          <w:lang w:val="en" w:eastAsia="en-GB"/>
        </w:rPr>
        <w:t xml:space="preserve"> </w:t>
      </w:r>
      <w:r w:rsidR="008A448C" w:rsidRPr="008A448C">
        <w:rPr>
          <w:rFonts w:ascii="Arial" w:eastAsia="Times New Roman" w:hAnsi="Arial" w:cs="Arial"/>
          <w:szCs w:val="24"/>
          <w:lang w:val="en" w:eastAsia="en-GB"/>
        </w:rPr>
        <w:t>withi</w:t>
      </w:r>
      <w:r w:rsidR="006D7309">
        <w:rPr>
          <w:rFonts w:ascii="Arial" w:eastAsia="Times New Roman" w:hAnsi="Arial" w:cs="Arial"/>
          <w:szCs w:val="24"/>
          <w:lang w:val="en" w:eastAsia="en-GB"/>
        </w:rPr>
        <w:t xml:space="preserve">n </w:t>
      </w:r>
      <w:r w:rsidR="008A448C" w:rsidRPr="008A448C">
        <w:rPr>
          <w:rFonts w:ascii="Arial" w:eastAsia="Times New Roman" w:hAnsi="Arial" w:cs="Arial"/>
          <w:szCs w:val="24"/>
          <w:lang w:val="en" w:eastAsia="en-GB"/>
        </w:rPr>
        <w:t xml:space="preserve">the organisation. The purpose of an organisational structure is to outline the lines of authority and communication </w:t>
      </w:r>
      <w:r w:rsidR="009A45CC">
        <w:rPr>
          <w:rFonts w:ascii="Arial" w:eastAsia="Times New Roman" w:hAnsi="Arial" w:cs="Arial"/>
          <w:szCs w:val="24"/>
          <w:lang w:val="en" w:eastAsia="en-GB"/>
        </w:rPr>
        <w:t xml:space="preserve">that are in place </w:t>
      </w:r>
      <w:r w:rsidR="008A448C" w:rsidRPr="008A448C">
        <w:rPr>
          <w:rFonts w:ascii="Arial" w:eastAsia="Times New Roman" w:hAnsi="Arial" w:cs="Arial"/>
          <w:szCs w:val="24"/>
          <w:lang w:val="en" w:eastAsia="en-GB"/>
        </w:rPr>
        <w:t xml:space="preserve">to enable the </w:t>
      </w:r>
      <w:proofErr w:type="spellStart"/>
      <w:r w:rsidR="008A448C" w:rsidRPr="008A448C">
        <w:rPr>
          <w:rFonts w:ascii="Arial" w:eastAsia="Times New Roman" w:hAnsi="Arial" w:cs="Arial"/>
          <w:szCs w:val="24"/>
          <w:lang w:val="en" w:eastAsia="en-GB"/>
        </w:rPr>
        <w:t>organisation</w:t>
      </w:r>
      <w:proofErr w:type="spellEnd"/>
      <w:r w:rsidR="008A448C" w:rsidRPr="008A448C">
        <w:rPr>
          <w:rFonts w:ascii="Arial" w:eastAsia="Times New Roman" w:hAnsi="Arial" w:cs="Arial"/>
          <w:szCs w:val="24"/>
          <w:lang w:val="en" w:eastAsia="en-GB"/>
        </w:rPr>
        <w:t xml:space="preserve"> to conduct its business and achieve its objectives. Organisational structure can impact on the structure and responsibilities of the HR function. </w:t>
      </w:r>
      <w:r w:rsidR="006D7309">
        <w:rPr>
          <w:rFonts w:ascii="Arial" w:eastAsia="Times New Roman" w:hAnsi="Arial" w:cs="Arial"/>
          <w:szCs w:val="24"/>
          <w:lang w:val="en" w:eastAsia="en-GB"/>
        </w:rPr>
        <w:t>Roberts (2016, pp175-178) refers to a number of types of organisational structure including hierarchical and non-hierarchical structures.</w:t>
      </w:r>
    </w:p>
    <w:p w:rsidR="00031362" w:rsidRPr="008A448C" w:rsidRDefault="00031362" w:rsidP="00256399">
      <w:pPr>
        <w:spacing w:after="0"/>
        <w:contextualSpacing/>
        <w:rPr>
          <w:rFonts w:ascii="Arial" w:hAnsi="Arial" w:cs="Arial"/>
          <w:spacing w:val="-1"/>
          <w:szCs w:val="24"/>
        </w:rPr>
      </w:pPr>
    </w:p>
    <w:p w:rsidR="000D214F" w:rsidRDefault="000D214F" w:rsidP="00256399">
      <w:pPr>
        <w:spacing w:after="0"/>
        <w:contextualSpacing/>
        <w:rPr>
          <w:rFonts w:ascii="Arial" w:hAnsi="Arial" w:cs="Arial"/>
          <w:spacing w:val="-1"/>
          <w:szCs w:val="24"/>
        </w:rPr>
      </w:pPr>
      <w:r>
        <w:rPr>
          <w:rFonts w:ascii="Arial" w:hAnsi="Arial" w:cs="Arial"/>
          <w:spacing w:val="-1"/>
          <w:szCs w:val="24"/>
        </w:rPr>
        <w:t xml:space="preserve">Hywel Dda Health Board operates a hierarchical structure that reflects the corporate, including HR, and operational functions of the organisation. </w:t>
      </w:r>
      <w:r w:rsidR="009D5F7A" w:rsidRPr="009D5F7A">
        <w:rPr>
          <w:rFonts w:ascii="Arial" w:hAnsi="Arial" w:cs="Arial"/>
          <w:spacing w:val="-1"/>
          <w:szCs w:val="24"/>
        </w:rPr>
        <w:t>Workforce and OD are a strategic p</w:t>
      </w:r>
      <w:r w:rsidR="009D5F7A">
        <w:rPr>
          <w:rFonts w:ascii="Arial" w:hAnsi="Arial" w:cs="Arial"/>
          <w:spacing w:val="-1"/>
          <w:szCs w:val="24"/>
        </w:rPr>
        <w:t>layer</w:t>
      </w:r>
      <w:r w:rsidR="009D5F7A" w:rsidRPr="009D5F7A">
        <w:rPr>
          <w:rFonts w:ascii="Arial" w:hAnsi="Arial" w:cs="Arial"/>
          <w:spacing w:val="-1"/>
          <w:szCs w:val="24"/>
        </w:rPr>
        <w:t xml:space="preserve"> within the Health Board; the Director of Workforce and OD sits as a full member on the Board and there is a </w:t>
      </w:r>
      <w:r w:rsidR="007830FE" w:rsidRPr="009D5F7A">
        <w:rPr>
          <w:rFonts w:ascii="Arial" w:hAnsi="Arial" w:cs="Arial"/>
          <w:szCs w:val="24"/>
        </w:rPr>
        <w:t>Workforce</w:t>
      </w:r>
      <w:r w:rsidR="007830FE" w:rsidRPr="009D5F7A">
        <w:rPr>
          <w:rFonts w:ascii="Arial" w:hAnsi="Arial" w:cs="Arial"/>
          <w:spacing w:val="-2"/>
          <w:szCs w:val="24"/>
        </w:rPr>
        <w:t xml:space="preserve">, </w:t>
      </w:r>
      <w:r w:rsidR="007830FE" w:rsidRPr="009D5F7A">
        <w:rPr>
          <w:rFonts w:ascii="Arial" w:hAnsi="Arial" w:cs="Arial"/>
          <w:spacing w:val="-1"/>
          <w:szCs w:val="24"/>
        </w:rPr>
        <w:t>Organisational</w:t>
      </w:r>
      <w:r w:rsidR="007830FE" w:rsidRPr="009D5F7A">
        <w:rPr>
          <w:rFonts w:ascii="Arial" w:hAnsi="Arial" w:cs="Arial"/>
          <w:szCs w:val="24"/>
        </w:rPr>
        <w:t xml:space="preserve"> </w:t>
      </w:r>
      <w:r w:rsidR="007830FE" w:rsidRPr="009D5F7A">
        <w:rPr>
          <w:rFonts w:ascii="Arial" w:hAnsi="Arial" w:cs="Arial"/>
          <w:spacing w:val="-1"/>
          <w:szCs w:val="24"/>
        </w:rPr>
        <w:t>Development</w:t>
      </w:r>
      <w:r w:rsidR="007830FE" w:rsidRPr="009D5F7A">
        <w:rPr>
          <w:rFonts w:ascii="Arial" w:hAnsi="Arial" w:cs="Arial"/>
          <w:szCs w:val="24"/>
        </w:rPr>
        <w:t xml:space="preserve"> &amp; Education </w:t>
      </w:r>
      <w:r w:rsidR="007830FE" w:rsidRPr="009D5F7A">
        <w:rPr>
          <w:rFonts w:ascii="Arial" w:hAnsi="Arial" w:cs="Arial"/>
          <w:spacing w:val="-1"/>
          <w:szCs w:val="24"/>
        </w:rPr>
        <w:t>Strategy</w:t>
      </w:r>
      <w:r w:rsidR="009D5F7A" w:rsidRPr="009D5F7A">
        <w:rPr>
          <w:rFonts w:ascii="Arial" w:hAnsi="Arial" w:cs="Arial"/>
          <w:spacing w:val="-1"/>
          <w:szCs w:val="24"/>
        </w:rPr>
        <w:t xml:space="preserve"> in place to d</w:t>
      </w:r>
      <w:r w:rsidR="009D5F7A" w:rsidRPr="009D5F7A">
        <w:rPr>
          <w:rFonts w:ascii="Arial" w:hAnsi="Arial" w:cs="Arial"/>
          <w:color w:val="000000" w:themeColor="text1"/>
          <w:szCs w:val="24"/>
        </w:rPr>
        <w:t>eliver a cultural change programme over the next 10 years</w:t>
      </w:r>
      <w:r w:rsidR="0067124A" w:rsidRPr="0067124A">
        <w:rPr>
          <w:rFonts w:ascii="Arial" w:hAnsi="Arial" w:cs="Arial"/>
          <w:spacing w:val="-1"/>
          <w:szCs w:val="24"/>
        </w:rPr>
        <w:t>.</w:t>
      </w:r>
    </w:p>
    <w:p w:rsidR="000D214F" w:rsidRDefault="000D214F" w:rsidP="00256399">
      <w:pPr>
        <w:spacing w:after="0"/>
        <w:contextualSpacing/>
        <w:rPr>
          <w:rFonts w:ascii="Arial" w:hAnsi="Arial" w:cs="Arial"/>
          <w:spacing w:val="-1"/>
          <w:szCs w:val="24"/>
        </w:rPr>
      </w:pPr>
    </w:p>
    <w:p w:rsidR="0067124A" w:rsidRPr="0067124A" w:rsidRDefault="00717BB1" w:rsidP="00256399">
      <w:pPr>
        <w:spacing w:after="0"/>
        <w:contextualSpacing/>
        <w:rPr>
          <w:rFonts w:ascii="Arial" w:hAnsi="Arial" w:cs="Arial"/>
        </w:rPr>
      </w:pPr>
      <w:r>
        <w:rPr>
          <w:rFonts w:ascii="Arial" w:hAnsi="Arial" w:cs="Arial"/>
          <w:spacing w:val="-1"/>
          <w:szCs w:val="24"/>
        </w:rPr>
        <w:t>The HR structure in the Health Board supports the delivery of both longer-term strategic objectives, through HR specialists, and operational HR issues</w:t>
      </w:r>
      <w:r w:rsidR="009A45CC">
        <w:rPr>
          <w:rFonts w:ascii="Arial" w:hAnsi="Arial" w:cs="Arial"/>
          <w:spacing w:val="-1"/>
          <w:szCs w:val="24"/>
        </w:rPr>
        <w:t>,</w:t>
      </w:r>
      <w:r>
        <w:rPr>
          <w:rFonts w:ascii="Arial" w:hAnsi="Arial" w:cs="Arial"/>
          <w:spacing w:val="-1"/>
          <w:szCs w:val="24"/>
        </w:rPr>
        <w:t xml:space="preserve"> via HR generalists. Delegating activities that are not considered strategically critical to a shared services centre and/or to line managers allows the organisation to focus its resources on </w:t>
      </w:r>
      <w:r w:rsidR="00965594">
        <w:rPr>
          <w:rFonts w:ascii="Arial" w:hAnsi="Arial" w:cs="Arial"/>
          <w:spacing w:val="-1"/>
          <w:szCs w:val="24"/>
        </w:rPr>
        <w:t>delivering its</w:t>
      </w:r>
      <w:r>
        <w:rPr>
          <w:rFonts w:ascii="Arial" w:hAnsi="Arial" w:cs="Arial"/>
          <w:spacing w:val="-1"/>
          <w:szCs w:val="24"/>
        </w:rPr>
        <w:t xml:space="preserve"> strategic </w:t>
      </w:r>
      <w:r w:rsidR="00965594">
        <w:rPr>
          <w:rFonts w:ascii="Arial" w:hAnsi="Arial" w:cs="Arial"/>
          <w:spacing w:val="-1"/>
          <w:szCs w:val="24"/>
        </w:rPr>
        <w:t>objectives</w:t>
      </w:r>
      <w:r>
        <w:rPr>
          <w:rFonts w:ascii="Arial" w:hAnsi="Arial" w:cs="Arial"/>
          <w:spacing w:val="-1"/>
          <w:szCs w:val="24"/>
        </w:rPr>
        <w:t xml:space="preserve">.   </w:t>
      </w:r>
    </w:p>
    <w:p w:rsidR="0067124A" w:rsidRPr="0067124A" w:rsidRDefault="0067124A" w:rsidP="00256399">
      <w:pPr>
        <w:spacing w:after="0"/>
        <w:contextualSpacing/>
        <w:rPr>
          <w:rFonts w:ascii="Arial" w:hAnsi="Arial" w:cs="Arial"/>
          <w:color w:val="000000" w:themeColor="text1"/>
          <w:szCs w:val="24"/>
        </w:rPr>
      </w:pPr>
    </w:p>
    <w:p w:rsidR="002463C5" w:rsidRDefault="00965594" w:rsidP="00256399">
      <w:pPr>
        <w:spacing w:after="0"/>
        <w:contextualSpacing/>
        <w:rPr>
          <w:rFonts w:ascii="Arial" w:hAnsi="Arial" w:cs="Arial"/>
        </w:rPr>
      </w:pPr>
      <w:r w:rsidRPr="00AE3A4C">
        <w:rPr>
          <w:rFonts w:ascii="Arial" w:hAnsi="Arial" w:cs="Arial"/>
          <w:szCs w:val="20"/>
        </w:rPr>
        <w:t xml:space="preserve">Third sector organisations </w:t>
      </w:r>
      <w:r w:rsidR="00AE3A4C">
        <w:rPr>
          <w:rFonts w:ascii="Arial" w:hAnsi="Arial" w:cs="Arial"/>
          <w:szCs w:val="20"/>
        </w:rPr>
        <w:t xml:space="preserve">often have restricted resources and </w:t>
      </w:r>
      <w:r w:rsidRPr="00AE3A4C">
        <w:rPr>
          <w:rFonts w:ascii="Arial" w:hAnsi="Arial" w:cs="Arial"/>
          <w:szCs w:val="20"/>
        </w:rPr>
        <w:t>are less likely to have the infrastructure to support a distinction of roles between strategic and operational</w:t>
      </w:r>
      <w:r w:rsidR="00AE3A4C">
        <w:rPr>
          <w:rFonts w:ascii="Arial" w:hAnsi="Arial" w:cs="Arial"/>
          <w:szCs w:val="20"/>
        </w:rPr>
        <w:t xml:space="preserve"> HR</w:t>
      </w:r>
      <w:r w:rsidR="00DB5390" w:rsidRPr="00686F2E">
        <w:rPr>
          <w:rFonts w:ascii="Arial" w:hAnsi="Arial" w:cs="Arial"/>
          <w:szCs w:val="20"/>
        </w:rPr>
        <w:t xml:space="preserve">. </w:t>
      </w:r>
      <w:r w:rsidR="002463C5">
        <w:rPr>
          <w:rFonts w:ascii="Arial" w:hAnsi="Arial" w:cs="Arial"/>
        </w:rPr>
        <w:t xml:space="preserve">As </w:t>
      </w:r>
      <w:r w:rsidR="002463C5">
        <w:rPr>
          <w:rFonts w:ascii="Arial" w:hAnsi="Arial" w:cs="Arial"/>
        </w:rPr>
        <w:lastRenderedPageBreak/>
        <w:t>resources often present a challenge for third sector organisations, their HR function is often transactional in nature and with HR managers hav</w:t>
      </w:r>
      <w:r w:rsidR="009A45CC">
        <w:rPr>
          <w:rFonts w:ascii="Arial" w:hAnsi="Arial" w:cs="Arial"/>
        </w:rPr>
        <w:t xml:space="preserve">e </w:t>
      </w:r>
      <w:r w:rsidR="002463C5">
        <w:rPr>
          <w:rFonts w:ascii="Arial" w:hAnsi="Arial" w:cs="Arial"/>
        </w:rPr>
        <w:t>limited influence on strategy (Taylor and Wilkinson, 2016</w:t>
      </w:r>
      <w:r w:rsidR="00D666AC">
        <w:rPr>
          <w:rFonts w:ascii="Arial" w:hAnsi="Arial" w:cs="Arial"/>
        </w:rPr>
        <w:t>b</w:t>
      </w:r>
      <w:r w:rsidR="002463C5">
        <w:rPr>
          <w:rFonts w:ascii="Arial" w:hAnsi="Arial" w:cs="Arial"/>
        </w:rPr>
        <w:t xml:space="preserve">, p48). </w:t>
      </w:r>
      <w:r w:rsidR="00B90D0E" w:rsidRPr="00686F2E">
        <w:rPr>
          <w:rFonts w:ascii="Arial" w:hAnsi="Arial" w:cs="Arial"/>
          <w:szCs w:val="20"/>
        </w:rPr>
        <w:t xml:space="preserve">Smaller </w:t>
      </w:r>
      <w:r w:rsidR="00B90D0E" w:rsidRPr="00686F2E">
        <w:rPr>
          <w:rFonts w:ascii="Arial" w:hAnsi="Arial" w:cs="Arial"/>
          <w:lang w:val="en-US"/>
        </w:rPr>
        <w:t xml:space="preserve">charities are </w:t>
      </w:r>
      <w:r w:rsidR="00686F2E" w:rsidRPr="00686F2E">
        <w:rPr>
          <w:rFonts w:ascii="Arial" w:hAnsi="Arial" w:cs="Arial"/>
          <w:lang w:val="en-US"/>
        </w:rPr>
        <w:t>usually less bureaucratic and hierarchical which often means simpler decision-making processes.</w:t>
      </w:r>
      <w:r w:rsidR="00686F2E">
        <w:rPr>
          <w:rFonts w:ascii="Arial" w:hAnsi="Arial" w:cs="Arial"/>
          <w:lang w:val="en-US"/>
        </w:rPr>
        <w:t xml:space="preserve"> (Giving Force, 2018)</w:t>
      </w:r>
      <w:r w:rsidR="00686F2E" w:rsidRPr="00686F2E">
        <w:rPr>
          <w:rFonts w:ascii="Arial" w:hAnsi="Arial" w:cs="Arial"/>
          <w:lang w:val="en-US"/>
        </w:rPr>
        <w:t xml:space="preserve"> </w:t>
      </w:r>
      <w:r w:rsidR="00686F2E">
        <w:rPr>
          <w:rFonts w:ascii="Arial" w:hAnsi="Arial" w:cs="Arial"/>
          <w:lang w:val="en-US"/>
        </w:rPr>
        <w:t>Some n</w:t>
      </w:r>
      <w:r w:rsidR="00686F2E" w:rsidRPr="00686F2E">
        <w:rPr>
          <w:rFonts w:ascii="Arial" w:hAnsi="Arial" w:cs="Arial"/>
          <w:lang w:val="en-US"/>
        </w:rPr>
        <w:t xml:space="preserve">ational </w:t>
      </w:r>
      <w:r w:rsidR="00B90D0E" w:rsidRPr="00686F2E">
        <w:rPr>
          <w:rFonts w:ascii="Arial" w:hAnsi="Arial" w:cs="Arial"/>
          <w:szCs w:val="20"/>
        </w:rPr>
        <w:t xml:space="preserve">charity </w:t>
      </w:r>
      <w:r w:rsidR="00DB5390" w:rsidRPr="00686F2E">
        <w:rPr>
          <w:rFonts w:ascii="Arial" w:hAnsi="Arial" w:cs="Arial"/>
          <w:szCs w:val="20"/>
        </w:rPr>
        <w:t xml:space="preserve">organisations </w:t>
      </w:r>
      <w:r w:rsidR="00686F2E">
        <w:rPr>
          <w:rFonts w:ascii="Arial" w:hAnsi="Arial" w:cs="Arial"/>
          <w:szCs w:val="20"/>
        </w:rPr>
        <w:t xml:space="preserve">operate structures similar to that in the </w:t>
      </w:r>
      <w:r w:rsidR="00B90D0E" w:rsidRPr="00686F2E">
        <w:rPr>
          <w:rFonts w:ascii="Arial" w:hAnsi="Arial" w:cs="Arial"/>
          <w:szCs w:val="20"/>
        </w:rPr>
        <w:t>private</w:t>
      </w:r>
      <w:r w:rsidR="00686F2E">
        <w:rPr>
          <w:rFonts w:ascii="Arial" w:hAnsi="Arial" w:cs="Arial"/>
          <w:szCs w:val="20"/>
        </w:rPr>
        <w:t xml:space="preserve"> or public </w:t>
      </w:r>
      <w:r w:rsidR="00B90D0E">
        <w:rPr>
          <w:rFonts w:ascii="Arial" w:hAnsi="Arial" w:cs="Arial"/>
          <w:szCs w:val="20"/>
        </w:rPr>
        <w:t xml:space="preserve">sector; </w:t>
      </w:r>
      <w:r w:rsidR="009A45CC">
        <w:rPr>
          <w:rFonts w:ascii="Arial" w:hAnsi="Arial" w:cs="Arial"/>
          <w:szCs w:val="20"/>
        </w:rPr>
        <w:t xml:space="preserve">for example, </w:t>
      </w:r>
      <w:r w:rsidR="00B90D0E">
        <w:rPr>
          <w:rFonts w:ascii="Arial" w:hAnsi="Arial" w:cs="Arial"/>
          <w:szCs w:val="20"/>
        </w:rPr>
        <w:t>in M</w:t>
      </w:r>
      <w:r w:rsidR="00DB5390">
        <w:rPr>
          <w:rFonts w:ascii="Arial" w:hAnsi="Arial" w:cs="Arial"/>
          <w:szCs w:val="20"/>
        </w:rPr>
        <w:t>acmillan</w:t>
      </w:r>
      <w:r w:rsidR="00B90D0E">
        <w:rPr>
          <w:rFonts w:ascii="Arial" w:hAnsi="Arial" w:cs="Arial"/>
          <w:szCs w:val="20"/>
        </w:rPr>
        <w:t xml:space="preserve">, the People Director </w:t>
      </w:r>
      <w:r w:rsidR="009A45CC">
        <w:rPr>
          <w:rFonts w:ascii="Arial" w:hAnsi="Arial" w:cs="Arial"/>
          <w:szCs w:val="20"/>
        </w:rPr>
        <w:t>is a member of</w:t>
      </w:r>
      <w:r w:rsidR="00B90D0E">
        <w:rPr>
          <w:rFonts w:ascii="Arial" w:hAnsi="Arial" w:cs="Arial"/>
          <w:szCs w:val="20"/>
        </w:rPr>
        <w:t xml:space="preserve"> the Executive Strategy Team. </w:t>
      </w:r>
    </w:p>
    <w:p w:rsidR="00965594" w:rsidRDefault="00965594" w:rsidP="00256399">
      <w:pPr>
        <w:spacing w:after="0"/>
        <w:contextualSpacing/>
        <w:rPr>
          <w:rFonts w:ascii="Arial" w:hAnsi="Arial" w:cs="Arial"/>
          <w:szCs w:val="20"/>
        </w:rPr>
      </w:pPr>
    </w:p>
    <w:p w:rsidR="009A55CE" w:rsidRDefault="00CE1908" w:rsidP="00256399">
      <w:pPr>
        <w:spacing w:after="0"/>
        <w:contextualSpacing/>
        <w:rPr>
          <w:rFonts w:ascii="Arial" w:hAnsi="Arial" w:cs="Arial"/>
          <w:b/>
        </w:rPr>
      </w:pPr>
      <w:r>
        <w:rPr>
          <w:rFonts w:ascii="Arial" w:hAnsi="Arial" w:cs="Arial"/>
          <w:b/>
        </w:rPr>
        <w:t>The role</w:t>
      </w:r>
      <w:r w:rsidR="009A55CE">
        <w:rPr>
          <w:rFonts w:ascii="Arial" w:hAnsi="Arial" w:cs="Arial"/>
          <w:b/>
        </w:rPr>
        <w:t xml:space="preserve"> of the HR function in formulating organisational strategy</w:t>
      </w:r>
    </w:p>
    <w:p w:rsidR="009A55CE" w:rsidRDefault="00FE7585" w:rsidP="00256399">
      <w:pPr>
        <w:spacing w:after="0"/>
        <w:contextualSpacing/>
        <w:rPr>
          <w:rFonts w:ascii="Arial" w:hAnsi="Arial" w:cs="Arial"/>
        </w:rPr>
      </w:pPr>
      <w:r>
        <w:rPr>
          <w:rFonts w:ascii="Arial" w:hAnsi="Arial" w:cs="Arial"/>
        </w:rPr>
        <w:t>A business, or organisational, strategy sets out the future vision and the long term plan of action to achieve the organisation</w:t>
      </w:r>
      <w:r w:rsidR="00BA583C">
        <w:rPr>
          <w:rFonts w:ascii="Arial" w:hAnsi="Arial" w:cs="Arial"/>
        </w:rPr>
        <w:t>’</w:t>
      </w:r>
      <w:r>
        <w:rPr>
          <w:rFonts w:ascii="Arial" w:hAnsi="Arial" w:cs="Arial"/>
        </w:rPr>
        <w:t xml:space="preserve">s objectives. </w:t>
      </w:r>
      <w:r w:rsidR="009B0888">
        <w:rPr>
          <w:rFonts w:ascii="Arial" w:hAnsi="Arial" w:cs="Arial"/>
        </w:rPr>
        <w:t xml:space="preserve">In his definition of strategy, </w:t>
      </w:r>
      <w:r>
        <w:rPr>
          <w:rFonts w:ascii="Arial" w:hAnsi="Arial" w:cs="Arial"/>
        </w:rPr>
        <w:t>Porter (</w:t>
      </w:r>
      <w:r w:rsidR="0002019C">
        <w:rPr>
          <w:rFonts w:ascii="Arial" w:hAnsi="Arial" w:cs="Arial"/>
        </w:rPr>
        <w:t>1996</w:t>
      </w:r>
      <w:r w:rsidR="00CF41D5">
        <w:rPr>
          <w:rFonts w:ascii="Arial" w:hAnsi="Arial" w:cs="Arial"/>
        </w:rPr>
        <w:t>, p68</w:t>
      </w:r>
      <w:r w:rsidR="0002019C">
        <w:rPr>
          <w:rFonts w:ascii="Arial" w:hAnsi="Arial" w:cs="Arial"/>
        </w:rPr>
        <w:t>)</w:t>
      </w:r>
      <w:r w:rsidR="009B0888">
        <w:rPr>
          <w:rFonts w:ascii="Arial" w:hAnsi="Arial" w:cs="Arial"/>
        </w:rPr>
        <w:t xml:space="preserve"> describes strategy as ‘the creation of a unique and valuable position, involving a different set of strategies’. That i</w:t>
      </w:r>
      <w:r w:rsidR="00CF41D5">
        <w:rPr>
          <w:rFonts w:ascii="Arial" w:hAnsi="Arial" w:cs="Arial"/>
        </w:rPr>
        <w:t>s</w:t>
      </w:r>
      <w:r w:rsidR="009B0888">
        <w:rPr>
          <w:rFonts w:ascii="Arial" w:hAnsi="Arial" w:cs="Arial"/>
        </w:rPr>
        <w:t xml:space="preserve">, that not all organisations will </w:t>
      </w:r>
      <w:r w:rsidR="00CF41D5">
        <w:rPr>
          <w:rFonts w:ascii="Arial" w:hAnsi="Arial" w:cs="Arial"/>
        </w:rPr>
        <w:t>have, or indeed w</w:t>
      </w:r>
      <w:r w:rsidR="009B0888">
        <w:rPr>
          <w:rFonts w:ascii="Arial" w:hAnsi="Arial" w:cs="Arial"/>
        </w:rPr>
        <w:t xml:space="preserve">ant, the same strategy, particularly in a competitive business environment such as the private sector. </w:t>
      </w:r>
    </w:p>
    <w:p w:rsidR="00CF41D5" w:rsidRDefault="00CF41D5" w:rsidP="00256399">
      <w:pPr>
        <w:spacing w:after="0"/>
        <w:contextualSpacing/>
        <w:rPr>
          <w:rFonts w:ascii="Arial" w:hAnsi="Arial" w:cs="Arial"/>
        </w:rPr>
      </w:pPr>
    </w:p>
    <w:p w:rsidR="00180438" w:rsidRDefault="00387324" w:rsidP="00256399">
      <w:pPr>
        <w:spacing w:after="0"/>
        <w:contextualSpacing/>
        <w:rPr>
          <w:rFonts w:ascii="Arial" w:eastAsiaTheme="minorEastAsia" w:hAnsi="Arial" w:cs="Arial"/>
          <w:kern w:val="24"/>
          <w:lang w:eastAsia="en-GB"/>
        </w:rPr>
      </w:pPr>
      <w:r>
        <w:rPr>
          <w:rFonts w:ascii="Arial" w:hAnsi="Arial" w:cs="Arial"/>
        </w:rPr>
        <w:t>Organisation’s need to understand their capability and capacity, and any gaps, to enable them to deliver their strategic aims and objectives; this is a process described by the CIPD (2020) as Organisational Design. HR have a key strategic role to play in</w:t>
      </w:r>
      <w:r w:rsidR="00180438">
        <w:rPr>
          <w:rFonts w:ascii="Arial" w:hAnsi="Arial" w:cs="Arial"/>
        </w:rPr>
        <w:t xml:space="preserve"> influencing </w:t>
      </w:r>
      <w:r>
        <w:rPr>
          <w:rFonts w:ascii="Arial" w:hAnsi="Arial" w:cs="Arial"/>
        </w:rPr>
        <w:t xml:space="preserve">the </w:t>
      </w:r>
      <w:r w:rsidR="00180438">
        <w:rPr>
          <w:rFonts w:ascii="Arial" w:hAnsi="Arial" w:cs="Arial"/>
        </w:rPr>
        <w:t xml:space="preserve">development </w:t>
      </w:r>
      <w:r>
        <w:rPr>
          <w:rFonts w:ascii="Arial" w:hAnsi="Arial" w:cs="Arial"/>
        </w:rPr>
        <w:t>of organisational design</w:t>
      </w:r>
      <w:r w:rsidR="00180438">
        <w:rPr>
          <w:rFonts w:ascii="Arial" w:hAnsi="Arial" w:cs="Arial"/>
        </w:rPr>
        <w:t>, ensuring that the organisation’s policies and practice are designed to maximise organisational performance. S</w:t>
      </w:r>
      <w:r w:rsidR="00180438" w:rsidRPr="00180438">
        <w:rPr>
          <w:rFonts w:ascii="Arial" w:eastAsiaTheme="minorEastAsia" w:hAnsi="Arial" w:cs="Arial"/>
          <w:kern w:val="24"/>
          <w:lang w:eastAsia="en-GB"/>
        </w:rPr>
        <w:t xml:space="preserve">ustained </w:t>
      </w:r>
      <w:r w:rsidR="00180438">
        <w:rPr>
          <w:rFonts w:ascii="Arial" w:eastAsiaTheme="minorEastAsia" w:hAnsi="Arial" w:cs="Arial"/>
          <w:kern w:val="24"/>
          <w:lang w:eastAsia="en-GB"/>
        </w:rPr>
        <w:t>performance needs to be supported by planned Organisational Development activities</w:t>
      </w:r>
      <w:r w:rsidR="008D1847">
        <w:rPr>
          <w:rFonts w:ascii="Arial" w:eastAsiaTheme="minorEastAsia" w:hAnsi="Arial" w:cs="Arial"/>
          <w:kern w:val="24"/>
          <w:lang w:eastAsia="en-GB"/>
        </w:rPr>
        <w:t>,</w:t>
      </w:r>
      <w:r w:rsidR="00180438">
        <w:rPr>
          <w:rFonts w:ascii="Arial" w:eastAsiaTheme="minorEastAsia" w:hAnsi="Arial" w:cs="Arial"/>
          <w:kern w:val="24"/>
          <w:lang w:eastAsia="en-GB"/>
        </w:rPr>
        <w:t xml:space="preserve"> focus</w:t>
      </w:r>
      <w:r w:rsidR="008D1847">
        <w:rPr>
          <w:rFonts w:ascii="Arial" w:eastAsiaTheme="minorEastAsia" w:hAnsi="Arial" w:cs="Arial"/>
          <w:kern w:val="24"/>
          <w:lang w:eastAsia="en-GB"/>
        </w:rPr>
        <w:t>ing</w:t>
      </w:r>
      <w:r w:rsidR="00180438">
        <w:rPr>
          <w:rFonts w:ascii="Arial" w:eastAsiaTheme="minorEastAsia" w:hAnsi="Arial" w:cs="Arial"/>
          <w:kern w:val="24"/>
          <w:lang w:eastAsia="en-GB"/>
        </w:rPr>
        <w:t xml:space="preserve"> on </w:t>
      </w:r>
      <w:r w:rsidR="008D1847">
        <w:rPr>
          <w:rFonts w:ascii="Arial" w:eastAsiaTheme="minorEastAsia" w:hAnsi="Arial" w:cs="Arial"/>
          <w:kern w:val="24"/>
          <w:lang w:eastAsia="en-GB"/>
        </w:rPr>
        <w:t>people aspects such as performance, culture and capability.</w:t>
      </w:r>
    </w:p>
    <w:p w:rsidR="00180438" w:rsidRDefault="00180438" w:rsidP="00256399">
      <w:pPr>
        <w:spacing w:after="0"/>
        <w:contextualSpacing/>
        <w:rPr>
          <w:rFonts w:ascii="Arial" w:eastAsiaTheme="minorEastAsia" w:hAnsi="Arial" w:cs="Arial"/>
          <w:kern w:val="24"/>
          <w:lang w:eastAsia="en-GB"/>
        </w:rPr>
      </w:pPr>
    </w:p>
    <w:p w:rsidR="00371BE4" w:rsidRPr="00712C1C" w:rsidRDefault="00371BE4" w:rsidP="00256399">
      <w:pPr>
        <w:spacing w:after="0"/>
        <w:contextualSpacing/>
        <w:rPr>
          <w:rFonts w:ascii="Arial" w:hAnsi="Arial" w:cs="Arial"/>
        </w:rPr>
      </w:pPr>
      <w:r w:rsidRPr="00712C1C">
        <w:rPr>
          <w:rFonts w:ascii="Arial" w:hAnsi="Arial" w:cs="Arial"/>
        </w:rPr>
        <w:t xml:space="preserve">Over the last 30 years, HR has become a business critical function. Its focus has moved from being largely transactional to playing a key role in determining the success of an organisation through its employees. Ulrich and </w:t>
      </w:r>
      <w:proofErr w:type="spellStart"/>
      <w:r w:rsidRPr="00712C1C">
        <w:rPr>
          <w:rFonts w:ascii="Arial" w:hAnsi="Arial" w:cs="Arial"/>
        </w:rPr>
        <w:t>Dulebohn</w:t>
      </w:r>
      <w:proofErr w:type="spellEnd"/>
      <w:r w:rsidRPr="00712C1C">
        <w:rPr>
          <w:rFonts w:ascii="Arial" w:hAnsi="Arial" w:cs="Arial"/>
        </w:rPr>
        <w:t xml:space="preserve"> (2015, p190) describe this change as transformational.</w:t>
      </w:r>
    </w:p>
    <w:p w:rsidR="00371BE4" w:rsidRDefault="00371BE4" w:rsidP="00256399">
      <w:pPr>
        <w:spacing w:after="0"/>
        <w:contextualSpacing/>
        <w:rPr>
          <w:rFonts w:ascii="Arial" w:hAnsi="Arial" w:cs="Arial"/>
        </w:rPr>
      </w:pPr>
    </w:p>
    <w:p w:rsidR="008F6064" w:rsidRDefault="00E4297A" w:rsidP="00256399">
      <w:pPr>
        <w:spacing w:after="0"/>
        <w:contextualSpacing/>
        <w:rPr>
          <w:rFonts w:ascii="Arial" w:hAnsi="Arial" w:cs="Arial"/>
        </w:rPr>
      </w:pPr>
      <w:r>
        <w:rPr>
          <w:rFonts w:ascii="Arial" w:hAnsi="Arial" w:cs="Arial"/>
        </w:rPr>
        <w:t>Organisations that approach strategy development in a classic or rational way (Taylor and Wilkinson, 2016</w:t>
      </w:r>
      <w:r w:rsidR="00D666AC">
        <w:rPr>
          <w:rFonts w:ascii="Arial" w:hAnsi="Arial" w:cs="Arial"/>
        </w:rPr>
        <w:t>c</w:t>
      </w:r>
      <w:r>
        <w:rPr>
          <w:rFonts w:ascii="Arial" w:hAnsi="Arial" w:cs="Arial"/>
        </w:rPr>
        <w:t xml:space="preserve">, p59), need to </w:t>
      </w:r>
      <w:r w:rsidR="004E0A92">
        <w:rPr>
          <w:rFonts w:ascii="Arial" w:hAnsi="Arial" w:cs="Arial"/>
        </w:rPr>
        <w:t xml:space="preserve">consider </w:t>
      </w:r>
      <w:r>
        <w:rPr>
          <w:rFonts w:ascii="Arial" w:hAnsi="Arial" w:cs="Arial"/>
        </w:rPr>
        <w:t xml:space="preserve">the necessary enablers to deliver their strategy, including its people resources. It is critical that </w:t>
      </w:r>
      <w:r w:rsidRPr="00E4297A">
        <w:rPr>
          <w:rFonts w:ascii="Arial" w:hAnsi="Arial" w:cs="Arial"/>
        </w:rPr>
        <w:t xml:space="preserve">HR </w:t>
      </w:r>
      <w:r>
        <w:rPr>
          <w:rFonts w:ascii="Arial" w:hAnsi="Arial" w:cs="Arial"/>
        </w:rPr>
        <w:t xml:space="preserve">has a clear </w:t>
      </w:r>
      <w:r w:rsidRPr="00E4297A">
        <w:rPr>
          <w:rFonts w:ascii="Arial" w:hAnsi="Arial" w:cs="Arial"/>
        </w:rPr>
        <w:t>understand</w:t>
      </w:r>
      <w:r>
        <w:rPr>
          <w:rFonts w:ascii="Arial" w:hAnsi="Arial" w:cs="Arial"/>
        </w:rPr>
        <w:t xml:space="preserve">ing of the business strategy in order that it can assess the </w:t>
      </w:r>
      <w:r w:rsidR="008F6064">
        <w:rPr>
          <w:rFonts w:ascii="Arial" w:hAnsi="Arial" w:cs="Arial"/>
        </w:rPr>
        <w:t xml:space="preserve">likely </w:t>
      </w:r>
      <w:r>
        <w:rPr>
          <w:rFonts w:ascii="Arial" w:hAnsi="Arial" w:cs="Arial"/>
        </w:rPr>
        <w:t xml:space="preserve">workforce requirements </w:t>
      </w:r>
      <w:r w:rsidR="008F6064">
        <w:rPr>
          <w:rFonts w:ascii="Arial" w:hAnsi="Arial" w:cs="Arial"/>
        </w:rPr>
        <w:t xml:space="preserve">over the strategy period and advise on the actions required to address any anticipated </w:t>
      </w:r>
      <w:r w:rsidR="000F7A0D">
        <w:rPr>
          <w:rFonts w:ascii="Arial" w:hAnsi="Arial" w:cs="Arial"/>
        </w:rPr>
        <w:t xml:space="preserve">challenges such as a </w:t>
      </w:r>
      <w:r w:rsidR="008F6064">
        <w:rPr>
          <w:rFonts w:ascii="Arial" w:hAnsi="Arial" w:cs="Arial"/>
        </w:rPr>
        <w:t xml:space="preserve">shortfall in numbers or capabilities. HR have a role in </w:t>
      </w:r>
      <w:r w:rsidR="007D4C96">
        <w:rPr>
          <w:rFonts w:ascii="Arial" w:hAnsi="Arial" w:cs="Arial"/>
        </w:rPr>
        <w:t xml:space="preserve">developing </w:t>
      </w:r>
      <w:r w:rsidR="008F6064">
        <w:rPr>
          <w:rFonts w:ascii="Arial" w:hAnsi="Arial" w:cs="Arial"/>
        </w:rPr>
        <w:t xml:space="preserve">evidenced based </w:t>
      </w:r>
      <w:r w:rsidR="007D4C96">
        <w:rPr>
          <w:rFonts w:ascii="Arial" w:hAnsi="Arial" w:cs="Arial"/>
        </w:rPr>
        <w:t xml:space="preserve">HR practices using people analytics to understand how the </w:t>
      </w:r>
      <w:r w:rsidR="008F6064" w:rsidRPr="00E40B1F">
        <w:rPr>
          <w:rFonts w:ascii="Arial" w:hAnsi="Arial" w:cs="Arial"/>
          <w:color w:val="000000"/>
        </w:rPr>
        <w:t xml:space="preserve">workforce </w:t>
      </w:r>
      <w:r w:rsidR="007D4C96">
        <w:rPr>
          <w:rFonts w:ascii="Arial" w:hAnsi="Arial" w:cs="Arial"/>
          <w:color w:val="000000"/>
        </w:rPr>
        <w:t>can c</w:t>
      </w:r>
      <w:r w:rsidR="008F6064" w:rsidRPr="00E40B1F">
        <w:rPr>
          <w:rFonts w:ascii="Arial" w:hAnsi="Arial" w:cs="Arial"/>
          <w:color w:val="000000"/>
        </w:rPr>
        <w:t xml:space="preserve">ontribute </w:t>
      </w:r>
      <w:r w:rsidR="007D4C96">
        <w:rPr>
          <w:rFonts w:ascii="Arial" w:hAnsi="Arial" w:cs="Arial"/>
          <w:color w:val="000000"/>
        </w:rPr>
        <w:t>to positive organisational outcomes</w:t>
      </w:r>
      <w:r w:rsidR="008F6064" w:rsidRPr="00E40B1F">
        <w:rPr>
          <w:rFonts w:ascii="Arial" w:hAnsi="Arial" w:cs="Arial"/>
          <w:color w:val="000000"/>
        </w:rPr>
        <w:t>.</w:t>
      </w:r>
      <w:r w:rsidR="008F6064" w:rsidRPr="008F6064">
        <w:rPr>
          <w:rFonts w:ascii="Arial" w:hAnsi="Arial" w:cs="Arial"/>
        </w:rPr>
        <w:t xml:space="preserve"> </w:t>
      </w:r>
      <w:r w:rsidR="008F6064">
        <w:rPr>
          <w:rFonts w:ascii="Arial" w:hAnsi="Arial" w:cs="Arial"/>
        </w:rPr>
        <w:t>(CIPD, 2018).</w:t>
      </w:r>
    </w:p>
    <w:p w:rsidR="008F6064" w:rsidRDefault="008F6064" w:rsidP="00256399">
      <w:pPr>
        <w:spacing w:after="0"/>
        <w:contextualSpacing/>
        <w:rPr>
          <w:rFonts w:ascii="Arial" w:hAnsi="Arial" w:cs="Arial"/>
        </w:rPr>
      </w:pPr>
    </w:p>
    <w:p w:rsidR="00F669B8" w:rsidRDefault="007D4C96" w:rsidP="00256399">
      <w:pPr>
        <w:spacing w:after="0"/>
        <w:contextualSpacing/>
        <w:rPr>
          <w:rFonts w:ascii="Arial" w:eastAsia="Times New Roman" w:hAnsi="Arial" w:cs="Arial"/>
          <w:szCs w:val="27"/>
          <w:lang w:val="en-US" w:eastAsia="en-GB"/>
        </w:rPr>
      </w:pPr>
      <w:r w:rsidRPr="007D4C96">
        <w:rPr>
          <w:rFonts w:ascii="Arial" w:eastAsia="Times New Roman" w:hAnsi="Arial" w:cs="Arial"/>
          <w:szCs w:val="27"/>
          <w:lang w:val="en-US" w:eastAsia="en-GB"/>
        </w:rPr>
        <w:t>HR</w:t>
      </w:r>
      <w:r w:rsidRPr="00F669B8">
        <w:rPr>
          <w:rFonts w:ascii="Arial" w:eastAsia="Times New Roman" w:hAnsi="Arial" w:cs="Arial"/>
          <w:szCs w:val="27"/>
          <w:lang w:val="en-US" w:eastAsia="en-GB"/>
        </w:rPr>
        <w:t xml:space="preserve"> ha</w:t>
      </w:r>
      <w:r w:rsidR="00F669B8">
        <w:rPr>
          <w:rFonts w:ascii="Arial" w:eastAsia="Times New Roman" w:hAnsi="Arial" w:cs="Arial"/>
          <w:szCs w:val="27"/>
          <w:lang w:val="en-US" w:eastAsia="en-GB"/>
        </w:rPr>
        <w:t>s</w:t>
      </w:r>
      <w:r w:rsidRPr="00F669B8">
        <w:rPr>
          <w:rFonts w:ascii="Arial" w:eastAsia="Times New Roman" w:hAnsi="Arial" w:cs="Arial"/>
          <w:szCs w:val="27"/>
          <w:lang w:val="en-US" w:eastAsia="en-GB"/>
        </w:rPr>
        <w:t xml:space="preserve"> a role in ensuring that the </w:t>
      </w:r>
      <w:proofErr w:type="spellStart"/>
      <w:r w:rsidRPr="00F669B8">
        <w:rPr>
          <w:rFonts w:ascii="Arial" w:eastAsia="Times New Roman" w:hAnsi="Arial" w:cs="Arial"/>
          <w:szCs w:val="27"/>
          <w:lang w:val="en-US" w:eastAsia="en-GB"/>
        </w:rPr>
        <w:t>organisation’s</w:t>
      </w:r>
      <w:proofErr w:type="spellEnd"/>
      <w:r w:rsidRPr="00F669B8">
        <w:rPr>
          <w:rFonts w:ascii="Arial" w:eastAsia="Times New Roman" w:hAnsi="Arial" w:cs="Arial"/>
          <w:szCs w:val="27"/>
          <w:lang w:val="en-US" w:eastAsia="en-GB"/>
        </w:rPr>
        <w:t xml:space="preserve"> values and </w:t>
      </w:r>
      <w:r w:rsidR="00F669B8">
        <w:rPr>
          <w:rFonts w:ascii="Arial" w:eastAsia="Times New Roman" w:hAnsi="Arial" w:cs="Arial"/>
          <w:szCs w:val="27"/>
          <w:lang w:val="en-US" w:eastAsia="en-GB"/>
        </w:rPr>
        <w:t xml:space="preserve">expected </w:t>
      </w:r>
      <w:proofErr w:type="spellStart"/>
      <w:r w:rsidRPr="00F669B8">
        <w:rPr>
          <w:rFonts w:ascii="Arial" w:eastAsia="Times New Roman" w:hAnsi="Arial" w:cs="Arial"/>
          <w:szCs w:val="27"/>
          <w:lang w:val="en-US" w:eastAsia="en-GB"/>
        </w:rPr>
        <w:t>behaviours</w:t>
      </w:r>
      <w:proofErr w:type="spellEnd"/>
      <w:r w:rsidRPr="00F669B8">
        <w:rPr>
          <w:rFonts w:ascii="Arial" w:eastAsia="Times New Roman" w:hAnsi="Arial" w:cs="Arial"/>
          <w:szCs w:val="27"/>
          <w:lang w:val="en-US" w:eastAsia="en-GB"/>
        </w:rPr>
        <w:t xml:space="preserve"> are reflected </w:t>
      </w:r>
      <w:r w:rsidR="00F669B8">
        <w:rPr>
          <w:rFonts w:ascii="Arial" w:eastAsia="Times New Roman" w:hAnsi="Arial" w:cs="Arial"/>
          <w:szCs w:val="27"/>
          <w:lang w:val="en-US" w:eastAsia="en-GB"/>
        </w:rPr>
        <w:t xml:space="preserve">in the </w:t>
      </w:r>
      <w:r w:rsidRPr="00F669B8">
        <w:rPr>
          <w:rFonts w:ascii="Arial" w:eastAsia="Times New Roman" w:hAnsi="Arial" w:cs="Arial"/>
          <w:szCs w:val="27"/>
          <w:lang w:val="en-US" w:eastAsia="en-GB"/>
        </w:rPr>
        <w:t xml:space="preserve">strategy and in </w:t>
      </w:r>
      <w:r w:rsidR="00F669B8">
        <w:rPr>
          <w:rFonts w:ascii="Arial" w:eastAsia="Times New Roman" w:hAnsi="Arial" w:cs="Arial"/>
          <w:szCs w:val="27"/>
          <w:lang w:val="en-US" w:eastAsia="en-GB"/>
        </w:rPr>
        <w:t xml:space="preserve">supporting </w:t>
      </w:r>
      <w:r w:rsidRPr="00F669B8">
        <w:rPr>
          <w:rFonts w:ascii="Arial" w:eastAsia="Times New Roman" w:hAnsi="Arial" w:cs="Arial"/>
          <w:szCs w:val="27"/>
          <w:lang w:val="en-US" w:eastAsia="en-GB"/>
        </w:rPr>
        <w:t>leaders</w:t>
      </w:r>
      <w:r w:rsidR="00F669B8">
        <w:rPr>
          <w:rFonts w:ascii="Arial" w:eastAsia="Times New Roman" w:hAnsi="Arial" w:cs="Arial"/>
          <w:szCs w:val="27"/>
          <w:lang w:val="en-US" w:eastAsia="en-GB"/>
        </w:rPr>
        <w:t xml:space="preserve"> to</w:t>
      </w:r>
      <w:r w:rsidRPr="00F669B8">
        <w:rPr>
          <w:rFonts w:ascii="Arial" w:eastAsia="Times New Roman" w:hAnsi="Arial" w:cs="Arial"/>
          <w:szCs w:val="27"/>
          <w:lang w:val="en-US" w:eastAsia="en-GB"/>
        </w:rPr>
        <w:t xml:space="preserve"> bring these </w:t>
      </w:r>
      <w:r w:rsidR="00F669B8">
        <w:rPr>
          <w:rFonts w:ascii="Arial" w:eastAsia="Times New Roman" w:hAnsi="Arial" w:cs="Arial"/>
          <w:szCs w:val="27"/>
          <w:lang w:val="en-US" w:eastAsia="en-GB"/>
        </w:rPr>
        <w:t>to life within their own teams</w:t>
      </w:r>
      <w:r w:rsidRPr="00F669B8">
        <w:rPr>
          <w:rFonts w:ascii="Arial" w:eastAsia="Times New Roman" w:hAnsi="Arial" w:cs="Arial"/>
          <w:szCs w:val="27"/>
          <w:lang w:val="en-US" w:eastAsia="en-GB"/>
        </w:rPr>
        <w:t>.</w:t>
      </w:r>
      <w:r w:rsidR="00F669B8">
        <w:rPr>
          <w:rFonts w:ascii="Arial" w:eastAsia="Times New Roman" w:hAnsi="Arial" w:cs="Arial"/>
          <w:szCs w:val="27"/>
          <w:lang w:val="en-US" w:eastAsia="en-GB"/>
        </w:rPr>
        <w:t xml:space="preserve"> </w:t>
      </w:r>
      <w:r w:rsidR="00F669B8" w:rsidRPr="00712C1C">
        <w:rPr>
          <w:rFonts w:ascii="Arial" w:hAnsi="Arial" w:cs="Arial"/>
        </w:rPr>
        <w:t xml:space="preserve">HR </w:t>
      </w:r>
      <w:r w:rsidR="00F669B8">
        <w:rPr>
          <w:rFonts w:ascii="Arial" w:hAnsi="Arial" w:cs="Arial"/>
        </w:rPr>
        <w:t>plays</w:t>
      </w:r>
      <w:r w:rsidR="00F669B8" w:rsidRPr="00712C1C">
        <w:rPr>
          <w:rFonts w:ascii="Arial" w:hAnsi="Arial" w:cs="Arial"/>
        </w:rPr>
        <w:t xml:space="preserve"> an important an</w:t>
      </w:r>
      <w:r w:rsidR="00F669B8">
        <w:rPr>
          <w:rFonts w:ascii="Arial" w:hAnsi="Arial" w:cs="Arial"/>
        </w:rPr>
        <w:t>d</w:t>
      </w:r>
      <w:r w:rsidR="00F669B8" w:rsidRPr="00712C1C">
        <w:rPr>
          <w:rFonts w:ascii="Arial" w:hAnsi="Arial" w:cs="Arial"/>
        </w:rPr>
        <w:t xml:space="preserve"> influential</w:t>
      </w:r>
      <w:r w:rsidR="00F669B8">
        <w:rPr>
          <w:rFonts w:ascii="Arial" w:hAnsi="Arial" w:cs="Arial"/>
        </w:rPr>
        <w:t xml:space="preserve"> role</w:t>
      </w:r>
      <w:r w:rsidR="00F669B8" w:rsidRPr="00712C1C">
        <w:rPr>
          <w:rFonts w:ascii="Arial" w:hAnsi="Arial" w:cs="Arial"/>
        </w:rPr>
        <w:t xml:space="preserve"> in supporting organisations through change</w:t>
      </w:r>
      <w:r w:rsidR="00F669B8">
        <w:rPr>
          <w:rFonts w:ascii="Arial" w:hAnsi="Arial" w:cs="Arial"/>
        </w:rPr>
        <w:t xml:space="preserve">, often requiring conversations around new ways of working requiring a whole culture change. </w:t>
      </w:r>
      <w:r w:rsidR="00371BE4">
        <w:rPr>
          <w:rFonts w:ascii="Arial" w:hAnsi="Arial" w:cs="Arial"/>
        </w:rPr>
        <w:t>(BPI Group, 2020)</w:t>
      </w:r>
    </w:p>
    <w:p w:rsidR="00371BE4" w:rsidRDefault="00371BE4" w:rsidP="00256399">
      <w:pPr>
        <w:spacing w:after="0"/>
        <w:contextualSpacing/>
        <w:rPr>
          <w:rFonts w:ascii="Arial" w:eastAsia="Times New Roman" w:hAnsi="Arial" w:cs="Arial"/>
          <w:szCs w:val="27"/>
          <w:lang w:val="en-US" w:eastAsia="en-GB"/>
        </w:rPr>
      </w:pPr>
    </w:p>
    <w:p w:rsidR="000F7A0D" w:rsidRDefault="000F7A0D" w:rsidP="00256399">
      <w:pPr>
        <w:spacing w:after="0"/>
        <w:contextualSpacing/>
        <w:rPr>
          <w:rFonts w:ascii="Arial" w:hAnsi="Arial" w:cs="Arial"/>
        </w:rPr>
      </w:pPr>
      <w:r w:rsidRPr="00712C1C">
        <w:rPr>
          <w:rFonts w:ascii="Arial" w:hAnsi="Arial" w:cs="Arial"/>
        </w:rPr>
        <w:t>Wilkinson and Taylor (2016, pp23-24) suggest that it was around 20 years ago that HR began to be seen as having a role in strategy implementation</w:t>
      </w:r>
      <w:r w:rsidR="00817285">
        <w:rPr>
          <w:rFonts w:ascii="Arial" w:hAnsi="Arial" w:cs="Arial"/>
        </w:rPr>
        <w:t xml:space="preserve"> and yet despite this,</w:t>
      </w:r>
      <w:r>
        <w:rPr>
          <w:rFonts w:ascii="Arial" w:hAnsi="Arial" w:cs="Arial"/>
        </w:rPr>
        <w:t xml:space="preserve"> HR Directors remain underrepresented on Boards</w:t>
      </w:r>
      <w:r w:rsidR="00545419">
        <w:rPr>
          <w:rFonts w:ascii="Arial" w:hAnsi="Arial" w:cs="Arial"/>
        </w:rPr>
        <w:t xml:space="preserve"> (Cummings, 2020)</w:t>
      </w:r>
      <w:r>
        <w:rPr>
          <w:rFonts w:ascii="Arial" w:hAnsi="Arial" w:cs="Arial"/>
        </w:rPr>
        <w:t>.</w:t>
      </w:r>
      <w:r w:rsidR="00545419">
        <w:rPr>
          <w:rFonts w:ascii="Arial" w:hAnsi="Arial" w:cs="Arial"/>
        </w:rPr>
        <w:t xml:space="preserve"> </w:t>
      </w:r>
      <w:proofErr w:type="spellStart"/>
      <w:r w:rsidR="00545419">
        <w:rPr>
          <w:rFonts w:ascii="Arial" w:hAnsi="Arial" w:cs="Arial"/>
        </w:rPr>
        <w:t>Capelli</w:t>
      </w:r>
      <w:proofErr w:type="spellEnd"/>
      <w:r w:rsidR="00545419">
        <w:rPr>
          <w:rFonts w:ascii="Arial" w:hAnsi="Arial" w:cs="Arial"/>
        </w:rPr>
        <w:t xml:space="preserve"> (2015) argues that HR, not organisational executives, have the relevant experience and expertise on workforce issues and are best placed to highlight the key issues that matter to an organisation’s performance. </w:t>
      </w:r>
    </w:p>
    <w:p w:rsidR="00545419" w:rsidRDefault="00545419" w:rsidP="00256399">
      <w:pPr>
        <w:spacing w:after="0"/>
        <w:contextualSpacing/>
        <w:rPr>
          <w:rFonts w:ascii="Arial" w:hAnsi="Arial" w:cs="Arial"/>
        </w:rPr>
      </w:pPr>
    </w:p>
    <w:p w:rsidR="009A55CE" w:rsidRDefault="009A55CE" w:rsidP="00256399">
      <w:pPr>
        <w:spacing w:after="0"/>
        <w:contextualSpacing/>
        <w:rPr>
          <w:rFonts w:ascii="Arial" w:hAnsi="Arial" w:cs="Arial"/>
          <w:b/>
        </w:rPr>
      </w:pPr>
      <w:r>
        <w:rPr>
          <w:rFonts w:ascii="Arial" w:hAnsi="Arial" w:cs="Arial"/>
          <w:b/>
        </w:rPr>
        <w:t>Translating organisational strategy into HR strategy and policy</w:t>
      </w:r>
    </w:p>
    <w:p w:rsidR="00CE1908" w:rsidRDefault="00EB4D70" w:rsidP="00256399">
      <w:pPr>
        <w:spacing w:after="0"/>
        <w:contextualSpacing/>
        <w:rPr>
          <w:rFonts w:ascii="Arial" w:hAnsi="Arial" w:cs="Arial"/>
          <w:szCs w:val="20"/>
        </w:rPr>
      </w:pPr>
      <w:r w:rsidRPr="00F846D2">
        <w:rPr>
          <w:rFonts w:ascii="Arial" w:hAnsi="Arial" w:cs="Arial"/>
          <w:szCs w:val="20"/>
        </w:rPr>
        <w:t>To deliver</w:t>
      </w:r>
      <w:r w:rsidR="00F846D2" w:rsidRPr="00F846D2">
        <w:rPr>
          <w:rFonts w:ascii="Arial" w:hAnsi="Arial" w:cs="Arial"/>
          <w:szCs w:val="20"/>
        </w:rPr>
        <w:t xml:space="preserve"> their</w:t>
      </w:r>
      <w:r w:rsidRPr="00F846D2">
        <w:rPr>
          <w:rFonts w:ascii="Arial" w:hAnsi="Arial" w:cs="Arial"/>
          <w:szCs w:val="20"/>
        </w:rPr>
        <w:t xml:space="preserve"> business strateg</w:t>
      </w:r>
      <w:r w:rsidR="00F846D2" w:rsidRPr="00F846D2">
        <w:rPr>
          <w:rFonts w:ascii="Arial" w:hAnsi="Arial" w:cs="Arial"/>
          <w:szCs w:val="20"/>
        </w:rPr>
        <w:t>y</w:t>
      </w:r>
      <w:r w:rsidRPr="00F846D2">
        <w:rPr>
          <w:rFonts w:ascii="Arial" w:hAnsi="Arial" w:cs="Arial"/>
          <w:szCs w:val="20"/>
        </w:rPr>
        <w:t xml:space="preserve">, organisations must </w:t>
      </w:r>
      <w:r w:rsidR="00F846D2" w:rsidRPr="00F846D2">
        <w:rPr>
          <w:rFonts w:ascii="Arial" w:hAnsi="Arial" w:cs="Arial"/>
          <w:szCs w:val="20"/>
        </w:rPr>
        <w:t>reflect</w:t>
      </w:r>
      <w:r w:rsidRPr="00F846D2">
        <w:rPr>
          <w:rFonts w:ascii="Arial" w:hAnsi="Arial" w:cs="Arial"/>
          <w:szCs w:val="20"/>
        </w:rPr>
        <w:t xml:space="preserve"> the</w:t>
      </w:r>
      <w:r w:rsidR="00F846D2" w:rsidRPr="00F846D2">
        <w:rPr>
          <w:rFonts w:ascii="Arial" w:hAnsi="Arial" w:cs="Arial"/>
          <w:szCs w:val="20"/>
        </w:rPr>
        <w:t>ir</w:t>
      </w:r>
      <w:r w:rsidRPr="00F846D2">
        <w:rPr>
          <w:rFonts w:ascii="Arial" w:hAnsi="Arial" w:cs="Arial"/>
          <w:szCs w:val="20"/>
        </w:rPr>
        <w:t xml:space="preserve"> people requirements in </w:t>
      </w:r>
      <w:r w:rsidR="00F846D2" w:rsidRPr="00F846D2">
        <w:rPr>
          <w:rFonts w:ascii="Arial" w:hAnsi="Arial" w:cs="Arial"/>
          <w:szCs w:val="20"/>
        </w:rPr>
        <w:t>their</w:t>
      </w:r>
      <w:r w:rsidRPr="00F846D2">
        <w:rPr>
          <w:rFonts w:ascii="Arial" w:hAnsi="Arial" w:cs="Arial"/>
          <w:szCs w:val="20"/>
        </w:rPr>
        <w:t xml:space="preserve"> HR strategy</w:t>
      </w:r>
      <w:r w:rsidR="00F846D2" w:rsidRPr="00F846D2">
        <w:rPr>
          <w:rFonts w:ascii="Arial" w:hAnsi="Arial" w:cs="Arial"/>
          <w:szCs w:val="20"/>
        </w:rPr>
        <w:t xml:space="preserve"> and </w:t>
      </w:r>
      <w:r w:rsidR="000D5E73">
        <w:rPr>
          <w:rFonts w:ascii="Arial" w:hAnsi="Arial" w:cs="Arial"/>
          <w:szCs w:val="20"/>
        </w:rPr>
        <w:t xml:space="preserve">the </w:t>
      </w:r>
      <w:r w:rsidR="00F846D2" w:rsidRPr="00F846D2">
        <w:rPr>
          <w:rFonts w:ascii="Arial" w:hAnsi="Arial" w:cs="Arial"/>
          <w:szCs w:val="20"/>
        </w:rPr>
        <w:t>develop</w:t>
      </w:r>
      <w:r w:rsidR="000D5E73">
        <w:rPr>
          <w:rFonts w:ascii="Arial" w:hAnsi="Arial" w:cs="Arial"/>
          <w:szCs w:val="20"/>
        </w:rPr>
        <w:t>ment of effective</w:t>
      </w:r>
      <w:r w:rsidR="00F846D2" w:rsidRPr="00F846D2">
        <w:rPr>
          <w:rFonts w:ascii="Arial" w:hAnsi="Arial" w:cs="Arial"/>
          <w:szCs w:val="20"/>
        </w:rPr>
        <w:t xml:space="preserve"> </w:t>
      </w:r>
      <w:r w:rsidRPr="00F846D2">
        <w:rPr>
          <w:rFonts w:ascii="Arial" w:hAnsi="Arial" w:cs="Arial"/>
          <w:szCs w:val="20"/>
        </w:rPr>
        <w:t>HR policies and practice</w:t>
      </w:r>
      <w:r w:rsidR="00F846D2" w:rsidRPr="00F846D2">
        <w:rPr>
          <w:rFonts w:ascii="Arial" w:hAnsi="Arial" w:cs="Arial"/>
          <w:szCs w:val="20"/>
        </w:rPr>
        <w:t>s</w:t>
      </w:r>
      <w:r w:rsidR="000D5E73">
        <w:rPr>
          <w:rFonts w:ascii="Arial" w:hAnsi="Arial" w:cs="Arial"/>
          <w:szCs w:val="20"/>
        </w:rPr>
        <w:t xml:space="preserve"> that support the organisation’s objectives are fundamental to their </w:t>
      </w:r>
      <w:r w:rsidR="00F846D2" w:rsidRPr="00F846D2">
        <w:rPr>
          <w:rFonts w:ascii="Arial" w:hAnsi="Arial" w:cs="Arial"/>
          <w:szCs w:val="20"/>
        </w:rPr>
        <w:t>delivery</w:t>
      </w:r>
      <w:r w:rsidRPr="00F846D2">
        <w:rPr>
          <w:rFonts w:ascii="Arial" w:hAnsi="Arial" w:cs="Arial"/>
          <w:szCs w:val="20"/>
        </w:rPr>
        <w:t>.</w:t>
      </w:r>
      <w:r w:rsidR="00781404">
        <w:rPr>
          <w:rFonts w:ascii="Arial" w:hAnsi="Arial" w:cs="Arial"/>
          <w:szCs w:val="20"/>
        </w:rPr>
        <w:t xml:space="preserve"> </w:t>
      </w:r>
      <w:r w:rsidR="00F846D2" w:rsidRPr="00F846D2">
        <w:rPr>
          <w:rFonts w:ascii="Arial" w:hAnsi="Arial" w:cs="Arial"/>
          <w:szCs w:val="20"/>
        </w:rPr>
        <w:t>(</w:t>
      </w:r>
      <w:r w:rsidR="00545419" w:rsidRPr="00F846D2">
        <w:rPr>
          <w:rFonts w:ascii="Arial" w:hAnsi="Arial" w:cs="Arial"/>
          <w:szCs w:val="20"/>
        </w:rPr>
        <w:t xml:space="preserve">Taylor and </w:t>
      </w:r>
      <w:proofErr w:type="spellStart"/>
      <w:r w:rsidR="00545419" w:rsidRPr="00F846D2">
        <w:rPr>
          <w:rFonts w:ascii="Arial" w:hAnsi="Arial" w:cs="Arial"/>
          <w:szCs w:val="20"/>
        </w:rPr>
        <w:t>Woodhams</w:t>
      </w:r>
      <w:proofErr w:type="spellEnd"/>
      <w:r w:rsidR="00F846D2" w:rsidRPr="00F846D2">
        <w:rPr>
          <w:rFonts w:ascii="Arial" w:hAnsi="Arial" w:cs="Arial"/>
          <w:szCs w:val="20"/>
        </w:rPr>
        <w:t xml:space="preserve">, </w:t>
      </w:r>
      <w:r w:rsidR="00545419" w:rsidRPr="00F846D2">
        <w:rPr>
          <w:rFonts w:ascii="Arial" w:hAnsi="Arial" w:cs="Arial"/>
          <w:szCs w:val="20"/>
        </w:rPr>
        <w:t xml:space="preserve">2016, </w:t>
      </w:r>
      <w:r w:rsidR="00781404">
        <w:rPr>
          <w:rFonts w:ascii="Arial" w:hAnsi="Arial" w:cs="Arial"/>
          <w:szCs w:val="20"/>
        </w:rPr>
        <w:t>pp141-172</w:t>
      </w:r>
      <w:r w:rsidR="00F822C0">
        <w:rPr>
          <w:rFonts w:ascii="Arial" w:hAnsi="Arial" w:cs="Arial"/>
          <w:szCs w:val="20"/>
        </w:rPr>
        <w:t>).</w:t>
      </w:r>
    </w:p>
    <w:p w:rsidR="001655A9" w:rsidRDefault="001655A9" w:rsidP="00256399">
      <w:pPr>
        <w:spacing w:after="0"/>
        <w:contextualSpacing/>
        <w:rPr>
          <w:rFonts w:ascii="Arial" w:hAnsi="Arial" w:cs="Arial"/>
          <w:szCs w:val="20"/>
        </w:rPr>
      </w:pPr>
    </w:p>
    <w:p w:rsidR="001655A9" w:rsidRPr="00F822C0" w:rsidRDefault="001655A9" w:rsidP="00256399">
      <w:pPr>
        <w:spacing w:after="0"/>
        <w:contextualSpacing/>
        <w:rPr>
          <w:rFonts w:ascii="Arial" w:hAnsi="Arial" w:cs="Arial"/>
          <w:szCs w:val="20"/>
        </w:rPr>
      </w:pPr>
      <w:r w:rsidRPr="00F846D2">
        <w:rPr>
          <w:rFonts w:ascii="Arial" w:hAnsi="Arial" w:cs="Arial"/>
          <w:szCs w:val="20"/>
        </w:rPr>
        <w:lastRenderedPageBreak/>
        <w:t xml:space="preserve">Taylor and </w:t>
      </w:r>
      <w:proofErr w:type="spellStart"/>
      <w:r w:rsidRPr="00F846D2">
        <w:rPr>
          <w:rFonts w:ascii="Arial" w:hAnsi="Arial" w:cs="Arial"/>
          <w:szCs w:val="20"/>
        </w:rPr>
        <w:t>Woodhams</w:t>
      </w:r>
      <w:proofErr w:type="spellEnd"/>
      <w:r w:rsidR="00256399">
        <w:rPr>
          <w:rFonts w:ascii="Arial" w:hAnsi="Arial" w:cs="Arial"/>
          <w:szCs w:val="20"/>
        </w:rPr>
        <w:t xml:space="preserve"> (</w:t>
      </w:r>
      <w:r w:rsidRPr="00F846D2">
        <w:rPr>
          <w:rFonts w:ascii="Arial" w:hAnsi="Arial" w:cs="Arial"/>
          <w:szCs w:val="20"/>
        </w:rPr>
        <w:t xml:space="preserve">2016, </w:t>
      </w:r>
      <w:r>
        <w:rPr>
          <w:rFonts w:ascii="Arial" w:hAnsi="Arial" w:cs="Arial"/>
          <w:szCs w:val="20"/>
        </w:rPr>
        <w:t xml:space="preserve">pp141-172) </w:t>
      </w:r>
      <w:r w:rsidRPr="00F822C0">
        <w:rPr>
          <w:rFonts w:ascii="Arial" w:hAnsi="Arial" w:cs="Arial"/>
          <w:szCs w:val="20"/>
        </w:rPr>
        <w:t xml:space="preserve">argue that HR strategies need to integrate with the business strategy both vertically and horizontally. Horizontal integration refers to the internal fit of HR components across the organisation; that is, that policies and practices across HR functions are aligned and congruent. Vertical integration means </w:t>
      </w:r>
      <w:r w:rsidR="00256399">
        <w:rPr>
          <w:rFonts w:ascii="Arial" w:hAnsi="Arial" w:cs="Arial"/>
          <w:szCs w:val="20"/>
        </w:rPr>
        <w:t>the</w:t>
      </w:r>
      <w:r w:rsidRPr="00F822C0">
        <w:rPr>
          <w:rFonts w:ascii="Arial" w:hAnsi="Arial" w:cs="Arial"/>
          <w:szCs w:val="20"/>
        </w:rPr>
        <w:t xml:space="preserve"> extent</w:t>
      </w:r>
      <w:r w:rsidR="00256399">
        <w:rPr>
          <w:rFonts w:ascii="Arial" w:hAnsi="Arial" w:cs="Arial"/>
          <w:szCs w:val="20"/>
        </w:rPr>
        <w:t xml:space="preserve"> to which</w:t>
      </w:r>
      <w:r w:rsidRPr="00F822C0">
        <w:rPr>
          <w:rFonts w:ascii="Arial" w:hAnsi="Arial" w:cs="Arial"/>
          <w:szCs w:val="20"/>
        </w:rPr>
        <w:t xml:space="preserve"> HR practices are aligned with the strategic management and objectives of the organisation. For example, in implementing culture change, an organisation needs to ensure that its policies enable employees to work and behave in ways that support that change. Taylor and </w:t>
      </w:r>
      <w:proofErr w:type="spellStart"/>
      <w:r w:rsidRPr="00F822C0">
        <w:rPr>
          <w:rFonts w:ascii="Arial" w:hAnsi="Arial" w:cs="Arial"/>
          <w:szCs w:val="20"/>
        </w:rPr>
        <w:t>Woodhams</w:t>
      </w:r>
      <w:proofErr w:type="spellEnd"/>
      <w:r w:rsidRPr="00F822C0">
        <w:rPr>
          <w:rFonts w:ascii="Arial" w:hAnsi="Arial" w:cs="Arial"/>
          <w:szCs w:val="20"/>
        </w:rPr>
        <w:t xml:space="preserve"> suggest that, based on management literature, the effectiveness of an organisation’s HR strategy is dependent on the extent of vertical and horizontal alignment within the organisation.</w:t>
      </w:r>
    </w:p>
    <w:p w:rsidR="00F822C0" w:rsidRDefault="00F822C0" w:rsidP="00256399">
      <w:pPr>
        <w:spacing w:after="0"/>
        <w:contextualSpacing/>
        <w:rPr>
          <w:rFonts w:ascii="Arial" w:hAnsi="Arial" w:cs="Arial"/>
          <w:szCs w:val="20"/>
        </w:rPr>
      </w:pPr>
    </w:p>
    <w:p w:rsidR="001655A9" w:rsidRPr="00C25D57" w:rsidRDefault="00F822C0" w:rsidP="00256399">
      <w:pPr>
        <w:spacing w:after="0"/>
        <w:contextualSpacing/>
        <w:rPr>
          <w:rFonts w:ascii="Arial" w:hAnsi="Arial" w:cs="Arial"/>
        </w:rPr>
      </w:pPr>
      <w:r>
        <w:rPr>
          <w:rFonts w:ascii="Arial" w:hAnsi="Arial" w:cs="Arial"/>
          <w:szCs w:val="20"/>
        </w:rPr>
        <w:t>Contingency thinking is one approach to developing a</w:t>
      </w:r>
      <w:r w:rsidR="00040EAF">
        <w:rPr>
          <w:rFonts w:ascii="Arial" w:hAnsi="Arial" w:cs="Arial"/>
          <w:szCs w:val="20"/>
        </w:rPr>
        <w:t xml:space="preserve"> </w:t>
      </w:r>
      <w:r>
        <w:rPr>
          <w:rFonts w:ascii="Arial" w:hAnsi="Arial" w:cs="Arial"/>
          <w:szCs w:val="20"/>
        </w:rPr>
        <w:t>business strategy</w:t>
      </w:r>
      <w:r w:rsidR="00040EAF">
        <w:rPr>
          <w:rFonts w:ascii="Arial" w:hAnsi="Arial" w:cs="Arial"/>
          <w:szCs w:val="20"/>
        </w:rPr>
        <w:t xml:space="preserve"> where factors impact on objectives to the extent that the strategy emerges over time</w:t>
      </w:r>
      <w:r>
        <w:rPr>
          <w:rFonts w:ascii="Arial" w:hAnsi="Arial" w:cs="Arial"/>
          <w:szCs w:val="20"/>
        </w:rPr>
        <w:t>.</w:t>
      </w:r>
      <w:r w:rsidR="00040EAF">
        <w:rPr>
          <w:rFonts w:ascii="Arial" w:hAnsi="Arial" w:cs="Arial"/>
          <w:szCs w:val="20"/>
        </w:rPr>
        <w:t xml:space="preserve"> (Taylor and </w:t>
      </w:r>
      <w:proofErr w:type="spellStart"/>
      <w:r w:rsidR="00040EAF">
        <w:rPr>
          <w:rFonts w:ascii="Arial" w:hAnsi="Arial" w:cs="Arial"/>
          <w:szCs w:val="20"/>
        </w:rPr>
        <w:t>Wilkinsons</w:t>
      </w:r>
      <w:proofErr w:type="spellEnd"/>
      <w:r w:rsidR="00040EAF">
        <w:rPr>
          <w:rFonts w:ascii="Arial" w:hAnsi="Arial" w:cs="Arial"/>
          <w:szCs w:val="20"/>
        </w:rPr>
        <w:t xml:space="preserve"> 2016</w:t>
      </w:r>
      <w:r w:rsidR="00AE3A4C">
        <w:rPr>
          <w:rFonts w:ascii="Arial" w:hAnsi="Arial" w:cs="Arial"/>
          <w:szCs w:val="20"/>
        </w:rPr>
        <w:t>d</w:t>
      </w:r>
      <w:r w:rsidR="00040EAF">
        <w:rPr>
          <w:rFonts w:ascii="Arial" w:hAnsi="Arial" w:cs="Arial"/>
          <w:szCs w:val="20"/>
        </w:rPr>
        <w:t>, p</w:t>
      </w:r>
      <w:r w:rsidR="00D666AC">
        <w:rPr>
          <w:rFonts w:ascii="Arial" w:hAnsi="Arial" w:cs="Arial"/>
          <w:szCs w:val="20"/>
        </w:rPr>
        <w:t>61</w:t>
      </w:r>
      <w:r w:rsidR="00040EAF">
        <w:rPr>
          <w:rFonts w:ascii="Arial" w:hAnsi="Arial" w:cs="Arial"/>
          <w:szCs w:val="20"/>
        </w:rPr>
        <w:t xml:space="preserve">). </w:t>
      </w:r>
      <w:r>
        <w:rPr>
          <w:rFonts w:ascii="Arial" w:hAnsi="Arial" w:cs="Arial"/>
          <w:szCs w:val="20"/>
        </w:rPr>
        <w:t xml:space="preserve"> </w:t>
      </w:r>
      <w:r w:rsidR="00F202B3">
        <w:rPr>
          <w:rFonts w:ascii="Arial" w:hAnsi="Arial" w:cs="Arial"/>
          <w:szCs w:val="20"/>
        </w:rPr>
        <w:t>A number of commentators</w:t>
      </w:r>
      <w:r w:rsidR="00CC4372">
        <w:rPr>
          <w:rFonts w:ascii="Arial" w:hAnsi="Arial" w:cs="Arial"/>
          <w:szCs w:val="20"/>
        </w:rPr>
        <w:t xml:space="preserve">, including </w:t>
      </w:r>
      <w:r w:rsidR="00F202B3">
        <w:rPr>
          <w:rFonts w:ascii="Arial" w:hAnsi="Arial" w:cs="Arial"/>
          <w:szCs w:val="20"/>
        </w:rPr>
        <w:t>Porter</w:t>
      </w:r>
      <w:r w:rsidR="00CC4372">
        <w:rPr>
          <w:rFonts w:ascii="Arial" w:hAnsi="Arial" w:cs="Arial"/>
          <w:szCs w:val="20"/>
        </w:rPr>
        <w:t xml:space="preserve"> (</w:t>
      </w:r>
      <w:r w:rsidR="00F202B3">
        <w:rPr>
          <w:rFonts w:ascii="Arial" w:hAnsi="Arial" w:cs="Arial"/>
          <w:szCs w:val="20"/>
        </w:rPr>
        <w:t>1985</w:t>
      </w:r>
      <w:r w:rsidR="00CC4372">
        <w:rPr>
          <w:rFonts w:ascii="Arial" w:hAnsi="Arial" w:cs="Arial"/>
          <w:szCs w:val="20"/>
        </w:rPr>
        <w:t xml:space="preserve">), </w:t>
      </w:r>
      <w:r w:rsidR="00040EAF">
        <w:rPr>
          <w:rFonts w:ascii="Arial" w:hAnsi="Arial" w:cs="Arial"/>
          <w:szCs w:val="20"/>
        </w:rPr>
        <w:t xml:space="preserve">advocate </w:t>
      </w:r>
      <w:r w:rsidR="00EB7FDE">
        <w:rPr>
          <w:rFonts w:ascii="Arial" w:hAnsi="Arial" w:cs="Arial"/>
          <w:szCs w:val="20"/>
        </w:rPr>
        <w:t xml:space="preserve">a flexible approach to </w:t>
      </w:r>
      <w:r w:rsidR="003E1885">
        <w:rPr>
          <w:rFonts w:ascii="Arial" w:hAnsi="Arial" w:cs="Arial"/>
          <w:szCs w:val="20"/>
        </w:rPr>
        <w:t>leadership</w:t>
      </w:r>
      <w:r w:rsidR="00EB7FDE">
        <w:rPr>
          <w:rFonts w:ascii="Arial" w:hAnsi="Arial" w:cs="Arial"/>
          <w:szCs w:val="20"/>
        </w:rPr>
        <w:t xml:space="preserve"> </w:t>
      </w:r>
      <w:r w:rsidR="003E1885">
        <w:rPr>
          <w:rFonts w:ascii="Arial" w:hAnsi="Arial" w:cs="Arial"/>
          <w:szCs w:val="20"/>
        </w:rPr>
        <w:t xml:space="preserve">that is </w:t>
      </w:r>
      <w:r w:rsidR="00EB7FDE">
        <w:rPr>
          <w:rFonts w:ascii="Arial" w:hAnsi="Arial" w:cs="Arial"/>
          <w:szCs w:val="20"/>
        </w:rPr>
        <w:t>depend</w:t>
      </w:r>
      <w:r w:rsidR="003E1885">
        <w:rPr>
          <w:rFonts w:ascii="Arial" w:hAnsi="Arial" w:cs="Arial"/>
          <w:szCs w:val="20"/>
        </w:rPr>
        <w:t>ent</w:t>
      </w:r>
      <w:r w:rsidR="00EB7FDE">
        <w:rPr>
          <w:rFonts w:ascii="Arial" w:hAnsi="Arial" w:cs="Arial"/>
          <w:szCs w:val="20"/>
        </w:rPr>
        <w:t xml:space="preserve"> on the </w:t>
      </w:r>
      <w:r w:rsidR="00040EAF">
        <w:rPr>
          <w:rFonts w:ascii="Arial" w:hAnsi="Arial" w:cs="Arial"/>
          <w:szCs w:val="20"/>
        </w:rPr>
        <w:t>cir</w:t>
      </w:r>
      <w:r w:rsidR="00F202B3">
        <w:rPr>
          <w:rFonts w:ascii="Arial" w:hAnsi="Arial" w:cs="Arial"/>
          <w:szCs w:val="20"/>
        </w:rPr>
        <w:t>cumstances at any point in time</w:t>
      </w:r>
      <w:r w:rsidR="003E1885">
        <w:rPr>
          <w:rFonts w:ascii="Arial" w:hAnsi="Arial" w:cs="Arial"/>
          <w:szCs w:val="20"/>
        </w:rPr>
        <w:t xml:space="preserve">. That is, that </w:t>
      </w:r>
      <w:r w:rsidR="00CC4372">
        <w:rPr>
          <w:rFonts w:ascii="Arial" w:hAnsi="Arial" w:cs="Arial"/>
          <w:szCs w:val="20"/>
        </w:rPr>
        <w:t>a</w:t>
      </w:r>
      <w:r w:rsidR="00F202B3">
        <w:rPr>
          <w:rFonts w:ascii="Arial" w:hAnsi="Arial" w:cs="Arial"/>
          <w:szCs w:val="20"/>
        </w:rPr>
        <w:t xml:space="preserve"> ‘one-size-fits-all’ approach to management </w:t>
      </w:r>
      <w:r w:rsidR="00CC4372">
        <w:rPr>
          <w:rFonts w:ascii="Arial" w:hAnsi="Arial" w:cs="Arial"/>
          <w:szCs w:val="20"/>
        </w:rPr>
        <w:t>is not always effective</w:t>
      </w:r>
      <w:r w:rsidR="003E1885">
        <w:rPr>
          <w:rFonts w:ascii="Arial" w:hAnsi="Arial" w:cs="Arial"/>
          <w:szCs w:val="20"/>
        </w:rPr>
        <w:t xml:space="preserve"> because of the external and internal constraints that organisations </w:t>
      </w:r>
      <w:r w:rsidR="005323B0">
        <w:rPr>
          <w:rFonts w:ascii="Arial" w:hAnsi="Arial" w:cs="Arial"/>
          <w:szCs w:val="20"/>
        </w:rPr>
        <w:t>face</w:t>
      </w:r>
      <w:r w:rsidR="00F202B3" w:rsidRPr="00C25D57">
        <w:rPr>
          <w:rFonts w:ascii="Arial" w:hAnsi="Arial" w:cs="Arial"/>
          <w:szCs w:val="20"/>
        </w:rPr>
        <w:t>.</w:t>
      </w:r>
      <w:r w:rsidR="00C25D57" w:rsidRPr="00C25D57">
        <w:rPr>
          <w:rFonts w:ascii="Arial" w:hAnsi="Arial" w:cs="Arial"/>
          <w:szCs w:val="20"/>
        </w:rPr>
        <w:t xml:space="preserve"> </w:t>
      </w:r>
      <w:r w:rsidR="001655A9" w:rsidRPr="00C25D57">
        <w:rPr>
          <w:rFonts w:ascii="Arial" w:hAnsi="Arial" w:cs="Arial"/>
          <w:szCs w:val="20"/>
        </w:rPr>
        <w:t>Barney (2016, pp72-73) suggests that contingency th</w:t>
      </w:r>
      <w:r w:rsidR="00C25D57" w:rsidRPr="00C25D57">
        <w:rPr>
          <w:rFonts w:ascii="Arial" w:hAnsi="Arial" w:cs="Arial"/>
          <w:szCs w:val="20"/>
        </w:rPr>
        <w:t>eory</w:t>
      </w:r>
      <w:r w:rsidR="001655A9" w:rsidRPr="00C25D57">
        <w:rPr>
          <w:rFonts w:ascii="Arial" w:hAnsi="Arial" w:cs="Arial"/>
          <w:szCs w:val="20"/>
        </w:rPr>
        <w:t xml:space="preserve"> aligns with both vertical and horizontal integration and that for organisations to be successful they must not only </w:t>
      </w:r>
      <w:r w:rsidR="00C25D57" w:rsidRPr="00C25D57">
        <w:rPr>
          <w:rFonts w:ascii="Arial" w:hAnsi="Arial" w:cs="Arial"/>
          <w:szCs w:val="20"/>
        </w:rPr>
        <w:t>fit</w:t>
      </w:r>
      <w:r w:rsidR="001655A9" w:rsidRPr="00C25D57">
        <w:rPr>
          <w:rFonts w:ascii="Arial" w:hAnsi="Arial" w:cs="Arial"/>
        </w:rPr>
        <w:t xml:space="preserve"> HR practice to business context but </w:t>
      </w:r>
      <w:r w:rsidR="00C25D57" w:rsidRPr="00C25D57">
        <w:rPr>
          <w:rFonts w:ascii="Arial" w:hAnsi="Arial" w:cs="Arial"/>
        </w:rPr>
        <w:t>also ensure that HR practice is consistent across the organisation.</w:t>
      </w:r>
      <w:r w:rsidR="001655A9" w:rsidRPr="00C25D57">
        <w:rPr>
          <w:rFonts w:ascii="Arial" w:hAnsi="Arial" w:cs="Arial"/>
        </w:rPr>
        <w:t xml:space="preserve"> </w:t>
      </w:r>
    </w:p>
    <w:p w:rsidR="001655A9" w:rsidRDefault="001655A9" w:rsidP="00256399">
      <w:pPr>
        <w:spacing w:after="0"/>
        <w:contextualSpacing/>
        <w:rPr>
          <w:rFonts w:ascii="Arial" w:hAnsi="Arial" w:cs="Arial"/>
          <w:color w:val="FF0000"/>
          <w:szCs w:val="20"/>
        </w:rPr>
      </w:pPr>
    </w:p>
    <w:p w:rsidR="001655A9" w:rsidRPr="003E1885" w:rsidRDefault="001655A9" w:rsidP="00256399">
      <w:pPr>
        <w:spacing w:after="0"/>
        <w:contextualSpacing/>
        <w:rPr>
          <w:rFonts w:ascii="Arial" w:hAnsi="Arial" w:cs="Arial"/>
          <w:szCs w:val="20"/>
        </w:rPr>
      </w:pPr>
      <w:r>
        <w:rPr>
          <w:rFonts w:ascii="Arial" w:hAnsi="Arial" w:cs="Arial"/>
          <w:szCs w:val="20"/>
        </w:rPr>
        <w:t xml:space="preserve">Resource-based thinking is an alternative </w:t>
      </w:r>
      <w:r w:rsidR="00974ACA">
        <w:rPr>
          <w:rFonts w:ascii="Arial" w:hAnsi="Arial" w:cs="Arial"/>
          <w:szCs w:val="20"/>
        </w:rPr>
        <w:t>theory</w:t>
      </w:r>
      <w:r>
        <w:rPr>
          <w:rFonts w:ascii="Arial" w:hAnsi="Arial" w:cs="Arial"/>
          <w:szCs w:val="20"/>
        </w:rPr>
        <w:t xml:space="preserve"> to </w:t>
      </w:r>
      <w:r w:rsidR="00C25D57">
        <w:rPr>
          <w:rFonts w:ascii="Arial" w:hAnsi="Arial" w:cs="Arial"/>
          <w:szCs w:val="20"/>
        </w:rPr>
        <w:t>contingency thinking</w:t>
      </w:r>
      <w:r>
        <w:rPr>
          <w:rFonts w:ascii="Arial" w:hAnsi="Arial" w:cs="Arial"/>
          <w:szCs w:val="20"/>
        </w:rPr>
        <w:t>. Resource-based t</w:t>
      </w:r>
      <w:r w:rsidR="00974ACA">
        <w:rPr>
          <w:rFonts w:ascii="Arial" w:hAnsi="Arial" w:cs="Arial"/>
          <w:szCs w:val="20"/>
        </w:rPr>
        <w:t xml:space="preserve">akes an </w:t>
      </w:r>
      <w:r>
        <w:rPr>
          <w:rFonts w:ascii="Arial" w:hAnsi="Arial" w:cs="Arial"/>
          <w:szCs w:val="20"/>
        </w:rPr>
        <w:t xml:space="preserve">internal </w:t>
      </w:r>
      <w:r w:rsidR="00974ACA">
        <w:rPr>
          <w:rFonts w:ascii="Arial" w:hAnsi="Arial" w:cs="Arial"/>
          <w:szCs w:val="20"/>
        </w:rPr>
        <w:t>view on strategy formation. This approach</w:t>
      </w:r>
      <w:r w:rsidR="00F83F14">
        <w:rPr>
          <w:rFonts w:ascii="Arial" w:hAnsi="Arial" w:cs="Arial"/>
          <w:szCs w:val="20"/>
        </w:rPr>
        <w:t xml:space="preserve"> advocates a</w:t>
      </w:r>
      <w:r w:rsidR="00974ACA">
        <w:rPr>
          <w:rFonts w:ascii="Arial" w:hAnsi="Arial" w:cs="Arial"/>
          <w:szCs w:val="20"/>
        </w:rPr>
        <w:t xml:space="preserve"> focus on key </w:t>
      </w:r>
      <w:r w:rsidR="00F83F14">
        <w:rPr>
          <w:rFonts w:ascii="Arial" w:hAnsi="Arial" w:cs="Arial"/>
          <w:szCs w:val="20"/>
        </w:rPr>
        <w:t>c</w:t>
      </w:r>
      <w:r w:rsidR="00974ACA">
        <w:rPr>
          <w:rFonts w:ascii="Arial" w:hAnsi="Arial" w:cs="Arial"/>
          <w:szCs w:val="20"/>
        </w:rPr>
        <w:t xml:space="preserve">ompetitive strengths within the organisation, not just in terms of its workforce but also in terms of its branding, </w:t>
      </w:r>
      <w:r w:rsidR="00F83F14">
        <w:rPr>
          <w:rFonts w:ascii="Arial" w:hAnsi="Arial" w:cs="Arial"/>
          <w:szCs w:val="20"/>
        </w:rPr>
        <w:t>skills</w:t>
      </w:r>
      <w:r w:rsidR="00974ACA">
        <w:rPr>
          <w:rFonts w:ascii="Arial" w:hAnsi="Arial" w:cs="Arial"/>
          <w:szCs w:val="20"/>
        </w:rPr>
        <w:t xml:space="preserve"> and tangible assets.</w:t>
      </w:r>
      <w:r w:rsidR="00F83F14">
        <w:rPr>
          <w:rFonts w:ascii="Arial" w:hAnsi="Arial" w:cs="Arial"/>
          <w:szCs w:val="20"/>
        </w:rPr>
        <w:t xml:space="preserve"> </w:t>
      </w:r>
      <w:r w:rsidR="00974ACA">
        <w:rPr>
          <w:rFonts w:ascii="Arial" w:hAnsi="Arial" w:cs="Arial"/>
          <w:szCs w:val="20"/>
        </w:rPr>
        <w:t>(</w:t>
      </w:r>
      <w:r w:rsidR="00F83F14">
        <w:rPr>
          <w:rFonts w:ascii="Arial" w:hAnsi="Arial" w:cs="Arial"/>
          <w:szCs w:val="20"/>
        </w:rPr>
        <w:t>Taylor and Wilkinson, 2016e, p62). Resource-based thinking focuses management attention on their unique internal strengths and the opportunities</w:t>
      </w:r>
      <w:r w:rsidR="006A5832">
        <w:rPr>
          <w:rFonts w:ascii="Arial" w:hAnsi="Arial" w:cs="Arial"/>
          <w:szCs w:val="20"/>
        </w:rPr>
        <w:t xml:space="preserve"> for them</w:t>
      </w:r>
      <w:r w:rsidR="00F83F14">
        <w:rPr>
          <w:rFonts w:ascii="Arial" w:hAnsi="Arial" w:cs="Arial"/>
          <w:szCs w:val="20"/>
        </w:rPr>
        <w:t xml:space="preserve"> to exploit these to their competitive advantage. </w:t>
      </w:r>
      <w:r w:rsidR="006A5832">
        <w:rPr>
          <w:rFonts w:ascii="Arial" w:hAnsi="Arial" w:cs="Arial"/>
          <w:szCs w:val="20"/>
        </w:rPr>
        <w:t>These strengths may be difficult to define in a tangible way, such as the culture of an organisation, its reputation as an employer of choice or its relationship with its customers.</w:t>
      </w:r>
    </w:p>
    <w:p w:rsidR="00256399" w:rsidRDefault="00256399" w:rsidP="00256399">
      <w:pPr>
        <w:spacing w:after="0"/>
        <w:contextualSpacing/>
        <w:rPr>
          <w:rFonts w:ascii="Arial" w:hAnsi="Arial" w:cs="Arial"/>
          <w:b/>
        </w:rPr>
      </w:pPr>
    </w:p>
    <w:p w:rsidR="001655A9" w:rsidRPr="002045F3" w:rsidRDefault="001655A9" w:rsidP="00256399">
      <w:pPr>
        <w:spacing w:after="0"/>
        <w:contextualSpacing/>
        <w:rPr>
          <w:rFonts w:ascii="Arial" w:hAnsi="Arial" w:cs="Arial"/>
          <w:b/>
        </w:rPr>
      </w:pPr>
      <w:r>
        <w:rPr>
          <w:rFonts w:ascii="Arial" w:hAnsi="Arial" w:cs="Arial"/>
          <w:b/>
        </w:rPr>
        <w:t>Conclusion</w:t>
      </w:r>
    </w:p>
    <w:p w:rsidR="006A5832" w:rsidRPr="002463C5" w:rsidRDefault="006A5832" w:rsidP="00256399">
      <w:pPr>
        <w:spacing w:after="0"/>
        <w:contextualSpacing/>
        <w:rPr>
          <w:rFonts w:ascii="Arial" w:hAnsi="Arial" w:cs="Arial"/>
          <w:szCs w:val="20"/>
        </w:rPr>
      </w:pPr>
      <w:r w:rsidRPr="002463C5">
        <w:rPr>
          <w:rFonts w:ascii="Arial" w:hAnsi="Arial" w:cs="Arial"/>
          <w:szCs w:val="20"/>
        </w:rPr>
        <w:t xml:space="preserve">Organisational factors, such as the type of business, can impact on the human resources function within organisations, for example between public and third sector organisation as explored in this report. </w:t>
      </w:r>
      <w:r w:rsidR="00137393" w:rsidRPr="002463C5">
        <w:rPr>
          <w:rFonts w:ascii="Arial" w:hAnsi="Arial" w:cs="Arial"/>
          <w:szCs w:val="20"/>
        </w:rPr>
        <w:t xml:space="preserve">HR has a higher profile within public and private sector organisations than it does in third sector organisation. </w:t>
      </w:r>
      <w:r w:rsidRPr="002463C5">
        <w:rPr>
          <w:rFonts w:ascii="Arial" w:hAnsi="Arial" w:cs="Arial"/>
          <w:szCs w:val="20"/>
        </w:rPr>
        <w:t>Size, funding</w:t>
      </w:r>
      <w:r w:rsidR="00137393" w:rsidRPr="002463C5">
        <w:rPr>
          <w:rFonts w:ascii="Arial" w:hAnsi="Arial" w:cs="Arial"/>
          <w:szCs w:val="20"/>
        </w:rPr>
        <w:t>,</w:t>
      </w:r>
      <w:r w:rsidRPr="002463C5">
        <w:rPr>
          <w:rFonts w:ascii="Arial" w:hAnsi="Arial" w:cs="Arial"/>
          <w:szCs w:val="20"/>
        </w:rPr>
        <w:t xml:space="preserve"> regulatory requirements </w:t>
      </w:r>
      <w:r w:rsidR="00137393" w:rsidRPr="002463C5">
        <w:rPr>
          <w:rFonts w:ascii="Arial" w:hAnsi="Arial" w:cs="Arial"/>
          <w:szCs w:val="20"/>
        </w:rPr>
        <w:t>and a competitive market are key factors influencing the structure and position of HR within organisations</w:t>
      </w:r>
      <w:r w:rsidRPr="002463C5">
        <w:rPr>
          <w:rFonts w:ascii="Arial" w:hAnsi="Arial" w:cs="Arial"/>
          <w:szCs w:val="20"/>
        </w:rPr>
        <w:t>.</w:t>
      </w:r>
    </w:p>
    <w:p w:rsidR="006A5832" w:rsidRPr="002463C5" w:rsidRDefault="006A5832" w:rsidP="00256399">
      <w:pPr>
        <w:spacing w:after="0"/>
        <w:contextualSpacing/>
        <w:rPr>
          <w:rFonts w:ascii="Arial" w:hAnsi="Arial" w:cs="Arial"/>
          <w:szCs w:val="20"/>
        </w:rPr>
      </w:pPr>
      <w:r w:rsidRPr="002463C5">
        <w:rPr>
          <w:rFonts w:ascii="Arial" w:hAnsi="Arial" w:cs="Arial"/>
          <w:szCs w:val="20"/>
        </w:rPr>
        <w:t xml:space="preserve"> </w:t>
      </w:r>
    </w:p>
    <w:p w:rsidR="007060CF" w:rsidRDefault="00137393" w:rsidP="00256399">
      <w:pPr>
        <w:spacing w:after="0"/>
        <w:contextualSpacing/>
        <w:rPr>
          <w:rFonts w:ascii="Arial" w:hAnsi="Arial" w:cs="Arial"/>
          <w:b/>
          <w:szCs w:val="20"/>
        </w:rPr>
      </w:pPr>
      <w:r w:rsidRPr="002463C5">
        <w:rPr>
          <w:rFonts w:ascii="Arial" w:hAnsi="Arial" w:cs="Arial"/>
          <w:szCs w:val="20"/>
        </w:rPr>
        <w:t xml:space="preserve">This in turn often reflects the influence that HR has on the contribution to strategy development within an organisation and the extent to which the organisation’s workforce feature as a key </w:t>
      </w:r>
      <w:r w:rsidR="002463C5" w:rsidRPr="002463C5">
        <w:rPr>
          <w:rFonts w:ascii="Arial" w:hAnsi="Arial" w:cs="Arial"/>
          <w:szCs w:val="20"/>
        </w:rPr>
        <w:t>enabler</w:t>
      </w:r>
      <w:r w:rsidRPr="002463C5">
        <w:rPr>
          <w:rFonts w:ascii="Arial" w:hAnsi="Arial" w:cs="Arial"/>
          <w:szCs w:val="20"/>
        </w:rPr>
        <w:t xml:space="preserve"> to delivery. </w:t>
      </w:r>
    </w:p>
    <w:p w:rsidR="002463C5" w:rsidRPr="002463C5" w:rsidRDefault="002463C5" w:rsidP="002463C5">
      <w:pPr>
        <w:spacing w:after="0"/>
        <w:contextualSpacing/>
        <w:rPr>
          <w:rFonts w:ascii="Arial" w:hAnsi="Arial" w:cs="Arial"/>
          <w:b/>
          <w:szCs w:val="20"/>
        </w:rPr>
      </w:pPr>
    </w:p>
    <w:p w:rsidR="00824614" w:rsidRDefault="00824614" w:rsidP="00256399">
      <w:pPr>
        <w:spacing w:after="0"/>
        <w:contextualSpacing/>
        <w:rPr>
          <w:rFonts w:ascii="Arial" w:hAnsi="Arial" w:cs="Arial"/>
        </w:rPr>
      </w:pPr>
      <w:bookmarkStart w:id="0" w:name="_GoBack"/>
      <w:bookmarkEnd w:id="0"/>
    </w:p>
    <w:p w:rsidR="00824614" w:rsidRPr="004C6A6F" w:rsidRDefault="00824614" w:rsidP="00824614">
      <w:pPr>
        <w:spacing w:after="0"/>
        <w:contextualSpacing/>
        <w:rPr>
          <w:rFonts w:ascii="Arial" w:hAnsi="Arial" w:cs="Arial"/>
          <w:b/>
          <w:u w:val="single"/>
        </w:rPr>
      </w:pPr>
      <w:r w:rsidRPr="004C6A6F">
        <w:rPr>
          <w:rFonts w:ascii="Arial" w:hAnsi="Arial" w:cs="Arial"/>
          <w:b/>
          <w:u w:val="single"/>
        </w:rPr>
        <w:t>Introduction</w:t>
      </w:r>
    </w:p>
    <w:p w:rsidR="00824614" w:rsidRDefault="00824614" w:rsidP="00824614">
      <w:pPr>
        <w:spacing w:after="0"/>
        <w:contextualSpacing/>
        <w:rPr>
          <w:rFonts w:ascii="Arial" w:hAnsi="Arial" w:cs="Arial"/>
        </w:rPr>
      </w:pPr>
      <w:r>
        <w:rPr>
          <w:rFonts w:ascii="Arial" w:hAnsi="Arial" w:cs="Arial"/>
        </w:rPr>
        <w:t>This report explains the PESTLE and SWOT analysis techniques and how external factors impact on the business of Hywel Dda Health Board, including the HR function.</w:t>
      </w:r>
    </w:p>
    <w:p w:rsidR="00824614" w:rsidRDefault="00824614" w:rsidP="00824614">
      <w:pPr>
        <w:spacing w:after="0"/>
        <w:contextualSpacing/>
        <w:rPr>
          <w:rFonts w:ascii="Arial" w:hAnsi="Arial" w:cs="Arial"/>
        </w:rPr>
      </w:pPr>
    </w:p>
    <w:p w:rsidR="00824614" w:rsidRPr="004C6A6F" w:rsidRDefault="00824614" w:rsidP="00824614">
      <w:pPr>
        <w:spacing w:after="0"/>
        <w:contextualSpacing/>
        <w:rPr>
          <w:rFonts w:ascii="Arial" w:hAnsi="Arial" w:cs="Arial"/>
          <w:b/>
          <w:u w:val="single"/>
        </w:rPr>
      </w:pPr>
      <w:r w:rsidRPr="004C6A6F">
        <w:rPr>
          <w:rFonts w:ascii="Arial" w:hAnsi="Arial" w:cs="Arial"/>
          <w:b/>
          <w:u w:val="single"/>
        </w:rPr>
        <w:t>PESTLE</w:t>
      </w:r>
    </w:p>
    <w:p w:rsidR="00824614" w:rsidRDefault="00824614" w:rsidP="00824614">
      <w:pPr>
        <w:spacing w:after="0"/>
        <w:contextualSpacing/>
        <w:rPr>
          <w:rFonts w:ascii="Arial" w:hAnsi="Arial" w:cs="Arial"/>
        </w:rPr>
      </w:pPr>
      <w:r>
        <w:rPr>
          <w:rFonts w:ascii="Arial" w:hAnsi="Arial" w:cs="Arial"/>
        </w:rPr>
        <w:t>PESTLE is a tool for helping to identify external factors affecting an organisation.</w:t>
      </w:r>
      <w:r w:rsidRPr="00C96CF3">
        <w:rPr>
          <w:rFonts w:ascii="Arial" w:hAnsi="Arial" w:cs="Arial"/>
        </w:rPr>
        <w:t xml:space="preserve"> </w:t>
      </w:r>
      <w:r>
        <w:rPr>
          <w:rFonts w:ascii="Arial" w:hAnsi="Arial" w:cs="Arial"/>
        </w:rPr>
        <w:t xml:space="preserve">(CIPD, 2020a).  PESTLE analysis considers the following six factors: </w:t>
      </w:r>
    </w:p>
    <w:p w:rsidR="00824614" w:rsidRDefault="00824614" w:rsidP="00824614">
      <w:pPr>
        <w:pStyle w:val="ListParagraph"/>
        <w:numPr>
          <w:ilvl w:val="0"/>
          <w:numId w:val="11"/>
        </w:numPr>
        <w:spacing w:after="0"/>
        <w:rPr>
          <w:rFonts w:ascii="Arial" w:hAnsi="Arial" w:cs="Arial"/>
        </w:rPr>
      </w:pPr>
      <w:r w:rsidRPr="00C96CF3">
        <w:rPr>
          <w:rFonts w:ascii="Arial" w:hAnsi="Arial" w:cs="Arial"/>
          <w:b/>
        </w:rPr>
        <w:t>Political</w:t>
      </w:r>
      <w:r>
        <w:rPr>
          <w:rFonts w:ascii="Arial" w:hAnsi="Arial" w:cs="Arial"/>
        </w:rPr>
        <w:t xml:space="preserve"> – policy, strategy, targets;</w:t>
      </w:r>
    </w:p>
    <w:p w:rsidR="00824614" w:rsidRDefault="00824614" w:rsidP="00824614">
      <w:pPr>
        <w:pStyle w:val="ListParagraph"/>
        <w:numPr>
          <w:ilvl w:val="0"/>
          <w:numId w:val="11"/>
        </w:numPr>
        <w:spacing w:after="0"/>
        <w:rPr>
          <w:rFonts w:ascii="Arial" w:hAnsi="Arial" w:cs="Arial"/>
        </w:rPr>
      </w:pPr>
      <w:r w:rsidRPr="00A80D5C">
        <w:rPr>
          <w:rFonts w:ascii="Arial" w:hAnsi="Arial" w:cs="Arial"/>
          <w:b/>
        </w:rPr>
        <w:t>Economic</w:t>
      </w:r>
      <w:r w:rsidRPr="00A80D5C">
        <w:rPr>
          <w:rFonts w:ascii="Arial" w:hAnsi="Arial" w:cs="Arial"/>
        </w:rPr>
        <w:t xml:space="preserve"> – finances, sustainability, market</w:t>
      </w:r>
      <w:r>
        <w:rPr>
          <w:rFonts w:ascii="Arial" w:hAnsi="Arial" w:cs="Arial"/>
        </w:rPr>
        <w:t>;</w:t>
      </w:r>
    </w:p>
    <w:p w:rsidR="00824614" w:rsidRPr="00A80D5C" w:rsidRDefault="00824614" w:rsidP="00824614">
      <w:pPr>
        <w:pStyle w:val="ListParagraph"/>
        <w:numPr>
          <w:ilvl w:val="0"/>
          <w:numId w:val="11"/>
        </w:numPr>
        <w:spacing w:after="0"/>
        <w:rPr>
          <w:rFonts w:ascii="Arial" w:hAnsi="Arial" w:cs="Arial"/>
        </w:rPr>
      </w:pPr>
      <w:r w:rsidRPr="00A80D5C">
        <w:rPr>
          <w:rFonts w:ascii="Arial" w:hAnsi="Arial" w:cs="Arial"/>
          <w:b/>
        </w:rPr>
        <w:t>Social</w:t>
      </w:r>
      <w:r w:rsidRPr="00A80D5C">
        <w:rPr>
          <w:rFonts w:ascii="Arial" w:hAnsi="Arial" w:cs="Arial"/>
        </w:rPr>
        <w:t xml:space="preserve"> – population demographics, </w:t>
      </w:r>
      <w:r>
        <w:rPr>
          <w:rFonts w:ascii="Arial" w:hAnsi="Arial" w:cs="Arial"/>
        </w:rPr>
        <w:t>pati</w:t>
      </w:r>
      <w:r w:rsidRPr="00A80D5C">
        <w:rPr>
          <w:rFonts w:ascii="Arial" w:hAnsi="Arial" w:cs="Arial"/>
        </w:rPr>
        <w:t>ent expectations, geography, culture</w:t>
      </w:r>
      <w:r>
        <w:rPr>
          <w:rFonts w:ascii="Arial" w:hAnsi="Arial" w:cs="Arial"/>
        </w:rPr>
        <w:t>;</w:t>
      </w:r>
    </w:p>
    <w:p w:rsidR="00824614" w:rsidRDefault="00824614" w:rsidP="00824614">
      <w:pPr>
        <w:pStyle w:val="ListParagraph"/>
        <w:numPr>
          <w:ilvl w:val="0"/>
          <w:numId w:val="11"/>
        </w:numPr>
        <w:spacing w:after="0"/>
        <w:rPr>
          <w:rFonts w:ascii="Arial" w:hAnsi="Arial" w:cs="Arial"/>
        </w:rPr>
      </w:pPr>
      <w:r w:rsidRPr="00C96CF3">
        <w:rPr>
          <w:rFonts w:ascii="Arial" w:hAnsi="Arial" w:cs="Arial"/>
          <w:b/>
        </w:rPr>
        <w:lastRenderedPageBreak/>
        <w:t>Technology</w:t>
      </w:r>
      <w:r>
        <w:rPr>
          <w:rFonts w:ascii="Arial" w:hAnsi="Arial" w:cs="Arial"/>
        </w:rPr>
        <w:t xml:space="preserve"> – IT infrastructure and software, advances in technology, advances in clinical techniques, equipment;</w:t>
      </w:r>
    </w:p>
    <w:p w:rsidR="00824614" w:rsidRDefault="00824614" w:rsidP="00824614">
      <w:pPr>
        <w:pStyle w:val="ListParagraph"/>
        <w:numPr>
          <w:ilvl w:val="0"/>
          <w:numId w:val="11"/>
        </w:numPr>
        <w:spacing w:after="0"/>
        <w:rPr>
          <w:rFonts w:ascii="Arial" w:hAnsi="Arial" w:cs="Arial"/>
        </w:rPr>
      </w:pPr>
      <w:r w:rsidRPr="00C96CF3">
        <w:rPr>
          <w:rFonts w:ascii="Arial" w:hAnsi="Arial" w:cs="Arial"/>
          <w:b/>
        </w:rPr>
        <w:t>Legal</w:t>
      </w:r>
      <w:r>
        <w:rPr>
          <w:rFonts w:ascii="Arial" w:hAnsi="Arial" w:cs="Arial"/>
        </w:rPr>
        <w:t xml:space="preserve"> – legislation, regulations, litigation; and</w:t>
      </w:r>
    </w:p>
    <w:p w:rsidR="00824614" w:rsidRDefault="00824614" w:rsidP="00824614">
      <w:pPr>
        <w:pStyle w:val="ListParagraph"/>
        <w:numPr>
          <w:ilvl w:val="0"/>
          <w:numId w:val="11"/>
        </w:numPr>
        <w:spacing w:after="0"/>
        <w:rPr>
          <w:rFonts w:ascii="Arial" w:hAnsi="Arial" w:cs="Arial"/>
        </w:rPr>
      </w:pPr>
      <w:r w:rsidRPr="00C96CF3">
        <w:rPr>
          <w:rFonts w:ascii="Arial" w:hAnsi="Arial" w:cs="Arial"/>
          <w:b/>
        </w:rPr>
        <w:t>Environmental</w:t>
      </w:r>
      <w:r>
        <w:rPr>
          <w:rFonts w:ascii="Arial" w:hAnsi="Arial" w:cs="Arial"/>
        </w:rPr>
        <w:t xml:space="preserve"> – estate, carbon footprint, access.</w:t>
      </w:r>
    </w:p>
    <w:p w:rsidR="00824614" w:rsidRDefault="00824614" w:rsidP="00824614">
      <w:pPr>
        <w:spacing w:after="0"/>
        <w:contextualSpacing/>
      </w:pPr>
    </w:p>
    <w:p w:rsidR="00824614" w:rsidRPr="00C96CF3" w:rsidRDefault="00824614" w:rsidP="00824614">
      <w:pPr>
        <w:spacing w:after="0"/>
        <w:contextualSpacing/>
        <w:rPr>
          <w:rFonts w:ascii="Arial" w:hAnsi="Arial" w:cs="Arial"/>
          <w:b/>
          <w:u w:val="single"/>
        </w:rPr>
      </w:pPr>
      <w:r w:rsidRPr="00C96CF3">
        <w:rPr>
          <w:rFonts w:ascii="Arial" w:hAnsi="Arial" w:cs="Arial"/>
          <w:b/>
          <w:u w:val="single"/>
        </w:rPr>
        <w:t>SWOT</w:t>
      </w:r>
    </w:p>
    <w:p w:rsidR="00824614" w:rsidRPr="008407AC" w:rsidRDefault="00824614" w:rsidP="00824614">
      <w:pPr>
        <w:spacing w:after="0"/>
        <w:contextualSpacing/>
        <w:rPr>
          <w:rFonts w:ascii="Arial" w:hAnsi="Arial" w:cs="Arial"/>
        </w:rPr>
      </w:pPr>
      <w:r w:rsidRPr="008407AC">
        <w:rPr>
          <w:rFonts w:ascii="Arial" w:hAnsi="Arial" w:cs="Arial"/>
        </w:rPr>
        <w:t>A SWOT analysis is a tool for identifying the strengths, weaknesses, opportunities and threats that affect the organisation. (CIPD, 2020b)</w:t>
      </w:r>
    </w:p>
    <w:p w:rsidR="00824614" w:rsidRPr="008407AC" w:rsidRDefault="00824614" w:rsidP="00824614">
      <w:pPr>
        <w:pStyle w:val="ListParagraph"/>
        <w:numPr>
          <w:ilvl w:val="0"/>
          <w:numId w:val="12"/>
        </w:numPr>
        <w:shd w:val="clear" w:color="auto" w:fill="FFFFFF"/>
        <w:spacing w:after="0"/>
        <w:ind w:left="714" w:hanging="357"/>
        <w:rPr>
          <w:rFonts w:ascii="Arial" w:eastAsia="Times New Roman" w:hAnsi="Arial" w:cs="Arial"/>
          <w:lang w:eastAsia="en-GB"/>
        </w:rPr>
      </w:pPr>
      <w:r w:rsidRPr="008407AC">
        <w:rPr>
          <w:rFonts w:ascii="Arial" w:eastAsia="Times New Roman" w:hAnsi="Arial" w:cs="Arial"/>
          <w:b/>
          <w:bCs/>
          <w:lang w:eastAsia="en-GB"/>
        </w:rPr>
        <w:t>Strengths</w:t>
      </w:r>
      <w:r w:rsidRPr="008407AC">
        <w:rPr>
          <w:rFonts w:ascii="Arial" w:eastAsia="Times New Roman" w:hAnsi="Arial" w:cs="Arial"/>
          <w:lang w:eastAsia="en-GB"/>
        </w:rPr>
        <w:t xml:space="preserve"> – positive attributes internal to the organisation that are within your control.</w:t>
      </w:r>
    </w:p>
    <w:p w:rsidR="00824614" w:rsidRPr="008407AC" w:rsidRDefault="00824614" w:rsidP="00824614">
      <w:pPr>
        <w:pStyle w:val="ListParagraph"/>
        <w:numPr>
          <w:ilvl w:val="0"/>
          <w:numId w:val="12"/>
        </w:numPr>
        <w:shd w:val="clear" w:color="auto" w:fill="FFFFFF"/>
        <w:spacing w:after="0"/>
        <w:ind w:left="714" w:hanging="357"/>
        <w:rPr>
          <w:rFonts w:ascii="Arial" w:eastAsia="Times New Roman" w:hAnsi="Arial" w:cs="Arial"/>
          <w:lang w:eastAsia="en-GB"/>
        </w:rPr>
      </w:pPr>
      <w:r w:rsidRPr="008407AC">
        <w:rPr>
          <w:rFonts w:ascii="Arial" w:eastAsia="Times New Roman" w:hAnsi="Arial" w:cs="Arial"/>
          <w:b/>
          <w:bCs/>
          <w:lang w:eastAsia="en-GB"/>
        </w:rPr>
        <w:t>Weaknesses</w:t>
      </w:r>
      <w:r w:rsidRPr="008407AC">
        <w:rPr>
          <w:rFonts w:ascii="Arial" w:eastAsia="Times New Roman" w:hAnsi="Arial" w:cs="Arial"/>
          <w:lang w:eastAsia="en-GB"/>
        </w:rPr>
        <w:t xml:space="preserve"> – internal factors within your control that may impede your ability to meet your objectives.</w:t>
      </w:r>
    </w:p>
    <w:p w:rsidR="00824614" w:rsidRPr="008407AC" w:rsidRDefault="00824614" w:rsidP="00824614">
      <w:pPr>
        <w:pStyle w:val="ListParagraph"/>
        <w:numPr>
          <w:ilvl w:val="0"/>
          <w:numId w:val="12"/>
        </w:numPr>
        <w:shd w:val="clear" w:color="auto" w:fill="FFFFFF"/>
        <w:spacing w:after="0"/>
        <w:ind w:left="714" w:hanging="357"/>
        <w:rPr>
          <w:rFonts w:ascii="Arial" w:eastAsia="Times New Roman" w:hAnsi="Arial" w:cs="Arial"/>
          <w:lang w:eastAsia="en-GB"/>
        </w:rPr>
      </w:pPr>
      <w:r w:rsidRPr="008407AC">
        <w:rPr>
          <w:rFonts w:ascii="Arial" w:eastAsia="Times New Roman" w:hAnsi="Arial" w:cs="Arial"/>
          <w:b/>
          <w:bCs/>
          <w:lang w:eastAsia="en-GB"/>
        </w:rPr>
        <w:t>Opportunities</w:t>
      </w:r>
      <w:r w:rsidRPr="008407AC">
        <w:rPr>
          <w:rFonts w:ascii="Arial" w:eastAsia="Times New Roman" w:hAnsi="Arial" w:cs="Arial"/>
          <w:lang w:eastAsia="en-GB"/>
        </w:rPr>
        <w:t xml:space="preserve"> – external factors that the organisation should (or could) develop.</w:t>
      </w:r>
    </w:p>
    <w:p w:rsidR="00824614" w:rsidRPr="008407AC" w:rsidRDefault="00824614" w:rsidP="00824614">
      <w:pPr>
        <w:pStyle w:val="ListParagraph"/>
        <w:numPr>
          <w:ilvl w:val="0"/>
          <w:numId w:val="12"/>
        </w:numPr>
        <w:shd w:val="clear" w:color="auto" w:fill="FFFFFF"/>
        <w:spacing w:after="0"/>
        <w:ind w:left="714" w:hanging="357"/>
        <w:rPr>
          <w:rFonts w:ascii="Arial" w:eastAsia="Times New Roman" w:hAnsi="Arial" w:cs="Arial"/>
          <w:lang w:eastAsia="en-GB"/>
        </w:rPr>
      </w:pPr>
      <w:r w:rsidRPr="008407AC">
        <w:rPr>
          <w:rFonts w:ascii="Arial" w:eastAsia="Times New Roman" w:hAnsi="Arial" w:cs="Arial"/>
          <w:b/>
          <w:bCs/>
          <w:lang w:eastAsia="en-GB"/>
        </w:rPr>
        <w:t>Threats</w:t>
      </w:r>
      <w:r w:rsidRPr="008407AC">
        <w:rPr>
          <w:rFonts w:ascii="Arial" w:eastAsia="Times New Roman" w:hAnsi="Arial" w:cs="Arial"/>
          <w:lang w:eastAsia="en-GB"/>
        </w:rPr>
        <w:t xml:space="preserve"> – external factors beyond your control that could place the organisation at risk.</w:t>
      </w:r>
    </w:p>
    <w:p w:rsidR="00824614" w:rsidRPr="00C96CF3" w:rsidRDefault="00824614" w:rsidP="00824614">
      <w:pPr>
        <w:spacing w:after="0"/>
        <w:contextualSpacing/>
        <w:rPr>
          <w:rFonts w:ascii="Arial" w:hAnsi="Arial" w:cs="Arial"/>
        </w:rPr>
      </w:pPr>
    </w:p>
    <w:p w:rsidR="00824614" w:rsidRPr="001076FE" w:rsidRDefault="00824614" w:rsidP="00824614">
      <w:pPr>
        <w:spacing w:after="0"/>
        <w:contextualSpacing/>
        <w:rPr>
          <w:rFonts w:ascii="Arial" w:hAnsi="Arial" w:cs="Arial"/>
          <w:b/>
          <w:u w:val="single"/>
        </w:rPr>
      </w:pPr>
      <w:r w:rsidRPr="001076FE">
        <w:rPr>
          <w:rFonts w:ascii="Arial" w:hAnsi="Arial" w:cs="Arial"/>
          <w:b/>
          <w:u w:val="single"/>
        </w:rPr>
        <w:t>External Factors impacting on Hywel Dda University Health Board</w:t>
      </w:r>
    </w:p>
    <w:p w:rsidR="00824614" w:rsidRDefault="00824614" w:rsidP="00824614">
      <w:pPr>
        <w:spacing w:after="0"/>
        <w:contextualSpacing/>
        <w:rPr>
          <w:rFonts w:ascii="Arial" w:hAnsi="Arial" w:cs="Arial"/>
        </w:rPr>
      </w:pPr>
      <w:r>
        <w:rPr>
          <w:rFonts w:ascii="Arial" w:hAnsi="Arial" w:cs="Arial"/>
        </w:rPr>
        <w:t>The PESTLE and SWOT analysis has highlighted a number of key external factors that impact on Hywel Dda Health Board, and specifically on the HR function.</w:t>
      </w:r>
    </w:p>
    <w:p w:rsidR="00824614" w:rsidRDefault="00824614" w:rsidP="00824614">
      <w:pPr>
        <w:spacing w:after="0"/>
        <w:contextualSpacing/>
        <w:rPr>
          <w:rFonts w:ascii="Arial" w:hAnsi="Arial" w:cs="Arial"/>
        </w:rPr>
      </w:pPr>
    </w:p>
    <w:p w:rsidR="00824614" w:rsidRDefault="00824614" w:rsidP="00824614">
      <w:pPr>
        <w:spacing w:after="0"/>
        <w:contextualSpacing/>
        <w:rPr>
          <w:rFonts w:ascii="Arial" w:hAnsi="Arial" w:cs="Arial"/>
        </w:rPr>
      </w:pPr>
      <w:r>
        <w:rPr>
          <w:rFonts w:ascii="Arial" w:hAnsi="Arial" w:cs="Arial"/>
        </w:rPr>
        <w:t>The most current issue is the COVID-19 global pandemic. The pandemic has put extreme pressure on the Health Board; demand has been unprecedented and this has been further exacerbated by staff absences as a result of sickness, shielding or self-isolation.</w:t>
      </w:r>
    </w:p>
    <w:p w:rsidR="00824614" w:rsidRDefault="00824614" w:rsidP="00824614">
      <w:pPr>
        <w:spacing w:after="0"/>
        <w:contextualSpacing/>
        <w:rPr>
          <w:rFonts w:ascii="Arial" w:hAnsi="Arial" w:cs="Arial"/>
        </w:rPr>
      </w:pPr>
    </w:p>
    <w:p w:rsidR="00824614" w:rsidRDefault="00824614" w:rsidP="00824614">
      <w:pPr>
        <w:spacing w:after="0"/>
        <w:contextualSpacing/>
        <w:rPr>
          <w:rFonts w:ascii="Arial" w:hAnsi="Arial" w:cs="Arial"/>
        </w:rPr>
      </w:pPr>
      <w:r>
        <w:rPr>
          <w:rFonts w:ascii="Arial" w:hAnsi="Arial" w:cs="Arial"/>
        </w:rPr>
        <w:t>In March 2020, the Health Board initiated a mass recruitment exercise for nursing and facilities staff to ensure that they could meet the additional anticipated service demand. Due to the volume of vacancies and applications, HR needed to make swift changes to their recruitment and on-boarding processes:</w:t>
      </w:r>
    </w:p>
    <w:p w:rsidR="00824614" w:rsidRDefault="00824614" w:rsidP="00824614">
      <w:pPr>
        <w:pStyle w:val="ListParagraph"/>
        <w:numPr>
          <w:ilvl w:val="0"/>
          <w:numId w:val="13"/>
        </w:numPr>
        <w:spacing w:after="0"/>
        <w:rPr>
          <w:rFonts w:ascii="Arial" w:hAnsi="Arial" w:cs="Arial"/>
        </w:rPr>
      </w:pPr>
      <w:r w:rsidRPr="008407AC">
        <w:rPr>
          <w:rFonts w:ascii="Arial" w:hAnsi="Arial" w:cs="Arial"/>
        </w:rPr>
        <w:t>Interviews - telephone interviews conducted and interviews were shortened</w:t>
      </w:r>
      <w:r>
        <w:rPr>
          <w:rFonts w:ascii="Arial" w:hAnsi="Arial" w:cs="Arial"/>
        </w:rPr>
        <w:t>;</w:t>
      </w:r>
    </w:p>
    <w:p w:rsidR="00824614" w:rsidRPr="008407AC" w:rsidRDefault="00824614" w:rsidP="00824614">
      <w:pPr>
        <w:pStyle w:val="ListParagraph"/>
        <w:numPr>
          <w:ilvl w:val="0"/>
          <w:numId w:val="13"/>
        </w:numPr>
        <w:spacing w:after="0"/>
        <w:rPr>
          <w:rFonts w:ascii="Arial" w:hAnsi="Arial" w:cs="Arial"/>
        </w:rPr>
      </w:pPr>
      <w:r w:rsidRPr="008407AC">
        <w:rPr>
          <w:rFonts w:ascii="Arial" w:hAnsi="Arial" w:cs="Arial"/>
        </w:rPr>
        <w:t>Pre-employment checks moved from face-to-face to virtual</w:t>
      </w:r>
      <w:r>
        <w:rPr>
          <w:rFonts w:ascii="Arial" w:hAnsi="Arial" w:cs="Arial"/>
        </w:rPr>
        <w:t>; and</w:t>
      </w:r>
    </w:p>
    <w:p w:rsidR="00824614" w:rsidRDefault="00824614" w:rsidP="00824614">
      <w:pPr>
        <w:pStyle w:val="ListParagraph"/>
        <w:numPr>
          <w:ilvl w:val="0"/>
          <w:numId w:val="13"/>
        </w:numPr>
        <w:spacing w:after="0"/>
        <w:rPr>
          <w:rFonts w:ascii="Arial" w:hAnsi="Arial" w:cs="Arial"/>
        </w:rPr>
      </w:pPr>
      <w:r>
        <w:rPr>
          <w:rFonts w:ascii="Arial" w:hAnsi="Arial" w:cs="Arial"/>
        </w:rPr>
        <w:t xml:space="preserve">Training sessions </w:t>
      </w:r>
      <w:r w:rsidRPr="004848C1">
        <w:rPr>
          <w:rFonts w:ascii="Arial" w:hAnsi="Arial" w:cs="Arial"/>
        </w:rPr>
        <w:t xml:space="preserve">were </w:t>
      </w:r>
      <w:r>
        <w:rPr>
          <w:rFonts w:ascii="Arial" w:hAnsi="Arial" w:cs="Arial"/>
        </w:rPr>
        <w:t>condensed to three days from five</w:t>
      </w:r>
      <w:r w:rsidRPr="004848C1">
        <w:rPr>
          <w:rFonts w:ascii="Arial" w:hAnsi="Arial" w:cs="Arial"/>
        </w:rPr>
        <w:t>.</w:t>
      </w:r>
    </w:p>
    <w:p w:rsidR="00824614" w:rsidRDefault="00824614" w:rsidP="00824614">
      <w:pPr>
        <w:spacing w:after="0"/>
        <w:contextualSpacing/>
        <w:rPr>
          <w:rFonts w:ascii="Arial" w:hAnsi="Arial" w:cs="Arial"/>
        </w:rPr>
      </w:pPr>
      <w:r>
        <w:rPr>
          <w:rFonts w:ascii="Arial" w:hAnsi="Arial" w:cs="Arial"/>
        </w:rPr>
        <w:t>All interviews continue to be conducted virtually and it remains to be seen if this will become common practice once the pandemic eases.</w:t>
      </w:r>
    </w:p>
    <w:p w:rsidR="00824614" w:rsidRDefault="00824614" w:rsidP="00824614">
      <w:pPr>
        <w:spacing w:after="0"/>
        <w:contextualSpacing/>
        <w:rPr>
          <w:rFonts w:ascii="Arial" w:hAnsi="Arial" w:cs="Arial"/>
        </w:rPr>
      </w:pPr>
    </w:p>
    <w:p w:rsidR="00824614" w:rsidRPr="00D045EE" w:rsidRDefault="00824614" w:rsidP="00824614">
      <w:pPr>
        <w:spacing w:after="0"/>
        <w:contextualSpacing/>
        <w:rPr>
          <w:rFonts w:ascii="Arial" w:hAnsi="Arial" w:cs="Arial"/>
        </w:rPr>
      </w:pPr>
      <w:r>
        <w:rPr>
          <w:rFonts w:ascii="Arial" w:hAnsi="Arial" w:cs="Arial"/>
        </w:rPr>
        <w:t xml:space="preserve">Technological advances have enabled the Health Board to respond quickly to the impact of the pandemic on working practices through the accelerated implementation of Microsoft ‘Teams’, which has enabled many staff to work from home. Initially, HR were dealing with a significant volume of queries from staff who were concerned about managing work and home-schooling and/or childcare. HR produced and regularly updated guidance documents for staff. Whilst policies have yet to be formally reviewed, there is little doubt that flexible working will be a hot topic for future discussion. </w:t>
      </w:r>
    </w:p>
    <w:p w:rsidR="00824614" w:rsidRDefault="00824614" w:rsidP="00824614">
      <w:pPr>
        <w:spacing w:after="0"/>
        <w:contextualSpacing/>
        <w:rPr>
          <w:rFonts w:ascii="Arial" w:hAnsi="Arial" w:cs="Arial"/>
        </w:rPr>
      </w:pPr>
    </w:p>
    <w:p w:rsidR="00824614" w:rsidRDefault="00824614" w:rsidP="00824614">
      <w:pPr>
        <w:spacing w:after="0"/>
        <w:contextualSpacing/>
        <w:rPr>
          <w:rFonts w:ascii="Arial" w:hAnsi="Arial" w:cs="Arial"/>
        </w:rPr>
      </w:pPr>
      <w:r>
        <w:rPr>
          <w:rFonts w:ascii="Arial" w:hAnsi="Arial" w:cs="Arial"/>
        </w:rPr>
        <w:t>BREXIT will potentially impact on the Health Board’s existing shortage of clinical staff. HR will need to ensure that its recruitment strategy reflects activities that will attract and retain staff in the longer-term.</w:t>
      </w:r>
    </w:p>
    <w:p w:rsidR="00824614" w:rsidRDefault="00824614" w:rsidP="00824614">
      <w:pPr>
        <w:spacing w:after="0"/>
        <w:contextualSpacing/>
        <w:rPr>
          <w:rFonts w:ascii="Arial" w:hAnsi="Arial" w:cs="Arial"/>
        </w:rPr>
      </w:pPr>
    </w:p>
    <w:p w:rsidR="00824614" w:rsidRDefault="00824614" w:rsidP="00824614">
      <w:pPr>
        <w:spacing w:after="0"/>
        <w:contextualSpacing/>
        <w:rPr>
          <w:rFonts w:ascii="Arial" w:hAnsi="Arial" w:cs="Arial"/>
        </w:rPr>
      </w:pPr>
      <w:r>
        <w:rPr>
          <w:rFonts w:ascii="Arial" w:hAnsi="Arial" w:cs="Arial"/>
        </w:rPr>
        <w:t xml:space="preserve">The Welsh Language Act sets out the NHS responsibilities to improve services for those who need or choose to receive their care through the medium of Welsh. Health Boards need to improve the capabilities of their workforce in the awareness and application of the welsh language. </w:t>
      </w:r>
    </w:p>
    <w:p w:rsidR="00824614" w:rsidRDefault="00824614" w:rsidP="00824614">
      <w:pPr>
        <w:spacing w:after="0"/>
        <w:contextualSpacing/>
        <w:rPr>
          <w:rFonts w:ascii="Arial" w:hAnsi="Arial" w:cs="Arial"/>
        </w:rPr>
      </w:pPr>
    </w:p>
    <w:p w:rsidR="00824614" w:rsidRDefault="00824614" w:rsidP="00824614">
      <w:pPr>
        <w:spacing w:after="0"/>
        <w:contextualSpacing/>
        <w:rPr>
          <w:rFonts w:ascii="Arial" w:hAnsi="Arial" w:cs="Arial"/>
        </w:rPr>
      </w:pPr>
      <w:r>
        <w:rPr>
          <w:rFonts w:ascii="Arial" w:hAnsi="Arial" w:cs="Arial"/>
        </w:rPr>
        <w:t xml:space="preserve">The Health Board has started to extensively use social media to increase their profile as an employer of choice – using the platform to advertise not only opportunities but the local environment, selling the Hywel Dda area as a place to work and live. </w:t>
      </w:r>
    </w:p>
    <w:p w:rsidR="00824614" w:rsidRPr="00D3406B" w:rsidRDefault="00824614" w:rsidP="00256399">
      <w:pPr>
        <w:spacing w:after="0"/>
        <w:contextualSpacing/>
        <w:rPr>
          <w:rFonts w:ascii="Arial" w:hAnsi="Arial" w:cs="Arial"/>
        </w:rPr>
      </w:pPr>
    </w:p>
    <w:sectPr w:rsidR="00824614" w:rsidRPr="00D3406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EDB" w:rsidRDefault="00443EDB" w:rsidP="00443EDB">
      <w:pPr>
        <w:spacing w:after="0"/>
      </w:pPr>
      <w:r>
        <w:separator/>
      </w:r>
    </w:p>
  </w:endnote>
  <w:endnote w:type="continuationSeparator" w:id="0">
    <w:p w:rsidR="00443EDB" w:rsidRDefault="00443EDB" w:rsidP="00443ED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erriweather">
    <w:altName w:val="Times New Roman"/>
    <w:charset w:val="00"/>
    <w:family w:val="auto"/>
    <w:pitch w:val="default"/>
  </w:font>
  <w:font w:name="MyriadPro-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EDB" w:rsidRDefault="00443EDB" w:rsidP="00443EDB">
      <w:pPr>
        <w:spacing w:after="0"/>
      </w:pPr>
      <w:r>
        <w:separator/>
      </w:r>
    </w:p>
  </w:footnote>
  <w:footnote w:type="continuationSeparator" w:id="0">
    <w:p w:rsidR="00443EDB" w:rsidRDefault="00443EDB" w:rsidP="00443ED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EDB" w:rsidRPr="009A55CE" w:rsidRDefault="009A55CE">
    <w:pPr>
      <w:pStyle w:val="Header"/>
      <w:rPr>
        <w:rFonts w:ascii="Arial" w:hAnsi="Arial" w:cs="Arial"/>
        <w:b/>
        <w:sz w:val="24"/>
      </w:rPr>
    </w:pPr>
    <w:r w:rsidRPr="009A55CE">
      <w:rPr>
        <w:rFonts w:ascii="Arial" w:eastAsia="Times New Roman" w:hAnsi="Arial" w:cs="Arial"/>
        <w:b/>
        <w:bCs/>
        <w:color w:val="000000"/>
        <w:szCs w:val="20"/>
        <w:lang w:eastAsia="en-GB"/>
      </w:rPr>
      <w:t>Understanding the Business Context of Human Resources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402D8"/>
    <w:multiLevelType w:val="hybridMultilevel"/>
    <w:tmpl w:val="A1A491B0"/>
    <w:lvl w:ilvl="0" w:tplc="9828E03A">
      <w:start w:val="1"/>
      <w:numFmt w:val="bullet"/>
      <w:lvlText w:val="•"/>
      <w:lvlJc w:val="left"/>
      <w:pPr>
        <w:tabs>
          <w:tab w:val="num" w:pos="720"/>
        </w:tabs>
        <w:ind w:left="720" w:hanging="360"/>
      </w:pPr>
      <w:rPr>
        <w:rFonts w:ascii="Arial" w:hAnsi="Arial" w:hint="default"/>
      </w:rPr>
    </w:lvl>
    <w:lvl w:ilvl="1" w:tplc="BD945964" w:tentative="1">
      <w:start w:val="1"/>
      <w:numFmt w:val="bullet"/>
      <w:lvlText w:val="•"/>
      <w:lvlJc w:val="left"/>
      <w:pPr>
        <w:tabs>
          <w:tab w:val="num" w:pos="1440"/>
        </w:tabs>
        <w:ind w:left="1440" w:hanging="360"/>
      </w:pPr>
      <w:rPr>
        <w:rFonts w:ascii="Arial" w:hAnsi="Arial" w:hint="default"/>
      </w:rPr>
    </w:lvl>
    <w:lvl w:ilvl="2" w:tplc="BDA4ADB0" w:tentative="1">
      <w:start w:val="1"/>
      <w:numFmt w:val="bullet"/>
      <w:lvlText w:val="•"/>
      <w:lvlJc w:val="left"/>
      <w:pPr>
        <w:tabs>
          <w:tab w:val="num" w:pos="2160"/>
        </w:tabs>
        <w:ind w:left="2160" w:hanging="360"/>
      </w:pPr>
      <w:rPr>
        <w:rFonts w:ascii="Arial" w:hAnsi="Arial" w:hint="default"/>
      </w:rPr>
    </w:lvl>
    <w:lvl w:ilvl="3" w:tplc="A6F46DEA" w:tentative="1">
      <w:start w:val="1"/>
      <w:numFmt w:val="bullet"/>
      <w:lvlText w:val="•"/>
      <w:lvlJc w:val="left"/>
      <w:pPr>
        <w:tabs>
          <w:tab w:val="num" w:pos="2880"/>
        </w:tabs>
        <w:ind w:left="2880" w:hanging="360"/>
      </w:pPr>
      <w:rPr>
        <w:rFonts w:ascii="Arial" w:hAnsi="Arial" w:hint="default"/>
      </w:rPr>
    </w:lvl>
    <w:lvl w:ilvl="4" w:tplc="0908BBF2" w:tentative="1">
      <w:start w:val="1"/>
      <w:numFmt w:val="bullet"/>
      <w:lvlText w:val="•"/>
      <w:lvlJc w:val="left"/>
      <w:pPr>
        <w:tabs>
          <w:tab w:val="num" w:pos="3600"/>
        </w:tabs>
        <w:ind w:left="3600" w:hanging="360"/>
      </w:pPr>
      <w:rPr>
        <w:rFonts w:ascii="Arial" w:hAnsi="Arial" w:hint="default"/>
      </w:rPr>
    </w:lvl>
    <w:lvl w:ilvl="5" w:tplc="C21070BE" w:tentative="1">
      <w:start w:val="1"/>
      <w:numFmt w:val="bullet"/>
      <w:lvlText w:val="•"/>
      <w:lvlJc w:val="left"/>
      <w:pPr>
        <w:tabs>
          <w:tab w:val="num" w:pos="4320"/>
        </w:tabs>
        <w:ind w:left="4320" w:hanging="360"/>
      </w:pPr>
      <w:rPr>
        <w:rFonts w:ascii="Arial" w:hAnsi="Arial" w:hint="default"/>
      </w:rPr>
    </w:lvl>
    <w:lvl w:ilvl="6" w:tplc="AFACD30A" w:tentative="1">
      <w:start w:val="1"/>
      <w:numFmt w:val="bullet"/>
      <w:lvlText w:val="•"/>
      <w:lvlJc w:val="left"/>
      <w:pPr>
        <w:tabs>
          <w:tab w:val="num" w:pos="5040"/>
        </w:tabs>
        <w:ind w:left="5040" w:hanging="360"/>
      </w:pPr>
      <w:rPr>
        <w:rFonts w:ascii="Arial" w:hAnsi="Arial" w:hint="default"/>
      </w:rPr>
    </w:lvl>
    <w:lvl w:ilvl="7" w:tplc="B97442E2" w:tentative="1">
      <w:start w:val="1"/>
      <w:numFmt w:val="bullet"/>
      <w:lvlText w:val="•"/>
      <w:lvlJc w:val="left"/>
      <w:pPr>
        <w:tabs>
          <w:tab w:val="num" w:pos="5760"/>
        </w:tabs>
        <w:ind w:left="5760" w:hanging="360"/>
      </w:pPr>
      <w:rPr>
        <w:rFonts w:ascii="Arial" w:hAnsi="Arial" w:hint="default"/>
      </w:rPr>
    </w:lvl>
    <w:lvl w:ilvl="8" w:tplc="4622D4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1E7823"/>
    <w:multiLevelType w:val="hybridMultilevel"/>
    <w:tmpl w:val="3154AD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84E15D1"/>
    <w:multiLevelType w:val="hybridMultilevel"/>
    <w:tmpl w:val="46102084"/>
    <w:lvl w:ilvl="0" w:tplc="E9F86338">
      <w:start w:val="1"/>
      <w:numFmt w:val="bullet"/>
      <w:lvlText w:val=""/>
      <w:lvlJc w:val="left"/>
      <w:pPr>
        <w:ind w:left="838" w:hanging="360"/>
      </w:pPr>
      <w:rPr>
        <w:rFonts w:ascii="Symbol" w:eastAsia="Symbol" w:hAnsi="Symbol" w:hint="default"/>
        <w:sz w:val="24"/>
        <w:szCs w:val="24"/>
      </w:rPr>
    </w:lvl>
    <w:lvl w:ilvl="1" w:tplc="CB120E46">
      <w:start w:val="1"/>
      <w:numFmt w:val="bullet"/>
      <w:lvlText w:val="•"/>
      <w:lvlJc w:val="left"/>
      <w:pPr>
        <w:ind w:left="1684" w:hanging="360"/>
      </w:pPr>
      <w:rPr>
        <w:rFonts w:hint="default"/>
      </w:rPr>
    </w:lvl>
    <w:lvl w:ilvl="2" w:tplc="0BB46F9A">
      <w:start w:val="1"/>
      <w:numFmt w:val="bullet"/>
      <w:lvlText w:val="•"/>
      <w:lvlJc w:val="left"/>
      <w:pPr>
        <w:ind w:left="2530" w:hanging="360"/>
      </w:pPr>
      <w:rPr>
        <w:rFonts w:hint="default"/>
      </w:rPr>
    </w:lvl>
    <w:lvl w:ilvl="3" w:tplc="FA764BE8">
      <w:start w:val="1"/>
      <w:numFmt w:val="bullet"/>
      <w:lvlText w:val="•"/>
      <w:lvlJc w:val="left"/>
      <w:pPr>
        <w:ind w:left="3376" w:hanging="360"/>
      </w:pPr>
      <w:rPr>
        <w:rFonts w:hint="default"/>
      </w:rPr>
    </w:lvl>
    <w:lvl w:ilvl="4" w:tplc="62887978">
      <w:start w:val="1"/>
      <w:numFmt w:val="bullet"/>
      <w:lvlText w:val="•"/>
      <w:lvlJc w:val="left"/>
      <w:pPr>
        <w:ind w:left="4222" w:hanging="360"/>
      </w:pPr>
      <w:rPr>
        <w:rFonts w:hint="default"/>
      </w:rPr>
    </w:lvl>
    <w:lvl w:ilvl="5" w:tplc="5A9C698A">
      <w:start w:val="1"/>
      <w:numFmt w:val="bullet"/>
      <w:lvlText w:val="•"/>
      <w:lvlJc w:val="left"/>
      <w:pPr>
        <w:ind w:left="5069" w:hanging="360"/>
      </w:pPr>
      <w:rPr>
        <w:rFonts w:hint="default"/>
      </w:rPr>
    </w:lvl>
    <w:lvl w:ilvl="6" w:tplc="4D44B6B8">
      <w:start w:val="1"/>
      <w:numFmt w:val="bullet"/>
      <w:lvlText w:val="•"/>
      <w:lvlJc w:val="left"/>
      <w:pPr>
        <w:ind w:left="5915" w:hanging="360"/>
      </w:pPr>
      <w:rPr>
        <w:rFonts w:hint="default"/>
      </w:rPr>
    </w:lvl>
    <w:lvl w:ilvl="7" w:tplc="68A02800">
      <w:start w:val="1"/>
      <w:numFmt w:val="bullet"/>
      <w:lvlText w:val="•"/>
      <w:lvlJc w:val="left"/>
      <w:pPr>
        <w:ind w:left="6761" w:hanging="360"/>
      </w:pPr>
      <w:rPr>
        <w:rFonts w:hint="default"/>
      </w:rPr>
    </w:lvl>
    <w:lvl w:ilvl="8" w:tplc="E3D4F2D2">
      <w:start w:val="1"/>
      <w:numFmt w:val="bullet"/>
      <w:lvlText w:val="•"/>
      <w:lvlJc w:val="left"/>
      <w:pPr>
        <w:ind w:left="7607" w:hanging="360"/>
      </w:pPr>
      <w:rPr>
        <w:rFonts w:hint="default"/>
      </w:rPr>
    </w:lvl>
  </w:abstractNum>
  <w:abstractNum w:abstractNumId="3" w15:restartNumberingAfterBreak="0">
    <w:nsid w:val="20162C85"/>
    <w:multiLevelType w:val="hybridMultilevel"/>
    <w:tmpl w:val="5EE6F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723D7C"/>
    <w:multiLevelType w:val="hybridMultilevel"/>
    <w:tmpl w:val="03EEFE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E748BD"/>
    <w:multiLevelType w:val="hybridMultilevel"/>
    <w:tmpl w:val="7E84E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1C62A3"/>
    <w:multiLevelType w:val="hybridMultilevel"/>
    <w:tmpl w:val="1A10305A"/>
    <w:lvl w:ilvl="0" w:tplc="29703A4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3C90CB6"/>
    <w:multiLevelType w:val="hybridMultilevel"/>
    <w:tmpl w:val="98EE508E"/>
    <w:lvl w:ilvl="0" w:tplc="E27EC174">
      <w:start w:val="1"/>
      <w:numFmt w:val="bullet"/>
      <w:lvlText w:val="•"/>
      <w:lvlJc w:val="left"/>
      <w:pPr>
        <w:tabs>
          <w:tab w:val="num" w:pos="720"/>
        </w:tabs>
        <w:ind w:left="720" w:hanging="360"/>
      </w:pPr>
      <w:rPr>
        <w:rFonts w:ascii="Arial" w:hAnsi="Arial" w:hint="default"/>
      </w:rPr>
    </w:lvl>
    <w:lvl w:ilvl="1" w:tplc="119842CA" w:tentative="1">
      <w:start w:val="1"/>
      <w:numFmt w:val="bullet"/>
      <w:lvlText w:val="•"/>
      <w:lvlJc w:val="left"/>
      <w:pPr>
        <w:tabs>
          <w:tab w:val="num" w:pos="1440"/>
        </w:tabs>
        <w:ind w:left="1440" w:hanging="360"/>
      </w:pPr>
      <w:rPr>
        <w:rFonts w:ascii="Arial" w:hAnsi="Arial" w:hint="default"/>
      </w:rPr>
    </w:lvl>
    <w:lvl w:ilvl="2" w:tplc="C7B2A64A" w:tentative="1">
      <w:start w:val="1"/>
      <w:numFmt w:val="bullet"/>
      <w:lvlText w:val="•"/>
      <w:lvlJc w:val="left"/>
      <w:pPr>
        <w:tabs>
          <w:tab w:val="num" w:pos="2160"/>
        </w:tabs>
        <w:ind w:left="2160" w:hanging="360"/>
      </w:pPr>
      <w:rPr>
        <w:rFonts w:ascii="Arial" w:hAnsi="Arial" w:hint="default"/>
      </w:rPr>
    </w:lvl>
    <w:lvl w:ilvl="3" w:tplc="E7EA97F2" w:tentative="1">
      <w:start w:val="1"/>
      <w:numFmt w:val="bullet"/>
      <w:lvlText w:val="•"/>
      <w:lvlJc w:val="left"/>
      <w:pPr>
        <w:tabs>
          <w:tab w:val="num" w:pos="2880"/>
        </w:tabs>
        <w:ind w:left="2880" w:hanging="360"/>
      </w:pPr>
      <w:rPr>
        <w:rFonts w:ascii="Arial" w:hAnsi="Arial" w:hint="default"/>
      </w:rPr>
    </w:lvl>
    <w:lvl w:ilvl="4" w:tplc="9D984060" w:tentative="1">
      <w:start w:val="1"/>
      <w:numFmt w:val="bullet"/>
      <w:lvlText w:val="•"/>
      <w:lvlJc w:val="left"/>
      <w:pPr>
        <w:tabs>
          <w:tab w:val="num" w:pos="3600"/>
        </w:tabs>
        <w:ind w:left="3600" w:hanging="360"/>
      </w:pPr>
      <w:rPr>
        <w:rFonts w:ascii="Arial" w:hAnsi="Arial" w:hint="default"/>
      </w:rPr>
    </w:lvl>
    <w:lvl w:ilvl="5" w:tplc="17244074" w:tentative="1">
      <w:start w:val="1"/>
      <w:numFmt w:val="bullet"/>
      <w:lvlText w:val="•"/>
      <w:lvlJc w:val="left"/>
      <w:pPr>
        <w:tabs>
          <w:tab w:val="num" w:pos="4320"/>
        </w:tabs>
        <w:ind w:left="4320" w:hanging="360"/>
      </w:pPr>
      <w:rPr>
        <w:rFonts w:ascii="Arial" w:hAnsi="Arial" w:hint="default"/>
      </w:rPr>
    </w:lvl>
    <w:lvl w:ilvl="6" w:tplc="20EAFF50" w:tentative="1">
      <w:start w:val="1"/>
      <w:numFmt w:val="bullet"/>
      <w:lvlText w:val="•"/>
      <w:lvlJc w:val="left"/>
      <w:pPr>
        <w:tabs>
          <w:tab w:val="num" w:pos="5040"/>
        </w:tabs>
        <w:ind w:left="5040" w:hanging="360"/>
      </w:pPr>
      <w:rPr>
        <w:rFonts w:ascii="Arial" w:hAnsi="Arial" w:hint="default"/>
      </w:rPr>
    </w:lvl>
    <w:lvl w:ilvl="7" w:tplc="3E7EB19E" w:tentative="1">
      <w:start w:val="1"/>
      <w:numFmt w:val="bullet"/>
      <w:lvlText w:val="•"/>
      <w:lvlJc w:val="left"/>
      <w:pPr>
        <w:tabs>
          <w:tab w:val="num" w:pos="5760"/>
        </w:tabs>
        <w:ind w:left="5760" w:hanging="360"/>
      </w:pPr>
      <w:rPr>
        <w:rFonts w:ascii="Arial" w:hAnsi="Arial" w:hint="default"/>
      </w:rPr>
    </w:lvl>
    <w:lvl w:ilvl="8" w:tplc="A1D86F6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4FA44FE"/>
    <w:multiLevelType w:val="hybridMultilevel"/>
    <w:tmpl w:val="03B6E022"/>
    <w:lvl w:ilvl="0" w:tplc="3B267582">
      <w:start w:val="1"/>
      <w:numFmt w:val="bullet"/>
      <w:lvlText w:val="•"/>
      <w:lvlJc w:val="left"/>
      <w:pPr>
        <w:tabs>
          <w:tab w:val="num" w:pos="720"/>
        </w:tabs>
        <w:ind w:left="720" w:hanging="360"/>
      </w:pPr>
      <w:rPr>
        <w:rFonts w:ascii="Arial" w:hAnsi="Arial" w:hint="default"/>
      </w:rPr>
    </w:lvl>
    <w:lvl w:ilvl="1" w:tplc="8400679E" w:tentative="1">
      <w:start w:val="1"/>
      <w:numFmt w:val="bullet"/>
      <w:lvlText w:val="•"/>
      <w:lvlJc w:val="left"/>
      <w:pPr>
        <w:tabs>
          <w:tab w:val="num" w:pos="1440"/>
        </w:tabs>
        <w:ind w:left="1440" w:hanging="360"/>
      </w:pPr>
      <w:rPr>
        <w:rFonts w:ascii="Arial" w:hAnsi="Arial" w:hint="default"/>
      </w:rPr>
    </w:lvl>
    <w:lvl w:ilvl="2" w:tplc="9EF804C2" w:tentative="1">
      <w:start w:val="1"/>
      <w:numFmt w:val="bullet"/>
      <w:lvlText w:val="•"/>
      <w:lvlJc w:val="left"/>
      <w:pPr>
        <w:tabs>
          <w:tab w:val="num" w:pos="2160"/>
        </w:tabs>
        <w:ind w:left="2160" w:hanging="360"/>
      </w:pPr>
      <w:rPr>
        <w:rFonts w:ascii="Arial" w:hAnsi="Arial" w:hint="default"/>
      </w:rPr>
    </w:lvl>
    <w:lvl w:ilvl="3" w:tplc="E8F8FC18" w:tentative="1">
      <w:start w:val="1"/>
      <w:numFmt w:val="bullet"/>
      <w:lvlText w:val="•"/>
      <w:lvlJc w:val="left"/>
      <w:pPr>
        <w:tabs>
          <w:tab w:val="num" w:pos="2880"/>
        </w:tabs>
        <w:ind w:left="2880" w:hanging="360"/>
      </w:pPr>
      <w:rPr>
        <w:rFonts w:ascii="Arial" w:hAnsi="Arial" w:hint="default"/>
      </w:rPr>
    </w:lvl>
    <w:lvl w:ilvl="4" w:tplc="CD82A998" w:tentative="1">
      <w:start w:val="1"/>
      <w:numFmt w:val="bullet"/>
      <w:lvlText w:val="•"/>
      <w:lvlJc w:val="left"/>
      <w:pPr>
        <w:tabs>
          <w:tab w:val="num" w:pos="3600"/>
        </w:tabs>
        <w:ind w:left="3600" w:hanging="360"/>
      </w:pPr>
      <w:rPr>
        <w:rFonts w:ascii="Arial" w:hAnsi="Arial" w:hint="default"/>
      </w:rPr>
    </w:lvl>
    <w:lvl w:ilvl="5" w:tplc="CCDE0A00" w:tentative="1">
      <w:start w:val="1"/>
      <w:numFmt w:val="bullet"/>
      <w:lvlText w:val="•"/>
      <w:lvlJc w:val="left"/>
      <w:pPr>
        <w:tabs>
          <w:tab w:val="num" w:pos="4320"/>
        </w:tabs>
        <w:ind w:left="4320" w:hanging="360"/>
      </w:pPr>
      <w:rPr>
        <w:rFonts w:ascii="Arial" w:hAnsi="Arial" w:hint="default"/>
      </w:rPr>
    </w:lvl>
    <w:lvl w:ilvl="6" w:tplc="ECE4A41E" w:tentative="1">
      <w:start w:val="1"/>
      <w:numFmt w:val="bullet"/>
      <w:lvlText w:val="•"/>
      <w:lvlJc w:val="left"/>
      <w:pPr>
        <w:tabs>
          <w:tab w:val="num" w:pos="5040"/>
        </w:tabs>
        <w:ind w:left="5040" w:hanging="360"/>
      </w:pPr>
      <w:rPr>
        <w:rFonts w:ascii="Arial" w:hAnsi="Arial" w:hint="default"/>
      </w:rPr>
    </w:lvl>
    <w:lvl w:ilvl="7" w:tplc="88268EC8" w:tentative="1">
      <w:start w:val="1"/>
      <w:numFmt w:val="bullet"/>
      <w:lvlText w:val="•"/>
      <w:lvlJc w:val="left"/>
      <w:pPr>
        <w:tabs>
          <w:tab w:val="num" w:pos="5760"/>
        </w:tabs>
        <w:ind w:left="5760" w:hanging="360"/>
      </w:pPr>
      <w:rPr>
        <w:rFonts w:ascii="Arial" w:hAnsi="Arial" w:hint="default"/>
      </w:rPr>
    </w:lvl>
    <w:lvl w:ilvl="8" w:tplc="FC9E02D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9DE52EC"/>
    <w:multiLevelType w:val="multilevel"/>
    <w:tmpl w:val="BCBCF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D402AB"/>
    <w:multiLevelType w:val="hybridMultilevel"/>
    <w:tmpl w:val="0B201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042E31"/>
    <w:multiLevelType w:val="hybridMultilevel"/>
    <w:tmpl w:val="748A6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430CB7"/>
    <w:multiLevelType w:val="hybridMultilevel"/>
    <w:tmpl w:val="0B8669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8"/>
  </w:num>
  <w:num w:numId="4">
    <w:abstractNumId w:val="11"/>
  </w:num>
  <w:num w:numId="5">
    <w:abstractNumId w:val="6"/>
  </w:num>
  <w:num w:numId="6">
    <w:abstractNumId w:val="3"/>
  </w:num>
  <w:num w:numId="7">
    <w:abstractNumId w:val="2"/>
  </w:num>
  <w:num w:numId="8">
    <w:abstractNumId w:val="9"/>
  </w:num>
  <w:num w:numId="9">
    <w:abstractNumId w:val="0"/>
  </w:num>
  <w:num w:numId="10">
    <w:abstractNumId w:val="1"/>
  </w:num>
  <w:num w:numId="11">
    <w:abstractNumId w:val="5"/>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F01"/>
    <w:rsid w:val="00002942"/>
    <w:rsid w:val="00016519"/>
    <w:rsid w:val="0002019C"/>
    <w:rsid w:val="000207AE"/>
    <w:rsid w:val="00031362"/>
    <w:rsid w:val="00031621"/>
    <w:rsid w:val="00040EAF"/>
    <w:rsid w:val="00043004"/>
    <w:rsid w:val="0006464E"/>
    <w:rsid w:val="00066A8A"/>
    <w:rsid w:val="000722A9"/>
    <w:rsid w:val="00076F4E"/>
    <w:rsid w:val="00084FB5"/>
    <w:rsid w:val="00094573"/>
    <w:rsid w:val="000A7311"/>
    <w:rsid w:val="000B5A16"/>
    <w:rsid w:val="000D214F"/>
    <w:rsid w:val="000D35C6"/>
    <w:rsid w:val="000D5E73"/>
    <w:rsid w:val="000F7A0D"/>
    <w:rsid w:val="0010348A"/>
    <w:rsid w:val="00115EC3"/>
    <w:rsid w:val="001265DB"/>
    <w:rsid w:val="00137393"/>
    <w:rsid w:val="00155BEE"/>
    <w:rsid w:val="001655A9"/>
    <w:rsid w:val="00180438"/>
    <w:rsid w:val="001844F9"/>
    <w:rsid w:val="001A4894"/>
    <w:rsid w:val="002045F3"/>
    <w:rsid w:val="00207251"/>
    <w:rsid w:val="00217839"/>
    <w:rsid w:val="002377CA"/>
    <w:rsid w:val="00243229"/>
    <w:rsid w:val="002463C5"/>
    <w:rsid w:val="00256399"/>
    <w:rsid w:val="00286F8E"/>
    <w:rsid w:val="00294211"/>
    <w:rsid w:val="002C0302"/>
    <w:rsid w:val="002E11F2"/>
    <w:rsid w:val="00334252"/>
    <w:rsid w:val="00371BE4"/>
    <w:rsid w:val="00385C84"/>
    <w:rsid w:val="003870DE"/>
    <w:rsid w:val="00387324"/>
    <w:rsid w:val="00387C04"/>
    <w:rsid w:val="003B7A6D"/>
    <w:rsid w:val="003D6B60"/>
    <w:rsid w:val="003E1885"/>
    <w:rsid w:val="004152CB"/>
    <w:rsid w:val="00417A08"/>
    <w:rsid w:val="004231F8"/>
    <w:rsid w:val="00427509"/>
    <w:rsid w:val="00443EDB"/>
    <w:rsid w:val="00471262"/>
    <w:rsid w:val="004849FF"/>
    <w:rsid w:val="004B31E3"/>
    <w:rsid w:val="004C2650"/>
    <w:rsid w:val="004E0A92"/>
    <w:rsid w:val="004F6945"/>
    <w:rsid w:val="00512659"/>
    <w:rsid w:val="0052500F"/>
    <w:rsid w:val="005323B0"/>
    <w:rsid w:val="00545419"/>
    <w:rsid w:val="00553F91"/>
    <w:rsid w:val="00592BE1"/>
    <w:rsid w:val="00596D4F"/>
    <w:rsid w:val="005B533C"/>
    <w:rsid w:val="005B5A48"/>
    <w:rsid w:val="005C3433"/>
    <w:rsid w:val="005C433C"/>
    <w:rsid w:val="005D3990"/>
    <w:rsid w:val="005E5211"/>
    <w:rsid w:val="00632ED8"/>
    <w:rsid w:val="00636C06"/>
    <w:rsid w:val="006562DA"/>
    <w:rsid w:val="006571C9"/>
    <w:rsid w:val="006573A7"/>
    <w:rsid w:val="0067124A"/>
    <w:rsid w:val="006779FB"/>
    <w:rsid w:val="00685DA9"/>
    <w:rsid w:val="00686F2E"/>
    <w:rsid w:val="006A5832"/>
    <w:rsid w:val="006A5FF0"/>
    <w:rsid w:val="006B4374"/>
    <w:rsid w:val="006D5490"/>
    <w:rsid w:val="006D7309"/>
    <w:rsid w:val="006E10F9"/>
    <w:rsid w:val="007060CF"/>
    <w:rsid w:val="00717BB1"/>
    <w:rsid w:val="00722A49"/>
    <w:rsid w:val="00781404"/>
    <w:rsid w:val="00782568"/>
    <w:rsid w:val="007830FE"/>
    <w:rsid w:val="007B73A4"/>
    <w:rsid w:val="007C495F"/>
    <w:rsid w:val="007D4C96"/>
    <w:rsid w:val="007D6C44"/>
    <w:rsid w:val="007F357C"/>
    <w:rsid w:val="00812633"/>
    <w:rsid w:val="00812ADD"/>
    <w:rsid w:val="00817285"/>
    <w:rsid w:val="00824614"/>
    <w:rsid w:val="008960C4"/>
    <w:rsid w:val="008A448C"/>
    <w:rsid w:val="008B0775"/>
    <w:rsid w:val="008D14D1"/>
    <w:rsid w:val="008D1847"/>
    <w:rsid w:val="008F49DF"/>
    <w:rsid w:val="008F5148"/>
    <w:rsid w:val="008F6064"/>
    <w:rsid w:val="00900DE9"/>
    <w:rsid w:val="00953624"/>
    <w:rsid w:val="00965594"/>
    <w:rsid w:val="00974ACA"/>
    <w:rsid w:val="00983F04"/>
    <w:rsid w:val="009A45CC"/>
    <w:rsid w:val="009A55CE"/>
    <w:rsid w:val="009B0888"/>
    <w:rsid w:val="009C2F01"/>
    <w:rsid w:val="009D1B57"/>
    <w:rsid w:val="009D3975"/>
    <w:rsid w:val="009D591B"/>
    <w:rsid w:val="009D5F7A"/>
    <w:rsid w:val="009E3459"/>
    <w:rsid w:val="00A23FBC"/>
    <w:rsid w:val="00A27ADC"/>
    <w:rsid w:val="00A37D33"/>
    <w:rsid w:val="00A8076B"/>
    <w:rsid w:val="00AD1100"/>
    <w:rsid w:val="00AE3A4C"/>
    <w:rsid w:val="00B6334E"/>
    <w:rsid w:val="00B81D9F"/>
    <w:rsid w:val="00B90D0E"/>
    <w:rsid w:val="00B97669"/>
    <w:rsid w:val="00BA583C"/>
    <w:rsid w:val="00BC7CF5"/>
    <w:rsid w:val="00BE2273"/>
    <w:rsid w:val="00C25D57"/>
    <w:rsid w:val="00C34143"/>
    <w:rsid w:val="00C36884"/>
    <w:rsid w:val="00C6147A"/>
    <w:rsid w:val="00C9256C"/>
    <w:rsid w:val="00C926E7"/>
    <w:rsid w:val="00CC4372"/>
    <w:rsid w:val="00CD3B6A"/>
    <w:rsid w:val="00CD42AD"/>
    <w:rsid w:val="00CE1908"/>
    <w:rsid w:val="00CF41D5"/>
    <w:rsid w:val="00D010FD"/>
    <w:rsid w:val="00D04E56"/>
    <w:rsid w:val="00D07082"/>
    <w:rsid w:val="00D10D54"/>
    <w:rsid w:val="00D3406B"/>
    <w:rsid w:val="00D353F2"/>
    <w:rsid w:val="00D41692"/>
    <w:rsid w:val="00D44794"/>
    <w:rsid w:val="00D666AC"/>
    <w:rsid w:val="00D73A63"/>
    <w:rsid w:val="00D84F6C"/>
    <w:rsid w:val="00DA58FB"/>
    <w:rsid w:val="00DB5390"/>
    <w:rsid w:val="00DC4938"/>
    <w:rsid w:val="00DE54D4"/>
    <w:rsid w:val="00E02731"/>
    <w:rsid w:val="00E20476"/>
    <w:rsid w:val="00E20EB7"/>
    <w:rsid w:val="00E37234"/>
    <w:rsid w:val="00E4297A"/>
    <w:rsid w:val="00E543BC"/>
    <w:rsid w:val="00E550E6"/>
    <w:rsid w:val="00E81947"/>
    <w:rsid w:val="00EB4D70"/>
    <w:rsid w:val="00EB5E1A"/>
    <w:rsid w:val="00EB7FDE"/>
    <w:rsid w:val="00ED49C2"/>
    <w:rsid w:val="00EF176C"/>
    <w:rsid w:val="00F044FB"/>
    <w:rsid w:val="00F06138"/>
    <w:rsid w:val="00F202B3"/>
    <w:rsid w:val="00F242B9"/>
    <w:rsid w:val="00F30973"/>
    <w:rsid w:val="00F43E61"/>
    <w:rsid w:val="00F65EA0"/>
    <w:rsid w:val="00F669B8"/>
    <w:rsid w:val="00F764DD"/>
    <w:rsid w:val="00F822C0"/>
    <w:rsid w:val="00F83F14"/>
    <w:rsid w:val="00F846D2"/>
    <w:rsid w:val="00FB1AC5"/>
    <w:rsid w:val="00FC34C0"/>
    <w:rsid w:val="00FC3D2A"/>
    <w:rsid w:val="00FE7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A165D"/>
  <w15:chartTrackingRefBased/>
  <w15:docId w15:val="{CC921A0F-1D1F-4E82-9453-36100F71A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2F01"/>
    <w:pPr>
      <w:spacing w:after="20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143"/>
    <w:pPr>
      <w:ind w:left="720"/>
      <w:contextualSpacing/>
    </w:pPr>
  </w:style>
  <w:style w:type="character" w:styleId="Hyperlink">
    <w:name w:val="Hyperlink"/>
    <w:basedOn w:val="DefaultParagraphFont"/>
    <w:uiPriority w:val="99"/>
    <w:unhideWhenUsed/>
    <w:rsid w:val="000207AE"/>
    <w:rPr>
      <w:color w:val="0563C1" w:themeColor="hyperlink"/>
      <w:u w:val="single"/>
    </w:rPr>
  </w:style>
  <w:style w:type="character" w:styleId="FollowedHyperlink">
    <w:name w:val="FollowedHyperlink"/>
    <w:basedOn w:val="DefaultParagraphFont"/>
    <w:uiPriority w:val="99"/>
    <w:semiHidden/>
    <w:unhideWhenUsed/>
    <w:rsid w:val="006562DA"/>
    <w:rPr>
      <w:color w:val="954F72" w:themeColor="followedHyperlink"/>
      <w:u w:val="single"/>
    </w:rPr>
  </w:style>
  <w:style w:type="paragraph" w:styleId="Header">
    <w:name w:val="header"/>
    <w:basedOn w:val="Normal"/>
    <w:link w:val="HeaderChar"/>
    <w:uiPriority w:val="99"/>
    <w:unhideWhenUsed/>
    <w:rsid w:val="00443EDB"/>
    <w:pPr>
      <w:tabs>
        <w:tab w:val="center" w:pos="4513"/>
        <w:tab w:val="right" w:pos="9026"/>
      </w:tabs>
      <w:spacing w:after="0"/>
    </w:pPr>
  </w:style>
  <w:style w:type="character" w:customStyle="1" w:styleId="HeaderChar">
    <w:name w:val="Header Char"/>
    <w:basedOn w:val="DefaultParagraphFont"/>
    <w:link w:val="Header"/>
    <w:uiPriority w:val="99"/>
    <w:rsid w:val="00443EDB"/>
    <w:rPr>
      <w:rFonts w:ascii="Calibri" w:eastAsia="Calibri" w:hAnsi="Calibri" w:cs="Times New Roman"/>
    </w:rPr>
  </w:style>
  <w:style w:type="paragraph" w:styleId="Footer">
    <w:name w:val="footer"/>
    <w:basedOn w:val="Normal"/>
    <w:link w:val="FooterChar"/>
    <w:uiPriority w:val="99"/>
    <w:unhideWhenUsed/>
    <w:rsid w:val="00443EDB"/>
    <w:pPr>
      <w:tabs>
        <w:tab w:val="center" w:pos="4513"/>
        <w:tab w:val="right" w:pos="9026"/>
      </w:tabs>
      <w:spacing w:after="0"/>
    </w:pPr>
  </w:style>
  <w:style w:type="character" w:customStyle="1" w:styleId="FooterChar">
    <w:name w:val="Footer Char"/>
    <w:basedOn w:val="DefaultParagraphFont"/>
    <w:link w:val="Footer"/>
    <w:uiPriority w:val="99"/>
    <w:rsid w:val="00443EDB"/>
    <w:rPr>
      <w:rFonts w:ascii="Calibri" w:eastAsia="Calibri" w:hAnsi="Calibri" w:cs="Times New Roman"/>
    </w:rPr>
  </w:style>
  <w:style w:type="paragraph" w:styleId="NormalWeb">
    <w:name w:val="Normal (Web)"/>
    <w:basedOn w:val="Normal"/>
    <w:uiPriority w:val="99"/>
    <w:unhideWhenUsed/>
    <w:rsid w:val="005E5211"/>
    <w:pPr>
      <w:spacing w:before="100" w:beforeAutospacing="1" w:after="100" w:afterAutospacing="1" w:line="360" w:lineRule="auto"/>
    </w:pPr>
    <w:rPr>
      <w:rFonts w:ascii="Merriweather" w:eastAsia="Times New Roman" w:hAnsi="Merriweather"/>
      <w:color w:val="000000"/>
      <w:sz w:val="24"/>
      <w:szCs w:val="24"/>
      <w:lang w:eastAsia="en-GB"/>
    </w:rPr>
  </w:style>
  <w:style w:type="paragraph" w:styleId="BodyText">
    <w:name w:val="Body Text"/>
    <w:basedOn w:val="Normal"/>
    <w:link w:val="BodyTextChar"/>
    <w:uiPriority w:val="1"/>
    <w:qFormat/>
    <w:rsid w:val="0067124A"/>
    <w:pPr>
      <w:widowControl w:val="0"/>
      <w:spacing w:after="0"/>
      <w:ind w:left="838" w:hanging="360"/>
    </w:pPr>
    <w:rPr>
      <w:rFonts w:ascii="Arial" w:eastAsia="Arial" w:hAnsi="Arial" w:cstheme="minorBidi"/>
      <w:sz w:val="24"/>
      <w:szCs w:val="24"/>
      <w:lang w:val="en-US"/>
    </w:rPr>
  </w:style>
  <w:style w:type="character" w:customStyle="1" w:styleId="BodyTextChar">
    <w:name w:val="Body Text Char"/>
    <w:basedOn w:val="DefaultParagraphFont"/>
    <w:link w:val="BodyText"/>
    <w:uiPriority w:val="1"/>
    <w:rsid w:val="0067124A"/>
    <w:rPr>
      <w:rFonts w:ascii="Arial" w:eastAsia="Arial" w:hAnsi="Arial"/>
      <w:sz w:val="24"/>
      <w:szCs w:val="24"/>
      <w:lang w:val="en-US"/>
    </w:rPr>
  </w:style>
  <w:style w:type="character" w:customStyle="1" w:styleId="hgkelc">
    <w:name w:val="hgkelc"/>
    <w:basedOn w:val="DefaultParagraphFont"/>
    <w:rsid w:val="000F7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959023">
      <w:bodyDiv w:val="1"/>
      <w:marLeft w:val="0"/>
      <w:marRight w:val="0"/>
      <w:marTop w:val="0"/>
      <w:marBottom w:val="0"/>
      <w:divBdr>
        <w:top w:val="none" w:sz="0" w:space="0" w:color="auto"/>
        <w:left w:val="none" w:sz="0" w:space="0" w:color="auto"/>
        <w:bottom w:val="none" w:sz="0" w:space="0" w:color="auto"/>
        <w:right w:val="none" w:sz="0" w:space="0" w:color="auto"/>
      </w:divBdr>
      <w:divsChild>
        <w:div w:id="2056998370">
          <w:marLeft w:val="0"/>
          <w:marRight w:val="0"/>
          <w:marTop w:val="0"/>
          <w:marBottom w:val="0"/>
          <w:divBdr>
            <w:top w:val="none" w:sz="0" w:space="0" w:color="auto"/>
            <w:left w:val="none" w:sz="0" w:space="0" w:color="auto"/>
            <w:bottom w:val="none" w:sz="0" w:space="0" w:color="auto"/>
            <w:right w:val="none" w:sz="0" w:space="0" w:color="auto"/>
          </w:divBdr>
          <w:divsChild>
            <w:div w:id="72632448">
              <w:marLeft w:val="0"/>
              <w:marRight w:val="0"/>
              <w:marTop w:val="0"/>
              <w:marBottom w:val="0"/>
              <w:divBdr>
                <w:top w:val="none" w:sz="0" w:space="0" w:color="auto"/>
                <w:left w:val="none" w:sz="0" w:space="0" w:color="auto"/>
                <w:bottom w:val="none" w:sz="0" w:space="0" w:color="auto"/>
                <w:right w:val="none" w:sz="0" w:space="0" w:color="auto"/>
              </w:divBdr>
              <w:divsChild>
                <w:div w:id="1640258186">
                  <w:marLeft w:val="0"/>
                  <w:marRight w:val="0"/>
                  <w:marTop w:val="0"/>
                  <w:marBottom w:val="0"/>
                  <w:divBdr>
                    <w:top w:val="none" w:sz="0" w:space="0" w:color="auto"/>
                    <w:left w:val="none" w:sz="0" w:space="0" w:color="auto"/>
                    <w:bottom w:val="none" w:sz="0" w:space="0" w:color="auto"/>
                    <w:right w:val="none" w:sz="0" w:space="0" w:color="auto"/>
                  </w:divBdr>
                  <w:divsChild>
                    <w:div w:id="943655829">
                      <w:marLeft w:val="0"/>
                      <w:marRight w:val="0"/>
                      <w:marTop w:val="0"/>
                      <w:marBottom w:val="0"/>
                      <w:divBdr>
                        <w:top w:val="none" w:sz="0" w:space="0" w:color="auto"/>
                        <w:left w:val="none" w:sz="0" w:space="0" w:color="auto"/>
                        <w:bottom w:val="none" w:sz="0" w:space="0" w:color="auto"/>
                        <w:right w:val="none" w:sz="0" w:space="0" w:color="auto"/>
                      </w:divBdr>
                      <w:divsChild>
                        <w:div w:id="1779328852">
                          <w:marLeft w:val="0"/>
                          <w:marRight w:val="0"/>
                          <w:marTop w:val="0"/>
                          <w:marBottom w:val="0"/>
                          <w:divBdr>
                            <w:top w:val="none" w:sz="0" w:space="0" w:color="auto"/>
                            <w:left w:val="none" w:sz="0" w:space="0" w:color="auto"/>
                            <w:bottom w:val="none" w:sz="0" w:space="0" w:color="auto"/>
                            <w:right w:val="none" w:sz="0" w:space="0" w:color="auto"/>
                          </w:divBdr>
                          <w:divsChild>
                            <w:div w:id="1567299261">
                              <w:marLeft w:val="0"/>
                              <w:marRight w:val="0"/>
                              <w:marTop w:val="0"/>
                              <w:marBottom w:val="0"/>
                              <w:divBdr>
                                <w:top w:val="none" w:sz="0" w:space="0" w:color="auto"/>
                                <w:left w:val="none" w:sz="0" w:space="0" w:color="auto"/>
                                <w:bottom w:val="none" w:sz="0" w:space="0" w:color="auto"/>
                                <w:right w:val="none" w:sz="0" w:space="0" w:color="auto"/>
                              </w:divBdr>
                              <w:divsChild>
                                <w:div w:id="1130056888">
                                  <w:marLeft w:val="0"/>
                                  <w:marRight w:val="0"/>
                                  <w:marTop w:val="0"/>
                                  <w:marBottom w:val="0"/>
                                  <w:divBdr>
                                    <w:top w:val="none" w:sz="0" w:space="0" w:color="auto"/>
                                    <w:left w:val="none" w:sz="0" w:space="0" w:color="auto"/>
                                    <w:bottom w:val="none" w:sz="0" w:space="0" w:color="auto"/>
                                    <w:right w:val="none" w:sz="0" w:space="0" w:color="auto"/>
                                  </w:divBdr>
                                  <w:divsChild>
                                    <w:div w:id="1023895948">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12788">
      <w:bodyDiv w:val="1"/>
      <w:marLeft w:val="0"/>
      <w:marRight w:val="0"/>
      <w:marTop w:val="0"/>
      <w:marBottom w:val="0"/>
      <w:divBdr>
        <w:top w:val="none" w:sz="0" w:space="0" w:color="auto"/>
        <w:left w:val="none" w:sz="0" w:space="0" w:color="auto"/>
        <w:bottom w:val="none" w:sz="0" w:space="0" w:color="auto"/>
        <w:right w:val="none" w:sz="0" w:space="0" w:color="auto"/>
      </w:divBdr>
      <w:divsChild>
        <w:div w:id="1166822738">
          <w:marLeft w:val="547"/>
          <w:marRight w:val="0"/>
          <w:marTop w:val="130"/>
          <w:marBottom w:val="0"/>
          <w:divBdr>
            <w:top w:val="none" w:sz="0" w:space="0" w:color="auto"/>
            <w:left w:val="none" w:sz="0" w:space="0" w:color="auto"/>
            <w:bottom w:val="none" w:sz="0" w:space="0" w:color="auto"/>
            <w:right w:val="none" w:sz="0" w:space="0" w:color="auto"/>
          </w:divBdr>
        </w:div>
        <w:div w:id="747770524">
          <w:marLeft w:val="547"/>
          <w:marRight w:val="0"/>
          <w:marTop w:val="130"/>
          <w:marBottom w:val="0"/>
          <w:divBdr>
            <w:top w:val="none" w:sz="0" w:space="0" w:color="auto"/>
            <w:left w:val="none" w:sz="0" w:space="0" w:color="auto"/>
            <w:bottom w:val="none" w:sz="0" w:space="0" w:color="auto"/>
            <w:right w:val="none" w:sz="0" w:space="0" w:color="auto"/>
          </w:divBdr>
        </w:div>
      </w:divsChild>
    </w:div>
    <w:div w:id="135269895">
      <w:bodyDiv w:val="1"/>
      <w:marLeft w:val="0"/>
      <w:marRight w:val="0"/>
      <w:marTop w:val="0"/>
      <w:marBottom w:val="0"/>
      <w:divBdr>
        <w:top w:val="none" w:sz="0" w:space="0" w:color="auto"/>
        <w:left w:val="none" w:sz="0" w:space="0" w:color="auto"/>
        <w:bottom w:val="none" w:sz="0" w:space="0" w:color="auto"/>
        <w:right w:val="none" w:sz="0" w:space="0" w:color="auto"/>
      </w:divBdr>
      <w:divsChild>
        <w:div w:id="950285616">
          <w:marLeft w:val="0"/>
          <w:marRight w:val="0"/>
          <w:marTop w:val="0"/>
          <w:marBottom w:val="0"/>
          <w:divBdr>
            <w:top w:val="none" w:sz="0" w:space="0" w:color="auto"/>
            <w:left w:val="none" w:sz="0" w:space="0" w:color="auto"/>
            <w:bottom w:val="none" w:sz="0" w:space="0" w:color="auto"/>
            <w:right w:val="none" w:sz="0" w:space="0" w:color="auto"/>
          </w:divBdr>
          <w:divsChild>
            <w:div w:id="1771123814">
              <w:marLeft w:val="0"/>
              <w:marRight w:val="0"/>
              <w:marTop w:val="0"/>
              <w:marBottom w:val="0"/>
              <w:divBdr>
                <w:top w:val="none" w:sz="0" w:space="0" w:color="auto"/>
                <w:left w:val="none" w:sz="0" w:space="0" w:color="auto"/>
                <w:bottom w:val="none" w:sz="0" w:space="0" w:color="auto"/>
                <w:right w:val="none" w:sz="0" w:space="0" w:color="auto"/>
              </w:divBdr>
              <w:divsChild>
                <w:div w:id="1104308738">
                  <w:marLeft w:val="0"/>
                  <w:marRight w:val="0"/>
                  <w:marTop w:val="0"/>
                  <w:marBottom w:val="0"/>
                  <w:divBdr>
                    <w:top w:val="none" w:sz="0" w:space="0" w:color="auto"/>
                    <w:left w:val="none" w:sz="0" w:space="0" w:color="auto"/>
                    <w:bottom w:val="none" w:sz="0" w:space="0" w:color="auto"/>
                    <w:right w:val="none" w:sz="0" w:space="0" w:color="auto"/>
                  </w:divBdr>
                  <w:divsChild>
                    <w:div w:id="141323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66527">
      <w:bodyDiv w:val="1"/>
      <w:marLeft w:val="0"/>
      <w:marRight w:val="0"/>
      <w:marTop w:val="0"/>
      <w:marBottom w:val="0"/>
      <w:divBdr>
        <w:top w:val="none" w:sz="0" w:space="0" w:color="auto"/>
        <w:left w:val="none" w:sz="0" w:space="0" w:color="auto"/>
        <w:bottom w:val="none" w:sz="0" w:space="0" w:color="auto"/>
        <w:right w:val="none" w:sz="0" w:space="0" w:color="auto"/>
      </w:divBdr>
      <w:divsChild>
        <w:div w:id="1067263919">
          <w:marLeft w:val="0"/>
          <w:marRight w:val="0"/>
          <w:marTop w:val="0"/>
          <w:marBottom w:val="0"/>
          <w:divBdr>
            <w:top w:val="none" w:sz="0" w:space="0" w:color="auto"/>
            <w:left w:val="none" w:sz="0" w:space="0" w:color="auto"/>
            <w:bottom w:val="none" w:sz="0" w:space="0" w:color="auto"/>
            <w:right w:val="none" w:sz="0" w:space="0" w:color="auto"/>
          </w:divBdr>
          <w:divsChild>
            <w:div w:id="1703049993">
              <w:marLeft w:val="0"/>
              <w:marRight w:val="0"/>
              <w:marTop w:val="0"/>
              <w:marBottom w:val="0"/>
              <w:divBdr>
                <w:top w:val="none" w:sz="0" w:space="0" w:color="auto"/>
                <w:left w:val="none" w:sz="0" w:space="0" w:color="auto"/>
                <w:bottom w:val="none" w:sz="0" w:space="0" w:color="auto"/>
                <w:right w:val="none" w:sz="0" w:space="0" w:color="auto"/>
              </w:divBdr>
              <w:divsChild>
                <w:div w:id="1741709515">
                  <w:marLeft w:val="0"/>
                  <w:marRight w:val="0"/>
                  <w:marTop w:val="0"/>
                  <w:marBottom w:val="0"/>
                  <w:divBdr>
                    <w:top w:val="none" w:sz="0" w:space="0" w:color="auto"/>
                    <w:left w:val="none" w:sz="0" w:space="0" w:color="auto"/>
                    <w:bottom w:val="none" w:sz="0" w:space="0" w:color="auto"/>
                    <w:right w:val="none" w:sz="0" w:space="0" w:color="auto"/>
                  </w:divBdr>
                  <w:divsChild>
                    <w:div w:id="1244340793">
                      <w:marLeft w:val="0"/>
                      <w:marRight w:val="0"/>
                      <w:marTop w:val="0"/>
                      <w:marBottom w:val="0"/>
                      <w:divBdr>
                        <w:top w:val="none" w:sz="0" w:space="0" w:color="auto"/>
                        <w:left w:val="none" w:sz="0" w:space="0" w:color="auto"/>
                        <w:bottom w:val="none" w:sz="0" w:space="0" w:color="auto"/>
                        <w:right w:val="none" w:sz="0" w:space="0" w:color="auto"/>
                      </w:divBdr>
                      <w:divsChild>
                        <w:div w:id="1153184403">
                          <w:marLeft w:val="0"/>
                          <w:marRight w:val="0"/>
                          <w:marTop w:val="0"/>
                          <w:marBottom w:val="0"/>
                          <w:divBdr>
                            <w:top w:val="none" w:sz="0" w:space="0" w:color="auto"/>
                            <w:left w:val="none" w:sz="0" w:space="0" w:color="auto"/>
                            <w:bottom w:val="none" w:sz="0" w:space="0" w:color="auto"/>
                            <w:right w:val="none" w:sz="0" w:space="0" w:color="auto"/>
                          </w:divBdr>
                          <w:divsChild>
                            <w:div w:id="638537635">
                              <w:marLeft w:val="0"/>
                              <w:marRight w:val="0"/>
                              <w:marTop w:val="0"/>
                              <w:marBottom w:val="0"/>
                              <w:divBdr>
                                <w:top w:val="none" w:sz="0" w:space="0" w:color="auto"/>
                                <w:left w:val="none" w:sz="0" w:space="0" w:color="auto"/>
                                <w:bottom w:val="none" w:sz="0" w:space="0" w:color="auto"/>
                                <w:right w:val="none" w:sz="0" w:space="0" w:color="auto"/>
                              </w:divBdr>
                              <w:divsChild>
                                <w:div w:id="1012223012">
                                  <w:marLeft w:val="0"/>
                                  <w:marRight w:val="0"/>
                                  <w:marTop w:val="0"/>
                                  <w:marBottom w:val="0"/>
                                  <w:divBdr>
                                    <w:top w:val="none" w:sz="0" w:space="0" w:color="auto"/>
                                    <w:left w:val="none" w:sz="0" w:space="0" w:color="auto"/>
                                    <w:bottom w:val="none" w:sz="0" w:space="0" w:color="auto"/>
                                    <w:right w:val="none" w:sz="0" w:space="0" w:color="auto"/>
                                  </w:divBdr>
                                  <w:divsChild>
                                    <w:div w:id="1867283473">
                                      <w:marLeft w:val="0"/>
                                      <w:marRight w:val="0"/>
                                      <w:marTop w:val="0"/>
                                      <w:marBottom w:val="0"/>
                                      <w:divBdr>
                                        <w:top w:val="none" w:sz="0" w:space="0" w:color="auto"/>
                                        <w:left w:val="none" w:sz="0" w:space="0" w:color="auto"/>
                                        <w:bottom w:val="none" w:sz="0" w:space="0" w:color="auto"/>
                                        <w:right w:val="none" w:sz="0" w:space="0" w:color="auto"/>
                                      </w:divBdr>
                                      <w:divsChild>
                                        <w:div w:id="1197501754">
                                          <w:marLeft w:val="0"/>
                                          <w:marRight w:val="0"/>
                                          <w:marTop w:val="0"/>
                                          <w:marBottom w:val="0"/>
                                          <w:divBdr>
                                            <w:top w:val="none" w:sz="0" w:space="0" w:color="auto"/>
                                            <w:left w:val="none" w:sz="0" w:space="0" w:color="auto"/>
                                            <w:bottom w:val="none" w:sz="0" w:space="0" w:color="auto"/>
                                            <w:right w:val="none" w:sz="0" w:space="0" w:color="auto"/>
                                          </w:divBdr>
                                          <w:divsChild>
                                            <w:div w:id="148767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1184800">
      <w:bodyDiv w:val="1"/>
      <w:marLeft w:val="0"/>
      <w:marRight w:val="0"/>
      <w:marTop w:val="0"/>
      <w:marBottom w:val="0"/>
      <w:divBdr>
        <w:top w:val="none" w:sz="0" w:space="0" w:color="auto"/>
        <w:left w:val="none" w:sz="0" w:space="0" w:color="auto"/>
        <w:bottom w:val="none" w:sz="0" w:space="0" w:color="auto"/>
        <w:right w:val="none" w:sz="0" w:space="0" w:color="auto"/>
      </w:divBdr>
      <w:divsChild>
        <w:div w:id="267007044">
          <w:marLeft w:val="547"/>
          <w:marRight w:val="0"/>
          <w:marTop w:val="144"/>
          <w:marBottom w:val="0"/>
          <w:divBdr>
            <w:top w:val="none" w:sz="0" w:space="0" w:color="auto"/>
            <w:left w:val="none" w:sz="0" w:space="0" w:color="auto"/>
            <w:bottom w:val="none" w:sz="0" w:space="0" w:color="auto"/>
            <w:right w:val="none" w:sz="0" w:space="0" w:color="auto"/>
          </w:divBdr>
        </w:div>
        <w:div w:id="1021129368">
          <w:marLeft w:val="547"/>
          <w:marRight w:val="0"/>
          <w:marTop w:val="144"/>
          <w:marBottom w:val="0"/>
          <w:divBdr>
            <w:top w:val="none" w:sz="0" w:space="0" w:color="auto"/>
            <w:left w:val="none" w:sz="0" w:space="0" w:color="auto"/>
            <w:bottom w:val="none" w:sz="0" w:space="0" w:color="auto"/>
            <w:right w:val="none" w:sz="0" w:space="0" w:color="auto"/>
          </w:divBdr>
        </w:div>
        <w:div w:id="1156727072">
          <w:marLeft w:val="547"/>
          <w:marRight w:val="0"/>
          <w:marTop w:val="144"/>
          <w:marBottom w:val="0"/>
          <w:divBdr>
            <w:top w:val="none" w:sz="0" w:space="0" w:color="auto"/>
            <w:left w:val="none" w:sz="0" w:space="0" w:color="auto"/>
            <w:bottom w:val="none" w:sz="0" w:space="0" w:color="auto"/>
            <w:right w:val="none" w:sz="0" w:space="0" w:color="auto"/>
          </w:divBdr>
        </w:div>
        <w:div w:id="886374442">
          <w:marLeft w:val="547"/>
          <w:marRight w:val="0"/>
          <w:marTop w:val="144"/>
          <w:marBottom w:val="0"/>
          <w:divBdr>
            <w:top w:val="none" w:sz="0" w:space="0" w:color="auto"/>
            <w:left w:val="none" w:sz="0" w:space="0" w:color="auto"/>
            <w:bottom w:val="none" w:sz="0" w:space="0" w:color="auto"/>
            <w:right w:val="none" w:sz="0" w:space="0" w:color="auto"/>
          </w:divBdr>
        </w:div>
        <w:div w:id="510682668">
          <w:marLeft w:val="547"/>
          <w:marRight w:val="0"/>
          <w:marTop w:val="144"/>
          <w:marBottom w:val="0"/>
          <w:divBdr>
            <w:top w:val="none" w:sz="0" w:space="0" w:color="auto"/>
            <w:left w:val="none" w:sz="0" w:space="0" w:color="auto"/>
            <w:bottom w:val="none" w:sz="0" w:space="0" w:color="auto"/>
            <w:right w:val="none" w:sz="0" w:space="0" w:color="auto"/>
          </w:divBdr>
        </w:div>
        <w:div w:id="1988512537">
          <w:marLeft w:val="547"/>
          <w:marRight w:val="0"/>
          <w:marTop w:val="144"/>
          <w:marBottom w:val="0"/>
          <w:divBdr>
            <w:top w:val="none" w:sz="0" w:space="0" w:color="auto"/>
            <w:left w:val="none" w:sz="0" w:space="0" w:color="auto"/>
            <w:bottom w:val="none" w:sz="0" w:space="0" w:color="auto"/>
            <w:right w:val="none" w:sz="0" w:space="0" w:color="auto"/>
          </w:divBdr>
        </w:div>
      </w:divsChild>
    </w:div>
    <w:div w:id="543324758">
      <w:bodyDiv w:val="1"/>
      <w:marLeft w:val="0"/>
      <w:marRight w:val="0"/>
      <w:marTop w:val="0"/>
      <w:marBottom w:val="0"/>
      <w:divBdr>
        <w:top w:val="none" w:sz="0" w:space="0" w:color="auto"/>
        <w:left w:val="none" w:sz="0" w:space="0" w:color="auto"/>
        <w:bottom w:val="none" w:sz="0" w:space="0" w:color="auto"/>
        <w:right w:val="none" w:sz="0" w:space="0" w:color="auto"/>
      </w:divBdr>
      <w:divsChild>
        <w:div w:id="871654541">
          <w:marLeft w:val="0"/>
          <w:marRight w:val="0"/>
          <w:marTop w:val="0"/>
          <w:marBottom w:val="0"/>
          <w:divBdr>
            <w:top w:val="none" w:sz="0" w:space="0" w:color="auto"/>
            <w:left w:val="none" w:sz="0" w:space="0" w:color="auto"/>
            <w:bottom w:val="none" w:sz="0" w:space="0" w:color="auto"/>
            <w:right w:val="none" w:sz="0" w:space="0" w:color="auto"/>
          </w:divBdr>
          <w:divsChild>
            <w:div w:id="2138640983">
              <w:marLeft w:val="0"/>
              <w:marRight w:val="0"/>
              <w:marTop w:val="0"/>
              <w:marBottom w:val="0"/>
              <w:divBdr>
                <w:top w:val="none" w:sz="0" w:space="0" w:color="auto"/>
                <w:left w:val="none" w:sz="0" w:space="0" w:color="auto"/>
                <w:bottom w:val="none" w:sz="0" w:space="0" w:color="auto"/>
                <w:right w:val="none" w:sz="0" w:space="0" w:color="auto"/>
              </w:divBdr>
              <w:divsChild>
                <w:div w:id="607664058">
                  <w:marLeft w:val="0"/>
                  <w:marRight w:val="0"/>
                  <w:marTop w:val="0"/>
                  <w:marBottom w:val="0"/>
                  <w:divBdr>
                    <w:top w:val="none" w:sz="0" w:space="0" w:color="auto"/>
                    <w:left w:val="none" w:sz="0" w:space="0" w:color="auto"/>
                    <w:bottom w:val="none" w:sz="0" w:space="0" w:color="auto"/>
                    <w:right w:val="none" w:sz="0" w:space="0" w:color="auto"/>
                  </w:divBdr>
                  <w:divsChild>
                    <w:div w:id="1904365588">
                      <w:marLeft w:val="0"/>
                      <w:marRight w:val="0"/>
                      <w:marTop w:val="0"/>
                      <w:marBottom w:val="0"/>
                      <w:divBdr>
                        <w:top w:val="none" w:sz="0" w:space="0" w:color="auto"/>
                        <w:left w:val="none" w:sz="0" w:space="0" w:color="auto"/>
                        <w:bottom w:val="none" w:sz="0" w:space="0" w:color="auto"/>
                        <w:right w:val="none" w:sz="0" w:space="0" w:color="auto"/>
                      </w:divBdr>
                      <w:divsChild>
                        <w:div w:id="1402829862">
                          <w:marLeft w:val="0"/>
                          <w:marRight w:val="0"/>
                          <w:marTop w:val="0"/>
                          <w:marBottom w:val="0"/>
                          <w:divBdr>
                            <w:top w:val="none" w:sz="0" w:space="0" w:color="auto"/>
                            <w:left w:val="none" w:sz="0" w:space="0" w:color="auto"/>
                            <w:bottom w:val="none" w:sz="0" w:space="0" w:color="auto"/>
                            <w:right w:val="none" w:sz="0" w:space="0" w:color="auto"/>
                          </w:divBdr>
                          <w:divsChild>
                            <w:div w:id="2076125679">
                              <w:marLeft w:val="0"/>
                              <w:marRight w:val="0"/>
                              <w:marTop w:val="0"/>
                              <w:marBottom w:val="0"/>
                              <w:divBdr>
                                <w:top w:val="none" w:sz="0" w:space="0" w:color="auto"/>
                                <w:left w:val="none" w:sz="0" w:space="0" w:color="auto"/>
                                <w:bottom w:val="none" w:sz="0" w:space="0" w:color="auto"/>
                                <w:right w:val="none" w:sz="0" w:space="0" w:color="auto"/>
                              </w:divBdr>
                              <w:divsChild>
                                <w:div w:id="856886736">
                                  <w:marLeft w:val="0"/>
                                  <w:marRight w:val="0"/>
                                  <w:marTop w:val="0"/>
                                  <w:marBottom w:val="0"/>
                                  <w:divBdr>
                                    <w:top w:val="none" w:sz="0" w:space="0" w:color="auto"/>
                                    <w:left w:val="none" w:sz="0" w:space="0" w:color="auto"/>
                                    <w:bottom w:val="none" w:sz="0" w:space="0" w:color="auto"/>
                                    <w:right w:val="none" w:sz="0" w:space="0" w:color="auto"/>
                                  </w:divBdr>
                                  <w:divsChild>
                                    <w:div w:id="1142884711">
                                      <w:marLeft w:val="0"/>
                                      <w:marRight w:val="0"/>
                                      <w:marTop w:val="0"/>
                                      <w:marBottom w:val="0"/>
                                      <w:divBdr>
                                        <w:top w:val="none" w:sz="0" w:space="0" w:color="auto"/>
                                        <w:left w:val="none" w:sz="0" w:space="0" w:color="auto"/>
                                        <w:bottom w:val="none" w:sz="0" w:space="0" w:color="auto"/>
                                        <w:right w:val="none" w:sz="0" w:space="0" w:color="auto"/>
                                      </w:divBdr>
                                      <w:divsChild>
                                        <w:div w:id="497111935">
                                          <w:marLeft w:val="0"/>
                                          <w:marRight w:val="0"/>
                                          <w:marTop w:val="0"/>
                                          <w:marBottom w:val="0"/>
                                          <w:divBdr>
                                            <w:top w:val="none" w:sz="0" w:space="0" w:color="auto"/>
                                            <w:left w:val="none" w:sz="0" w:space="0" w:color="auto"/>
                                            <w:bottom w:val="none" w:sz="0" w:space="0" w:color="auto"/>
                                            <w:right w:val="none" w:sz="0" w:space="0" w:color="auto"/>
                                          </w:divBdr>
                                          <w:divsChild>
                                            <w:div w:id="1994748723">
                                              <w:marLeft w:val="0"/>
                                              <w:marRight w:val="0"/>
                                              <w:marTop w:val="0"/>
                                              <w:marBottom w:val="0"/>
                                              <w:divBdr>
                                                <w:top w:val="none" w:sz="0" w:space="0" w:color="auto"/>
                                                <w:left w:val="none" w:sz="0" w:space="0" w:color="auto"/>
                                                <w:bottom w:val="none" w:sz="0" w:space="0" w:color="auto"/>
                                                <w:right w:val="none" w:sz="0" w:space="0" w:color="auto"/>
                                              </w:divBdr>
                                              <w:divsChild>
                                                <w:div w:id="824785870">
                                                  <w:marLeft w:val="0"/>
                                                  <w:marRight w:val="0"/>
                                                  <w:marTop w:val="0"/>
                                                  <w:marBottom w:val="0"/>
                                                  <w:divBdr>
                                                    <w:top w:val="none" w:sz="0" w:space="0" w:color="auto"/>
                                                    <w:left w:val="none" w:sz="0" w:space="0" w:color="auto"/>
                                                    <w:bottom w:val="none" w:sz="0" w:space="0" w:color="auto"/>
                                                    <w:right w:val="none" w:sz="0" w:space="0" w:color="auto"/>
                                                  </w:divBdr>
                                                  <w:divsChild>
                                                    <w:div w:id="193732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6458575">
      <w:bodyDiv w:val="1"/>
      <w:marLeft w:val="0"/>
      <w:marRight w:val="0"/>
      <w:marTop w:val="0"/>
      <w:marBottom w:val="0"/>
      <w:divBdr>
        <w:top w:val="none" w:sz="0" w:space="0" w:color="auto"/>
        <w:left w:val="none" w:sz="0" w:space="0" w:color="auto"/>
        <w:bottom w:val="none" w:sz="0" w:space="0" w:color="auto"/>
        <w:right w:val="none" w:sz="0" w:space="0" w:color="auto"/>
      </w:divBdr>
      <w:divsChild>
        <w:div w:id="1681662245">
          <w:marLeft w:val="0"/>
          <w:marRight w:val="0"/>
          <w:marTop w:val="0"/>
          <w:marBottom w:val="0"/>
          <w:divBdr>
            <w:top w:val="none" w:sz="0" w:space="0" w:color="auto"/>
            <w:left w:val="none" w:sz="0" w:space="0" w:color="auto"/>
            <w:bottom w:val="none" w:sz="0" w:space="0" w:color="auto"/>
            <w:right w:val="none" w:sz="0" w:space="0" w:color="auto"/>
          </w:divBdr>
          <w:divsChild>
            <w:div w:id="1825195506">
              <w:marLeft w:val="0"/>
              <w:marRight w:val="0"/>
              <w:marTop w:val="0"/>
              <w:marBottom w:val="0"/>
              <w:divBdr>
                <w:top w:val="none" w:sz="0" w:space="0" w:color="auto"/>
                <w:left w:val="none" w:sz="0" w:space="0" w:color="auto"/>
                <w:bottom w:val="none" w:sz="0" w:space="0" w:color="auto"/>
                <w:right w:val="none" w:sz="0" w:space="0" w:color="auto"/>
              </w:divBdr>
              <w:divsChild>
                <w:div w:id="180245639">
                  <w:marLeft w:val="0"/>
                  <w:marRight w:val="0"/>
                  <w:marTop w:val="0"/>
                  <w:marBottom w:val="0"/>
                  <w:divBdr>
                    <w:top w:val="none" w:sz="0" w:space="0" w:color="auto"/>
                    <w:left w:val="none" w:sz="0" w:space="0" w:color="auto"/>
                    <w:bottom w:val="none" w:sz="0" w:space="0" w:color="auto"/>
                    <w:right w:val="none" w:sz="0" w:space="0" w:color="auto"/>
                  </w:divBdr>
                  <w:divsChild>
                    <w:div w:id="183422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120124">
      <w:bodyDiv w:val="1"/>
      <w:marLeft w:val="0"/>
      <w:marRight w:val="0"/>
      <w:marTop w:val="0"/>
      <w:marBottom w:val="0"/>
      <w:divBdr>
        <w:top w:val="none" w:sz="0" w:space="0" w:color="auto"/>
        <w:left w:val="none" w:sz="0" w:space="0" w:color="auto"/>
        <w:bottom w:val="none" w:sz="0" w:space="0" w:color="auto"/>
        <w:right w:val="none" w:sz="0" w:space="0" w:color="auto"/>
      </w:divBdr>
      <w:divsChild>
        <w:div w:id="797458050">
          <w:marLeft w:val="0"/>
          <w:marRight w:val="0"/>
          <w:marTop w:val="2775"/>
          <w:marBottom w:val="0"/>
          <w:divBdr>
            <w:top w:val="none" w:sz="0" w:space="0" w:color="auto"/>
            <w:left w:val="none" w:sz="0" w:space="0" w:color="auto"/>
            <w:bottom w:val="none" w:sz="0" w:space="0" w:color="auto"/>
            <w:right w:val="none" w:sz="0" w:space="0" w:color="auto"/>
          </w:divBdr>
          <w:divsChild>
            <w:div w:id="1122069016">
              <w:marLeft w:val="0"/>
              <w:marRight w:val="0"/>
              <w:marTop w:val="750"/>
              <w:marBottom w:val="0"/>
              <w:divBdr>
                <w:top w:val="none" w:sz="0" w:space="0" w:color="auto"/>
                <w:left w:val="none" w:sz="0" w:space="0" w:color="auto"/>
                <w:bottom w:val="none" w:sz="0" w:space="0" w:color="auto"/>
                <w:right w:val="none" w:sz="0" w:space="0" w:color="auto"/>
              </w:divBdr>
              <w:divsChild>
                <w:div w:id="218908632">
                  <w:marLeft w:val="0"/>
                  <w:marRight w:val="0"/>
                  <w:marTop w:val="0"/>
                  <w:marBottom w:val="0"/>
                  <w:divBdr>
                    <w:top w:val="none" w:sz="0" w:space="0" w:color="auto"/>
                    <w:left w:val="none" w:sz="0" w:space="0" w:color="auto"/>
                    <w:bottom w:val="none" w:sz="0" w:space="0" w:color="auto"/>
                    <w:right w:val="none" w:sz="0" w:space="0" w:color="auto"/>
                  </w:divBdr>
                  <w:divsChild>
                    <w:div w:id="362094638">
                      <w:marLeft w:val="-225"/>
                      <w:marRight w:val="-225"/>
                      <w:marTop w:val="0"/>
                      <w:marBottom w:val="0"/>
                      <w:divBdr>
                        <w:top w:val="none" w:sz="0" w:space="0" w:color="auto"/>
                        <w:left w:val="none" w:sz="0" w:space="0" w:color="auto"/>
                        <w:bottom w:val="none" w:sz="0" w:space="0" w:color="auto"/>
                        <w:right w:val="none" w:sz="0" w:space="0" w:color="auto"/>
                      </w:divBdr>
                      <w:divsChild>
                        <w:div w:id="1711956416">
                          <w:marLeft w:val="0"/>
                          <w:marRight w:val="0"/>
                          <w:marTop w:val="0"/>
                          <w:marBottom w:val="0"/>
                          <w:divBdr>
                            <w:top w:val="none" w:sz="0" w:space="0" w:color="auto"/>
                            <w:left w:val="none" w:sz="0" w:space="0" w:color="auto"/>
                            <w:bottom w:val="none" w:sz="0" w:space="0" w:color="auto"/>
                            <w:right w:val="none" w:sz="0" w:space="0" w:color="auto"/>
                          </w:divBdr>
                          <w:divsChild>
                            <w:div w:id="1868594174">
                              <w:marLeft w:val="0"/>
                              <w:marRight w:val="0"/>
                              <w:marTop w:val="0"/>
                              <w:marBottom w:val="0"/>
                              <w:divBdr>
                                <w:top w:val="none" w:sz="0" w:space="0" w:color="auto"/>
                                <w:left w:val="none" w:sz="0" w:space="0" w:color="auto"/>
                                <w:bottom w:val="none" w:sz="0" w:space="0" w:color="auto"/>
                                <w:right w:val="none" w:sz="0" w:space="0" w:color="auto"/>
                              </w:divBdr>
                              <w:divsChild>
                                <w:div w:id="160248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4113027">
      <w:bodyDiv w:val="1"/>
      <w:marLeft w:val="0"/>
      <w:marRight w:val="0"/>
      <w:marTop w:val="0"/>
      <w:marBottom w:val="0"/>
      <w:divBdr>
        <w:top w:val="none" w:sz="0" w:space="0" w:color="auto"/>
        <w:left w:val="none" w:sz="0" w:space="0" w:color="auto"/>
        <w:bottom w:val="none" w:sz="0" w:space="0" w:color="auto"/>
        <w:right w:val="none" w:sz="0" w:space="0" w:color="auto"/>
      </w:divBdr>
      <w:divsChild>
        <w:div w:id="1725761832">
          <w:marLeft w:val="0"/>
          <w:marRight w:val="0"/>
          <w:marTop w:val="0"/>
          <w:marBottom w:val="0"/>
          <w:divBdr>
            <w:top w:val="none" w:sz="0" w:space="0" w:color="auto"/>
            <w:left w:val="none" w:sz="0" w:space="0" w:color="auto"/>
            <w:bottom w:val="none" w:sz="0" w:space="0" w:color="auto"/>
            <w:right w:val="none" w:sz="0" w:space="0" w:color="auto"/>
          </w:divBdr>
          <w:divsChild>
            <w:div w:id="1328090336">
              <w:marLeft w:val="0"/>
              <w:marRight w:val="0"/>
              <w:marTop w:val="0"/>
              <w:marBottom w:val="0"/>
              <w:divBdr>
                <w:top w:val="none" w:sz="0" w:space="0" w:color="auto"/>
                <w:left w:val="none" w:sz="0" w:space="0" w:color="auto"/>
                <w:bottom w:val="none" w:sz="0" w:space="0" w:color="auto"/>
                <w:right w:val="none" w:sz="0" w:space="0" w:color="auto"/>
              </w:divBdr>
              <w:divsChild>
                <w:div w:id="559636899">
                  <w:marLeft w:val="0"/>
                  <w:marRight w:val="0"/>
                  <w:marTop w:val="0"/>
                  <w:marBottom w:val="0"/>
                  <w:divBdr>
                    <w:top w:val="none" w:sz="0" w:space="0" w:color="auto"/>
                    <w:left w:val="none" w:sz="0" w:space="0" w:color="auto"/>
                    <w:bottom w:val="none" w:sz="0" w:space="0" w:color="auto"/>
                    <w:right w:val="none" w:sz="0" w:space="0" w:color="auto"/>
                  </w:divBdr>
                  <w:divsChild>
                    <w:div w:id="104571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046443">
      <w:bodyDiv w:val="1"/>
      <w:marLeft w:val="0"/>
      <w:marRight w:val="0"/>
      <w:marTop w:val="0"/>
      <w:marBottom w:val="0"/>
      <w:divBdr>
        <w:top w:val="none" w:sz="0" w:space="0" w:color="auto"/>
        <w:left w:val="none" w:sz="0" w:space="0" w:color="auto"/>
        <w:bottom w:val="none" w:sz="0" w:space="0" w:color="auto"/>
        <w:right w:val="none" w:sz="0" w:space="0" w:color="auto"/>
      </w:divBdr>
      <w:divsChild>
        <w:div w:id="1137798738">
          <w:marLeft w:val="0"/>
          <w:marRight w:val="0"/>
          <w:marTop w:val="2775"/>
          <w:marBottom w:val="0"/>
          <w:divBdr>
            <w:top w:val="none" w:sz="0" w:space="0" w:color="auto"/>
            <w:left w:val="none" w:sz="0" w:space="0" w:color="auto"/>
            <w:bottom w:val="none" w:sz="0" w:space="0" w:color="auto"/>
            <w:right w:val="none" w:sz="0" w:space="0" w:color="auto"/>
          </w:divBdr>
          <w:divsChild>
            <w:div w:id="562830767">
              <w:marLeft w:val="0"/>
              <w:marRight w:val="0"/>
              <w:marTop w:val="750"/>
              <w:marBottom w:val="0"/>
              <w:divBdr>
                <w:top w:val="none" w:sz="0" w:space="0" w:color="auto"/>
                <w:left w:val="none" w:sz="0" w:space="0" w:color="auto"/>
                <w:bottom w:val="none" w:sz="0" w:space="0" w:color="auto"/>
                <w:right w:val="none" w:sz="0" w:space="0" w:color="auto"/>
              </w:divBdr>
              <w:divsChild>
                <w:div w:id="1794250094">
                  <w:marLeft w:val="0"/>
                  <w:marRight w:val="0"/>
                  <w:marTop w:val="0"/>
                  <w:marBottom w:val="0"/>
                  <w:divBdr>
                    <w:top w:val="none" w:sz="0" w:space="0" w:color="auto"/>
                    <w:left w:val="none" w:sz="0" w:space="0" w:color="auto"/>
                    <w:bottom w:val="none" w:sz="0" w:space="0" w:color="auto"/>
                    <w:right w:val="none" w:sz="0" w:space="0" w:color="auto"/>
                  </w:divBdr>
                  <w:divsChild>
                    <w:div w:id="1189639175">
                      <w:marLeft w:val="-225"/>
                      <w:marRight w:val="-225"/>
                      <w:marTop w:val="0"/>
                      <w:marBottom w:val="0"/>
                      <w:divBdr>
                        <w:top w:val="none" w:sz="0" w:space="0" w:color="auto"/>
                        <w:left w:val="none" w:sz="0" w:space="0" w:color="auto"/>
                        <w:bottom w:val="none" w:sz="0" w:space="0" w:color="auto"/>
                        <w:right w:val="none" w:sz="0" w:space="0" w:color="auto"/>
                      </w:divBdr>
                      <w:divsChild>
                        <w:div w:id="1688362826">
                          <w:marLeft w:val="0"/>
                          <w:marRight w:val="0"/>
                          <w:marTop w:val="0"/>
                          <w:marBottom w:val="0"/>
                          <w:divBdr>
                            <w:top w:val="none" w:sz="0" w:space="0" w:color="auto"/>
                            <w:left w:val="none" w:sz="0" w:space="0" w:color="auto"/>
                            <w:bottom w:val="none" w:sz="0" w:space="0" w:color="auto"/>
                            <w:right w:val="none" w:sz="0" w:space="0" w:color="auto"/>
                          </w:divBdr>
                          <w:divsChild>
                            <w:div w:id="1374310191">
                              <w:marLeft w:val="0"/>
                              <w:marRight w:val="0"/>
                              <w:marTop w:val="0"/>
                              <w:marBottom w:val="0"/>
                              <w:divBdr>
                                <w:top w:val="none" w:sz="0" w:space="0" w:color="auto"/>
                                <w:left w:val="none" w:sz="0" w:space="0" w:color="auto"/>
                                <w:bottom w:val="none" w:sz="0" w:space="0" w:color="auto"/>
                                <w:right w:val="none" w:sz="0" w:space="0" w:color="auto"/>
                              </w:divBdr>
                              <w:divsChild>
                                <w:div w:id="151776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1459621">
      <w:bodyDiv w:val="1"/>
      <w:marLeft w:val="0"/>
      <w:marRight w:val="0"/>
      <w:marTop w:val="0"/>
      <w:marBottom w:val="0"/>
      <w:divBdr>
        <w:top w:val="none" w:sz="0" w:space="0" w:color="auto"/>
        <w:left w:val="none" w:sz="0" w:space="0" w:color="auto"/>
        <w:bottom w:val="none" w:sz="0" w:space="0" w:color="auto"/>
        <w:right w:val="none" w:sz="0" w:space="0" w:color="auto"/>
      </w:divBdr>
      <w:divsChild>
        <w:div w:id="123439391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2717</Words>
  <Characters>15488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Principal Project Manager)</dc:creator>
  <cp:keywords/>
  <dc:description/>
  <cp:lastModifiedBy>Sharon Richards (Hywel Dda UHB - Principal Project Manager)</cp:lastModifiedBy>
  <cp:revision>2</cp:revision>
  <dcterms:created xsi:type="dcterms:W3CDTF">2021-02-19T15:26:00Z</dcterms:created>
  <dcterms:modified xsi:type="dcterms:W3CDTF">2021-02-19T15:26:00Z</dcterms:modified>
</cp:coreProperties>
</file>