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D35633" w14:textId="77777777" w:rsidR="004E7B18" w:rsidRDefault="004E7B18" w:rsidP="004E7B18">
      <w:pPr>
        <w:jc w:val="center"/>
        <w:rPr>
          <w:lang w:val="en-GB"/>
        </w:rPr>
      </w:pPr>
    </w:p>
    <w:p w14:paraId="439EB519" w14:textId="77777777" w:rsidR="004E7B18" w:rsidRDefault="004E7B18" w:rsidP="004E7B18">
      <w:pPr>
        <w:jc w:val="center"/>
        <w:rPr>
          <w:lang w:val="en-GB"/>
        </w:rPr>
      </w:pPr>
    </w:p>
    <w:p w14:paraId="003BF0CF" w14:textId="77777777" w:rsidR="00573426" w:rsidRPr="00573426" w:rsidRDefault="00573426" w:rsidP="00573426">
      <w:pPr>
        <w:tabs>
          <w:tab w:val="left" w:pos="5580"/>
        </w:tabs>
        <w:jc w:val="center"/>
        <w:rPr>
          <w:rFonts w:ascii="Times New Roman" w:eastAsia="Calibri" w:hAnsi="Times New Roman" w:cs="Times New Roman"/>
          <w:b/>
          <w:color w:val="000000" w:themeColor="text1"/>
        </w:rPr>
      </w:pPr>
      <w:r w:rsidRPr="00573426">
        <w:rPr>
          <w:rFonts w:ascii="Times New Roman" w:eastAsia="Calibri" w:hAnsi="Times New Roman" w:cs="Times New Roman"/>
          <w:b/>
          <w:color w:val="000000" w:themeColor="text1"/>
        </w:rPr>
        <w:t>Cy</w:t>
      </w:r>
      <w:r w:rsidRPr="00573426">
        <w:rPr>
          <w:rFonts w:ascii="Times New Roman" w:hAnsi="Times New Roman" w:cs="Times New Roman"/>
          <w:b/>
          <w:color w:val="000000" w:themeColor="text1"/>
        </w:rPr>
        <w:t>flwynwch gy</w:t>
      </w:r>
      <w:r w:rsidRPr="00573426">
        <w:rPr>
          <w:rFonts w:ascii="Times New Roman" w:eastAsia="Calibri" w:hAnsi="Times New Roman" w:cs="Times New Roman"/>
          <w:b/>
          <w:color w:val="000000" w:themeColor="text1"/>
        </w:rPr>
        <w:t>fres o dasgau portffolio ac adfyfyriad proffesiynol ar y cynnydd a wneir mewn datblygiad iaith bersonol ar gyfer llafaredd, darllen ac ysgrifennu.</w:t>
      </w:r>
    </w:p>
    <w:p w14:paraId="737A10DC" w14:textId="77777777" w:rsidR="00573426" w:rsidRDefault="00573426" w:rsidP="00573426">
      <w:pPr>
        <w:jc w:val="center"/>
        <w:rPr>
          <w:lang w:val="cy-GB"/>
        </w:rPr>
      </w:pPr>
    </w:p>
    <w:p w14:paraId="2CE5B817" w14:textId="77777777" w:rsidR="00573426" w:rsidRDefault="00573426" w:rsidP="00573426">
      <w:pPr>
        <w:jc w:val="both"/>
        <w:rPr>
          <w:lang w:val="cy-GB"/>
        </w:rPr>
      </w:pPr>
    </w:p>
    <w:p w14:paraId="03D4210D" w14:textId="77777777" w:rsidR="00573426" w:rsidRDefault="00573426" w:rsidP="00573426">
      <w:pPr>
        <w:jc w:val="both"/>
        <w:rPr>
          <w:lang w:val="cy-GB"/>
        </w:rPr>
      </w:pPr>
    </w:p>
    <w:p w14:paraId="0CA90456" w14:textId="7B99513A" w:rsidR="0063115E" w:rsidRPr="00B23A72" w:rsidRDefault="000C3800" w:rsidP="00573426">
      <w:pPr>
        <w:jc w:val="both"/>
        <w:rPr>
          <w:rFonts w:ascii="Times New Roman" w:hAnsi="Times New Roman" w:cs="Times New Roman"/>
          <w:b/>
          <w:u w:val="single"/>
          <w:lang w:val="cy-GB"/>
        </w:rPr>
      </w:pPr>
      <w:r w:rsidRPr="00B23A72">
        <w:rPr>
          <w:rFonts w:ascii="Times New Roman" w:hAnsi="Times New Roman" w:cs="Times New Roman"/>
          <w:b/>
          <w:u w:val="single"/>
          <w:lang w:val="cy-GB"/>
        </w:rPr>
        <w:t>Tasg 1</w:t>
      </w:r>
    </w:p>
    <w:p w14:paraId="4AF7774A" w14:textId="77777777" w:rsidR="00087B31" w:rsidRPr="00B23A72" w:rsidRDefault="00087B31" w:rsidP="00573426">
      <w:pPr>
        <w:jc w:val="both"/>
        <w:rPr>
          <w:rFonts w:ascii="Times New Roman" w:hAnsi="Times New Roman" w:cs="Times New Roman"/>
          <w:lang w:val="cy-GB"/>
        </w:rPr>
      </w:pPr>
    </w:p>
    <w:p w14:paraId="1603AED7" w14:textId="19A57CCA" w:rsidR="00711CAE" w:rsidRPr="00B23A72" w:rsidRDefault="00FA1E77" w:rsidP="00711CAE">
      <w:pPr>
        <w:pStyle w:val="HTMLPreformatted"/>
        <w:spacing w:line="360" w:lineRule="auto"/>
        <w:jc w:val="both"/>
        <w:rPr>
          <w:rFonts w:ascii="Times New Roman" w:hAnsi="Times New Roman" w:cs="Times New Roman"/>
          <w:color w:val="212121"/>
          <w:sz w:val="24"/>
          <w:szCs w:val="24"/>
          <w:lang w:val="cy-GB"/>
        </w:rPr>
      </w:pPr>
      <w:r w:rsidRPr="00B23A72">
        <w:rPr>
          <w:rFonts w:ascii="Times New Roman" w:hAnsi="Times New Roman" w:cs="Times New Roman"/>
          <w:sz w:val="24"/>
          <w:szCs w:val="24"/>
          <w:lang w:val="cy-GB"/>
        </w:rPr>
        <w:t>Mae’r gweithgareddau a chyflwynir yn yr aseiniad yma yn ffocysu ar ansoddeiriau, berfau, ac adferfau. Penderfynwyd cwblhau weithgareddau yn seiliedig ar y testunau yma, gan fod y dosbarth o dri deg un disgybl ym mlwyddyn pump, ar fin cynnal trafodaeth dosbarth yn seiliedig ar thema’r tymor, sef plastigion. Pwrpas y drafodaeth yw dod i benderfyniad ynglŷn ag os oes angen plastig neu beidio. Pwysig iawn oedd sicrhau bod adferfau yn cael eu cyflwyno llaw yn llaw gydag adolygu ansoddeiriau. Noda Collins (1990) bod adferfau yn effeithiol iawn ar gyfer cryfhau’r defnydd o ansoddair mewn brawddeg. Ychwanega Myhill (2006) wrth awgrymu bod defnyddio dyfeisiau iaith yn gywir, yn medru creu tôn ddarbwyllol ac argyhoeddiadol. Wrth gyflwyno gwers yn seiliedig ar adferfau, ansoddeiriau a berfau, bydd y disgyblion yn fwy ymwybodol o sut i greu sgript, sy’n trafod ei safbwyntiau mewn modd sy’n cael dylanwad enfawr ar deimladau’r gynulleidfa yn dilyn y drafodaeth.</w:t>
      </w:r>
    </w:p>
    <w:p w14:paraId="0E437BEB" w14:textId="77777777" w:rsidR="0031314D" w:rsidRPr="00B23A72" w:rsidRDefault="0031314D" w:rsidP="00711CAE">
      <w:pPr>
        <w:pStyle w:val="HTMLPreformatted"/>
        <w:spacing w:line="360" w:lineRule="auto"/>
        <w:jc w:val="both"/>
        <w:rPr>
          <w:rFonts w:ascii="Times New Roman" w:hAnsi="Times New Roman" w:cs="Times New Roman"/>
          <w:color w:val="212121"/>
          <w:sz w:val="24"/>
          <w:szCs w:val="24"/>
          <w:lang w:val="cy-GB"/>
        </w:rPr>
      </w:pPr>
    </w:p>
    <w:p w14:paraId="5EB33007" w14:textId="5F60D327" w:rsidR="007A20CF" w:rsidRPr="00B23A72" w:rsidRDefault="00127B0E" w:rsidP="00711CAE">
      <w:pPr>
        <w:pStyle w:val="HTMLPreformatted"/>
        <w:spacing w:line="360" w:lineRule="auto"/>
        <w:jc w:val="both"/>
        <w:rPr>
          <w:rFonts w:ascii="Times New Roman" w:hAnsi="Times New Roman" w:cs="Times New Roman"/>
          <w:color w:val="212121"/>
          <w:sz w:val="24"/>
          <w:szCs w:val="24"/>
          <w:lang w:val="cy-GB"/>
        </w:rPr>
      </w:pPr>
      <w:r w:rsidRPr="00B23A72">
        <w:rPr>
          <w:rFonts w:ascii="Times New Roman" w:hAnsi="Times New Roman" w:cs="Times New Roman"/>
          <w:color w:val="212121"/>
          <w:sz w:val="24"/>
          <w:szCs w:val="24"/>
          <w:lang w:val="cy-GB"/>
        </w:rPr>
        <w:t>Mae’n allweddol wrth baratoi ar gyfer y drafodaeth, bod yr holl ddisgyblion yn ymwybodol o beth yw berf, adferf, ansoddair, a sut i’w defnyddio’n effeithiol mewn brawddeg. Am y rheswm yma, roedd gwahaniaethu’r tasgau yn galed. Ar gyfer gwahaniaethu ar gyfer y dasg yma, ystyrir yr amser a chymerwyd i unigolion gwblhau taflenni penodol. Roedd y taflenni a ddosbarthwyd i’r disgyblion, yn cynnwys darn darllen yn seiliedig ar blastigion. Yn dilyn y darn darllen, bydd y disgyblion yn gorfod nodi naill ai pob ansoddair, berf, neu adferf a ddarganfyddir, yn dibynnu ar ba weithgaredd maent yn cwblhau yn gyntaf. i’r grŵp gallu uchel, bydd y darn darllen ychydig yn haws, wrth iddo fod yn llai mewn maint a chynnwys ansoddeiriau, berfau neu adferfau yn unig, yn hytrach na chymysg o’r tair.</w:t>
      </w:r>
    </w:p>
    <w:p w14:paraId="2091769B" w14:textId="77777777" w:rsidR="00127B0E" w:rsidRPr="00B23A72" w:rsidRDefault="00127B0E" w:rsidP="00711CAE">
      <w:pPr>
        <w:pStyle w:val="HTMLPreformatted"/>
        <w:spacing w:line="360" w:lineRule="auto"/>
        <w:jc w:val="both"/>
        <w:rPr>
          <w:rFonts w:ascii="Times New Roman" w:hAnsi="Times New Roman" w:cs="Times New Roman"/>
          <w:color w:val="212121"/>
          <w:sz w:val="24"/>
          <w:szCs w:val="24"/>
          <w:lang w:val="cy-GB"/>
        </w:rPr>
      </w:pPr>
    </w:p>
    <w:p w14:paraId="12A83551" w14:textId="307D7597" w:rsidR="00087B31" w:rsidRPr="00B23A72" w:rsidRDefault="00737C2D" w:rsidP="00737C2D">
      <w:pPr>
        <w:spacing w:line="360" w:lineRule="auto"/>
        <w:jc w:val="both"/>
        <w:rPr>
          <w:rFonts w:ascii="Times New Roman" w:hAnsi="Times New Roman" w:cs="Times New Roman"/>
        </w:rPr>
      </w:pPr>
      <w:r w:rsidRPr="00B23A72">
        <w:rPr>
          <w:rFonts w:ascii="Times New Roman" w:hAnsi="Times New Roman" w:cs="Times New Roman"/>
        </w:rPr>
        <w:t xml:space="preserve">Mae’r gwaith wedi eu gwahaniaethu fel hyn er mwyn sicrhau bod cyflymder prosesu unigolion ddim yn cael effaith ar ba mor llwyddiannus ydyn nhw, wrth gwblhau’r tasgau. Noda gan Wright (2019) bod cyflymder prosesu unigolyn yn ymddangos yn glir yn ystod gweithgareddau darllen. Ehanga Wright wrth nodi bod cyflymder darllen cyffredin y disgyblion, ddim yn cael unrhyw effaith ar gyflymder prosesu disgyblion. Serch hynny, mae’n amlwg bod disgyblion </w:t>
      </w:r>
      <w:r w:rsidRPr="00B23A72">
        <w:rPr>
          <w:rFonts w:ascii="Times New Roman" w:hAnsi="Times New Roman" w:cs="Times New Roman"/>
        </w:rPr>
        <w:lastRenderedPageBreak/>
        <w:t>sy’n darllen gwaith yn gyflym, yn fwy tebygol o brosesu’r wybodaeth yn gyflym, i gymharu â’r disgyblion sy’n darllen yn araf. Ychwanega Cicerchia (2019) bod rhaid rhoi mwy o amser i unigolion gwblhau’r gweithgaredd os mae cyflymder darllen yr unigolyn yn isel. Wrth roi darn darllen llai i’r disgyblion penodol yma, bydd ganddynt fwy o amser i gwblhau’r gweithgareddau.</w:t>
      </w:r>
    </w:p>
    <w:p w14:paraId="5814E9B6" w14:textId="77777777" w:rsidR="00737C2D" w:rsidRPr="00B23A72" w:rsidRDefault="00737C2D" w:rsidP="00737C2D">
      <w:pPr>
        <w:spacing w:line="360" w:lineRule="auto"/>
        <w:jc w:val="both"/>
        <w:rPr>
          <w:rFonts w:ascii="Times New Roman" w:hAnsi="Times New Roman" w:cs="Times New Roman"/>
        </w:rPr>
      </w:pPr>
    </w:p>
    <w:p w14:paraId="3A96605E" w14:textId="77777777" w:rsidR="004E7B18" w:rsidRPr="00B23A72" w:rsidRDefault="004E7B18" w:rsidP="00573426">
      <w:pPr>
        <w:jc w:val="both"/>
        <w:rPr>
          <w:rFonts w:ascii="Times New Roman" w:hAnsi="Times New Roman" w:cs="Times New Roman"/>
          <w:lang w:val="en-GB"/>
        </w:rPr>
      </w:pPr>
    </w:p>
    <w:p w14:paraId="1FCBAF8E" w14:textId="6BB8A947" w:rsidR="00573A7A" w:rsidRPr="00DC23D4" w:rsidRDefault="00DC23D4" w:rsidP="00573426">
      <w:pPr>
        <w:jc w:val="both"/>
        <w:rPr>
          <w:rFonts w:ascii="Times New Roman" w:hAnsi="Times New Roman" w:cs="Times New Roman"/>
          <w:lang w:val="en-GB"/>
        </w:rPr>
      </w:pPr>
      <w:r>
        <w:rPr>
          <w:rFonts w:ascii="Times New Roman" w:hAnsi="Times New Roman" w:cs="Times New Roman"/>
          <w:b/>
          <w:u w:val="single"/>
          <w:lang w:val="en-GB"/>
        </w:rPr>
        <w:t>Tasg 2:</w:t>
      </w:r>
      <w:r>
        <w:rPr>
          <w:rFonts w:ascii="Times New Roman" w:hAnsi="Times New Roman" w:cs="Times New Roman"/>
          <w:lang w:val="en-GB"/>
        </w:rPr>
        <w:t xml:space="preserve">  </w:t>
      </w:r>
      <w:hyperlink r:id="rId7" w:history="1">
        <w:r w:rsidRPr="003E5A27">
          <w:rPr>
            <w:rStyle w:val="Hyperlink"/>
            <w:rFonts w:ascii="Times New Roman" w:hAnsi="Times New Roman" w:cs="Times New Roman"/>
            <w:lang w:val="en-GB"/>
          </w:rPr>
          <w:t>https://youtu.be/vyJmV0sQVWU</w:t>
        </w:r>
      </w:hyperlink>
      <w:r>
        <w:rPr>
          <w:rFonts w:ascii="Times New Roman" w:hAnsi="Times New Roman" w:cs="Times New Roman"/>
          <w:lang w:val="en-GB"/>
        </w:rPr>
        <w:t xml:space="preserve"> </w:t>
      </w:r>
    </w:p>
    <w:p w14:paraId="6C49D0A4" w14:textId="77777777" w:rsidR="00573A7A" w:rsidRPr="00B23A72" w:rsidRDefault="00573A7A" w:rsidP="00573426">
      <w:pPr>
        <w:jc w:val="both"/>
        <w:rPr>
          <w:rFonts w:ascii="Times New Roman" w:hAnsi="Times New Roman" w:cs="Times New Roman"/>
          <w:b/>
          <w:u w:val="single"/>
          <w:lang w:val="en-GB"/>
        </w:rPr>
      </w:pPr>
    </w:p>
    <w:p w14:paraId="40585F21" w14:textId="77777777" w:rsidR="00573A7A" w:rsidRPr="00B23A72" w:rsidRDefault="00573A7A" w:rsidP="00573426">
      <w:pPr>
        <w:jc w:val="both"/>
        <w:rPr>
          <w:rFonts w:ascii="Times New Roman" w:hAnsi="Times New Roman" w:cs="Times New Roman"/>
          <w:b/>
          <w:u w:val="single"/>
          <w:lang w:val="en-GB"/>
        </w:rPr>
      </w:pPr>
    </w:p>
    <w:p w14:paraId="3A3981F4" w14:textId="77777777" w:rsidR="00573A7A" w:rsidRPr="00B23A72" w:rsidRDefault="00573A7A" w:rsidP="00573426">
      <w:pPr>
        <w:jc w:val="both"/>
        <w:rPr>
          <w:rFonts w:ascii="Times New Roman" w:hAnsi="Times New Roman" w:cs="Times New Roman"/>
          <w:b/>
          <w:u w:val="single"/>
          <w:lang w:val="en-GB"/>
        </w:rPr>
      </w:pPr>
    </w:p>
    <w:p w14:paraId="4B3B4A40" w14:textId="3C9C6692" w:rsidR="00573A7A" w:rsidRPr="00B23A72" w:rsidRDefault="00573A7A" w:rsidP="00573426">
      <w:pPr>
        <w:jc w:val="both"/>
        <w:rPr>
          <w:rFonts w:ascii="Times New Roman" w:hAnsi="Times New Roman" w:cs="Times New Roman"/>
          <w:b/>
          <w:u w:val="single"/>
          <w:lang w:val="en-GB"/>
        </w:rPr>
      </w:pPr>
      <w:r w:rsidRPr="00B23A72">
        <w:rPr>
          <w:rFonts w:ascii="Times New Roman" w:hAnsi="Times New Roman" w:cs="Times New Roman"/>
          <w:b/>
          <w:u w:val="single"/>
          <w:lang w:val="en-GB"/>
        </w:rPr>
        <w:t>Tasg 3</w:t>
      </w:r>
    </w:p>
    <w:p w14:paraId="5717C967" w14:textId="77777777" w:rsidR="00573A7A" w:rsidRPr="00B23A72" w:rsidRDefault="00573A7A" w:rsidP="00573426">
      <w:pPr>
        <w:jc w:val="both"/>
        <w:rPr>
          <w:rFonts w:ascii="Times New Roman" w:hAnsi="Times New Roman" w:cs="Times New Roman"/>
          <w:b/>
          <w:u w:val="single"/>
          <w:lang w:val="en-GB"/>
        </w:rPr>
      </w:pPr>
    </w:p>
    <w:p w14:paraId="3BF338E6" w14:textId="4FB8CD9D" w:rsidR="0014404B" w:rsidRPr="00B23A72" w:rsidRDefault="00AD15D6"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Y peth cyntaf sy’n ymddangos yn y fidio yw’r athro yn parhau i gwestiynu’r disgyblion, er mwyn darganfod dealltwriaeth y plant o’r testun. Mae cwestiynu yn elfen bwysig yn ystod pob rhan o’r wers, y cyflwyniad, y brif dasg a hefyd y diweddglo. Noda gan Paul a Elder (2000) bod y sgil o feddwl yn cael ei yrru gan gwestiynau, dim atebion. Dyma felly, pam penderfynodd yr athro i ychwanegu cwestiynau at bob rhan o’r gweithgaredd, gyda’r gobaith fydd y disgyblion yn parhau i feddwl yn ddwys trwy gydol y wers.</w:t>
      </w:r>
    </w:p>
    <w:p w14:paraId="7FB4E0B0" w14:textId="77777777" w:rsidR="00AD15D6" w:rsidRPr="00B23A72" w:rsidRDefault="00AD15D6" w:rsidP="001C6C77">
      <w:pPr>
        <w:spacing w:line="360" w:lineRule="auto"/>
        <w:jc w:val="both"/>
        <w:rPr>
          <w:rFonts w:ascii="Times New Roman" w:hAnsi="Times New Roman" w:cs="Times New Roman"/>
          <w:lang w:val="en-GB"/>
        </w:rPr>
      </w:pPr>
    </w:p>
    <w:p w14:paraId="26C4EFB2" w14:textId="1063A971" w:rsidR="00E132A5" w:rsidRPr="00B23A72" w:rsidRDefault="00BD0DEC"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Dangosa’r fidio bod rhan fwyaf o’r cwestiynau a ofynnwyd gan yr athro, yn rhai caeedig, lle mae ond un ateb cywir i gael. Pwysleisir gan Brown et, al. (2014) bod cwestiynau caeedig yn chwarae rôl bwysig iawn mewn datblygu a gwreiddio’r wybodaeth graidd sydd angen ar ddisgyblion. Wrth sicrhau bod y cwestiynau a ofynnwyd yn gaeedig, rhoddwyd cyfle i’r disgyblion feddwl yn galed am un ateb pendant. Yn ogystal â hyn, wrth i’r ateb cywir yna cael ei rhannu, mae’r disgyblion yn cofio’r un darn o wybodaeth bynciol gadarn yna.</w:t>
      </w:r>
    </w:p>
    <w:p w14:paraId="5A680EDE" w14:textId="77777777" w:rsidR="00BD0DEC" w:rsidRPr="00B23A72" w:rsidRDefault="00BD0DEC" w:rsidP="001C6C77">
      <w:pPr>
        <w:spacing w:line="360" w:lineRule="auto"/>
        <w:jc w:val="both"/>
        <w:rPr>
          <w:rFonts w:ascii="Times New Roman" w:hAnsi="Times New Roman" w:cs="Times New Roman"/>
          <w:lang w:val="en-GB"/>
        </w:rPr>
      </w:pPr>
    </w:p>
    <w:p w14:paraId="3DA8054C" w14:textId="77777777" w:rsidR="00FB0A1E" w:rsidRPr="00B23A72" w:rsidRDefault="00FB0A1E"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 xml:space="preserve">Yn ystod y diweddglo, rhannodd yr athro'r dosbarth i mewn i ddau tim gwahanol, er mwyn cwblhau cwis ac adolygu’r hyn a ddysgwyd yn ystod y wers. i ddechrau, roedd yr athro’n dewis yr unigolion a oedd yn codi llaw yn syth, i ateb. Fodd bynnag, erbyn diwedd y gweithgaredd, roedd yr athro’n dewis unigolion nad oedd yn codi llaw. Mae gofyn cwestiynau i’r unigolion swil yma, yn creu amryw o fanteision i’r wers. Nodir gan Lemov (2015) bod cwestiynu’r unigolion swil yn sicrhau bod yr athro ddim yn dibynnu’n ormodol ar yr un neu ddau unigolyn hyderus. Digwyddodd hyn yn ystod y cyflwyniad. Wrth i unigolyn parhau i godi llaw, roedd yr athro’n dueddol o ddewis y disgybl i ateb, yn hytrach nag adael rhywun arall i gynnig ateb. </w:t>
      </w:r>
    </w:p>
    <w:p w14:paraId="46965081" w14:textId="0478C295" w:rsidR="00573A7A" w:rsidRPr="00B23A72" w:rsidRDefault="00BB2108" w:rsidP="00BB2108">
      <w:pPr>
        <w:spacing w:line="360" w:lineRule="auto"/>
        <w:jc w:val="both"/>
        <w:rPr>
          <w:rFonts w:ascii="Times New Roman" w:hAnsi="Times New Roman" w:cs="Times New Roman"/>
          <w:lang w:val="en-GB"/>
        </w:rPr>
      </w:pPr>
      <w:r w:rsidRPr="00B23A72">
        <w:rPr>
          <w:rFonts w:ascii="Times New Roman" w:hAnsi="Times New Roman" w:cs="Times New Roman"/>
          <w:lang w:val="en-GB"/>
        </w:rPr>
        <w:t>Serch hynny, wrth ddewis disgybl gwahanol pob tro yn ystod y diweddglo, roedd yr athro’n medru darganfod os oedd llawer o unigolion wedi gwneud unrhyw gynnydd yn ystod y wers. Ychwanegir Lemov (2015) bod y dull yma o gwestiynu yn addas ar gyfer sicrhau canolbwyntio. Os mae’r disgyblion yn ymwybodol o’r athro’n gofyn cwestiynau i unrhyw un, yna mae’n debygol bydd y disgyblion i gyd yn cymryd mwy o sylw ar y gwaith er mwyn llwyddo i ateb y cwestiynau ar lafar yn gywir.</w:t>
      </w:r>
    </w:p>
    <w:p w14:paraId="27CD84FA" w14:textId="77777777" w:rsidR="00BB2108" w:rsidRPr="00B23A72" w:rsidRDefault="00BB2108" w:rsidP="00573426">
      <w:pPr>
        <w:jc w:val="both"/>
        <w:rPr>
          <w:rFonts w:ascii="Times New Roman" w:hAnsi="Times New Roman" w:cs="Times New Roman"/>
          <w:lang w:val="en-GB"/>
        </w:rPr>
      </w:pPr>
    </w:p>
    <w:p w14:paraId="192D4404" w14:textId="798E5BF1" w:rsidR="00E05274" w:rsidRPr="00B23A72" w:rsidRDefault="00BB2108"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Wrth gwblhau’r prif weithgareddau, rhodda’r athro caniatâd i’r disgyblion, i weithio mewn parau. Yn amlwg, dangosa’r disgyblion agwedd bositif tuag at y penderfyniad yma, gan fod nhw’n cael cyfle i drafod gyda ffrind. Cydnabyddir gan Race (2000) bod gwaith grŵp yn effeithiol gan ei fod yn troi unrhyw weithgaredd, yn llawer mwy hwylus i’r disgyblion. Wrth i’r athro osod y dosbarth mewn i barau er mwyn cwblhau’r gweithgareddau, mae’r dasg o ddarllen yn ogystal â’r elfen ysgrifenedig o’r dasg, yn fwy apelgar i’r disgyblion.</w:t>
      </w:r>
    </w:p>
    <w:p w14:paraId="656A173F" w14:textId="77777777" w:rsidR="00BB2108" w:rsidRPr="00B23A72" w:rsidRDefault="00BB2108" w:rsidP="00E05274">
      <w:pPr>
        <w:spacing w:line="360" w:lineRule="auto"/>
        <w:jc w:val="both"/>
        <w:rPr>
          <w:rFonts w:ascii="Times New Roman" w:hAnsi="Times New Roman" w:cs="Times New Roman"/>
          <w:lang w:val="en-GB"/>
        </w:rPr>
      </w:pPr>
    </w:p>
    <w:p w14:paraId="551ED72D" w14:textId="57A9E883" w:rsidR="00340524" w:rsidRPr="00B23A72" w:rsidRDefault="000B34AC"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Fodd bynnag, dadlau Davis (1993) bod gwaith pâr yn anfanteisiol, gan ei fod yn rhoi cyfle i ffrindiau drafod am amrywiaeth o bethau sydd ddim yn rhan o’r gwaith dan sylw. Serch hynny, dangosa’r fidio bod y disgyblion yn cymryd mantais o waith grŵp, wrth rannu atebion posib a gofyn am gymorth ffrind pan mae angen. Mae’r canlyniad yma yn cysylltu’n gryf at ganfyddiadau Jaques (2000), lle phwysleisiwyd bod gwaith pâr yn effeithiol gan fod disgybl yn debygol i ofyn cymorth ffrind, yn hytrach na chymorth athro neu athrawes.</w:t>
      </w:r>
    </w:p>
    <w:p w14:paraId="2C49C8D3" w14:textId="77777777" w:rsidR="000B34AC" w:rsidRPr="00B23A72" w:rsidRDefault="000B34AC" w:rsidP="00E05274">
      <w:pPr>
        <w:spacing w:line="360" w:lineRule="auto"/>
        <w:jc w:val="both"/>
        <w:rPr>
          <w:rFonts w:ascii="Times New Roman" w:hAnsi="Times New Roman" w:cs="Times New Roman"/>
          <w:lang w:val="en-GB"/>
        </w:rPr>
      </w:pPr>
    </w:p>
    <w:p w14:paraId="3D4C4176" w14:textId="77777777" w:rsidR="004C3FEE" w:rsidRPr="00B23A72" w:rsidRDefault="004C3FEE" w:rsidP="004C3FEE">
      <w:pPr>
        <w:spacing w:line="360" w:lineRule="auto"/>
        <w:jc w:val="both"/>
        <w:rPr>
          <w:rFonts w:ascii="Times New Roman" w:hAnsi="Times New Roman" w:cs="Times New Roman"/>
          <w:lang w:val="en-GB"/>
        </w:rPr>
      </w:pPr>
      <w:r w:rsidRPr="00B23A72">
        <w:rPr>
          <w:rFonts w:ascii="Times New Roman" w:hAnsi="Times New Roman" w:cs="Times New Roman"/>
          <w:lang w:val="en-GB"/>
        </w:rPr>
        <w:t xml:space="preserve">Defnyddiwyd yr athro bodiau fynnu fel strategaeth asesu ar gyfer dysgu yn ystod y wers. Yn benodol, defnyddia’r athro'r strategaeth yn dilyn cyflwyniad pwerbwynt yn seiliedig ar y gweithgareddau, wrth i’r disgyblion ar fin cychwyn a’r dasg. Dyffinir bodiau fynnu gan King (2015), fel strategaeth asesu ffurfiannol effeithiol, sy’n galluogi’r athro i wybod os mae pob disgybl yn deall y dasg. Gwelir arfer dda o’r strategaeth yma yn y fidio, lle sylwir gan yr athro bod un unigolyn ddim yn deall y gwaith yn llwyr. Yn dilyn hyn, dangosa’r fidio bod yr athro am roi cymorth ychwanegol i’r unigolyn yma, wrth i weddill y dosbarth cychwyn a’r dasg. </w:t>
      </w:r>
    </w:p>
    <w:p w14:paraId="702AAAFF" w14:textId="77777777" w:rsidR="0031415E" w:rsidRPr="00B23A72" w:rsidRDefault="0031415E" w:rsidP="00E05274">
      <w:pPr>
        <w:spacing w:line="360" w:lineRule="auto"/>
        <w:jc w:val="both"/>
        <w:rPr>
          <w:rFonts w:ascii="Times New Roman" w:hAnsi="Times New Roman" w:cs="Times New Roman"/>
          <w:lang w:val="en-GB"/>
        </w:rPr>
      </w:pPr>
    </w:p>
    <w:p w14:paraId="2FEEFE4F" w14:textId="6FD84B08" w:rsidR="0031415E" w:rsidRPr="00B23A72" w:rsidRDefault="004C3FEE"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Defnyddia’r athro cwestiynu hefyd, fel strategaeth i asesu dysgu’r disgyblion. Noda gan Armstrong (2018) bod cwestiynu effeithiol yn cael dylanwad enfawr ar ba mor llwyddiannus mae’r wers. Ehanga Armstrong (2018) wrth nodi yn gyntaf, bod rhaid i’r athrawon sicrhau ei fod nhw ond yn gofyn un cwestiwn ar y tro, neu ni fydd y disgyblion yn gwybod yn union beth mae’r athro eisiau nhw ateb. Gwelir arfer dda o hyn yn ystod cyflwyniad i’r wers dan sylw. Sylwir fod yr athro yn parhau i ofyn yr un cwestiwn, ac nid oedd yr athro erioed yn symud ymlaen neu’n ail eirio’r cwestiwn, nes iddo gael ateb cywir gan ddisgybl. Sylwir hefyd fod yr athro’n amseri gwestiynau yn effeithiol, yn benodol, wrth i’r disgyblion parhau i gwblhau’r tasgau. Awgryma Anderson a Krathwohl (2001) bod llwyddiant disgybl i gwblhau prif weithgaredd, yn dibynnu llawer ar y cyflwyniad, ond hefyd yn dibynnu ar y cymorth sydd ar gael iddynt yn ystod y dasg. Gwelir arfer dda eto o hyn yn ystod y wers. Wrth i’r disgyblion cwblhau’r gweithgareddau, roedd unigolion yn dueddol o ofyn cwestiynau i’r athro. Yn hytrach nag ateb y cwestiwn yn syth, roedd yr athro yn dueddol o ofyn cwestiwn yn ôl at yr unigolyn. Roedd gwneud hyn yn effeithiol oherwydd roedd y cwestiwn newydd yn hybu sgiliau meddwl y disgyblion, ac yn y pendraw, roedd ateb synhwyrol yn cael ei greu. Roedd y cwestiwn a ofynnwyd gan yr athro yn cysylltu’n gryf at y cwestiwn gwreiddiol, oherwydd roedd ateb i gwestiwn yr athro yn y pendraw, yn ateb cwestiwn gwreiddiol y disgybl. Felly, er bod y disgybl wedi gofyn am gymorth athro, y disgybl sydd yn gwneud y gwaith.</w:t>
      </w:r>
    </w:p>
    <w:p w14:paraId="6EAC402C" w14:textId="77777777" w:rsidR="000F0FCA" w:rsidRPr="00B23A72" w:rsidRDefault="000F0FCA" w:rsidP="00E05274">
      <w:pPr>
        <w:spacing w:line="360" w:lineRule="auto"/>
        <w:jc w:val="both"/>
        <w:rPr>
          <w:rFonts w:ascii="Times New Roman" w:hAnsi="Times New Roman" w:cs="Times New Roman"/>
          <w:lang w:val="en-GB"/>
        </w:rPr>
      </w:pPr>
    </w:p>
    <w:p w14:paraId="255D123E" w14:textId="0B07D721" w:rsidR="001C6C77" w:rsidRPr="00B23A72" w:rsidRDefault="00DE1039" w:rsidP="00DE1039">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Strategaeth arall oedd yn ymddangos yn y wers yma oedd hunan asesu, ac asesu cyfoedion. Noda Hughes (1995) bod asesu cyfoedion yn helpu disgybl i dderbyn adborth defnyddiol a pherthnasol gan ffrind. Ehanga Hughes wrth nodi bod plant yn fwy tebygol o dderbyn adborth yn bositif oddi wrth ffrind nag oddi wrth athro neu athrawes. Gwelir arfer dda o hyn yn ystod y gwaith pâr, wrth i barau edrych trwyddo waith ei gilydd a chymharu atebion gyda chywiriadau angenrheidiol. Pwysleisir gan Race (2001) bod hunan asesiad yn ddull effeithiol dros ben o asesu, gan fod disgyblion yn cael cyfle i uchel gryfderau a gwendidau eu hun o fewn y testun dan sylw. Yn yr achos yma, mae’r disgyblion yn medru penderfynu os oes angen adolygu berfau, adferfau, neu ansoddeiriau ym mhellach.</w:t>
      </w:r>
    </w:p>
    <w:p w14:paraId="46D4D239" w14:textId="77777777" w:rsidR="00DE1039" w:rsidRPr="00B23A72" w:rsidRDefault="00DE1039" w:rsidP="00315B29">
      <w:pPr>
        <w:textAlignment w:val="baseline"/>
        <w:rPr>
          <w:rFonts w:ascii="Times New Roman" w:eastAsia="Times New Roman" w:hAnsi="Times New Roman" w:cs="Times New Roman"/>
          <w:color w:val="333333"/>
        </w:rPr>
      </w:pPr>
    </w:p>
    <w:p w14:paraId="5EFBA014" w14:textId="135D64B6" w:rsidR="00AD3842" w:rsidRPr="00B23A72" w:rsidRDefault="001929C0" w:rsidP="001929C0">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Y peth olaf sy’n ymddangos yn y fidio yw’r defnydd o fatiau geiriau yn ystod y tasgau. Roedd matiau yn cael eu dosbarthu ar bob bwrdd, ac ar gael i’r disgyblion fel adnodd gweladwy ychwanegol, rhag ofn bod angen sbardun ychwanegol ar y disgyblion ynglŷn ag ystyr y termau iaith a ddysgwyd yn ystod y cyflwyniad. Noda gan Burrow (1986) bod y fath yma o adnoddau gweladwy yn ddefnyddiol er mwyn annog proses dysgu’r disgyblion. Yn yr achos yma, gwelir bod gosod enghreifftiau o ansoddeiriau, berfau ac adferfau ar fatiau, yn galluogi disgyblion i atgoffa’i hun o beth yw ystyr pob term.</w:t>
      </w:r>
    </w:p>
    <w:p w14:paraId="7595C367" w14:textId="77777777" w:rsidR="00AD3842" w:rsidRPr="00B23A72" w:rsidRDefault="00AD3842" w:rsidP="00AD3842">
      <w:pPr>
        <w:textAlignment w:val="baseline"/>
        <w:rPr>
          <w:rFonts w:ascii="Times New Roman" w:eastAsia="Times New Roman" w:hAnsi="Times New Roman" w:cs="Times New Roman"/>
          <w:color w:val="333333"/>
        </w:rPr>
      </w:pPr>
    </w:p>
    <w:p w14:paraId="4AEB19A1" w14:textId="77777777" w:rsidR="00926851" w:rsidRPr="00B23A72" w:rsidRDefault="00926851" w:rsidP="00AD3842">
      <w:pPr>
        <w:textAlignment w:val="baseline"/>
        <w:rPr>
          <w:rFonts w:ascii="Times New Roman" w:eastAsia="Times New Roman" w:hAnsi="Times New Roman" w:cs="Times New Roman"/>
          <w:color w:val="333333"/>
        </w:rPr>
      </w:pPr>
    </w:p>
    <w:p w14:paraId="1B6C7A2B" w14:textId="77777777" w:rsidR="0015705A" w:rsidRDefault="0015705A" w:rsidP="005461ED">
      <w:pPr>
        <w:spacing w:line="360" w:lineRule="auto"/>
        <w:jc w:val="both"/>
        <w:textAlignment w:val="baseline"/>
        <w:rPr>
          <w:rFonts w:ascii="Times New Roman" w:eastAsia="Times New Roman" w:hAnsi="Times New Roman" w:cs="Times New Roman"/>
          <w:color w:val="333333"/>
        </w:rPr>
      </w:pPr>
    </w:p>
    <w:p w14:paraId="2EA9B4AB" w14:textId="71FF3944" w:rsidR="005461ED" w:rsidRPr="00B23A72" w:rsidRDefault="001929C0"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Yn dilyn y cyflwyniad a’r prif weithgareddau, defnyddiwyd yr athro cwis er mwyn asesu dysgu’r disgyblion, a hefyd orffen y wers ar elfen hwylus, gan ychwanegu elfen gystadleuol i’r wers. Mae’r cwis yn cael ei gynnal er lles i’r athro yn ogystal â’r dosbarth, gan fod yr athro’n medru gweld lle mae unigolion arni o ran datblygiad yn y maes yma. Cytuna Smith (2016) gyda’r canfyddiad yma, wrth nodi bod cynnal cwis yn galluogi athro i asesu a thracio cynnydd y disgyblion ar ddiwedd y cyfnod dysgu.</w:t>
      </w:r>
    </w:p>
    <w:p w14:paraId="6744D02D" w14:textId="77777777" w:rsidR="001929C0" w:rsidRPr="00B23A72" w:rsidRDefault="001929C0" w:rsidP="005461ED">
      <w:pPr>
        <w:spacing w:line="360" w:lineRule="auto"/>
        <w:jc w:val="both"/>
        <w:textAlignment w:val="baseline"/>
        <w:rPr>
          <w:rFonts w:ascii="Times New Roman" w:eastAsia="Times New Roman" w:hAnsi="Times New Roman" w:cs="Times New Roman"/>
          <w:color w:val="333333"/>
        </w:rPr>
      </w:pPr>
    </w:p>
    <w:p w14:paraId="32A89FAB" w14:textId="3C01DDCB" w:rsidR="00961685" w:rsidRPr="00B23A72" w:rsidRDefault="001929C0"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Mae’r wers yma wedi llwyddo i ddatblygu sgiliau iaith y disgyblion ar lafar, sgiliau darllen y disgyblion, a hefyd sgiliau ysgrifenedig y disgyblion. Yn dilyn y cyflwyniad a gosod y disgyblion mewn i barau, darllenodd unigolion y darn darllen cyntaf i’w phartner. Roedd gwneud hyn yn sicrhau bod y partner yn gwrando ac yn meddwl yn syth am naill ai ansoddeiriau, berfau, neu adferfau sy’n ymddangos yn glir mewn brawddegau.</w:t>
      </w:r>
    </w:p>
    <w:p w14:paraId="2EA687D8" w14:textId="77777777" w:rsidR="001929C0" w:rsidRPr="00B23A72" w:rsidRDefault="001929C0" w:rsidP="005461ED">
      <w:pPr>
        <w:spacing w:line="360" w:lineRule="auto"/>
        <w:jc w:val="both"/>
        <w:textAlignment w:val="baseline"/>
        <w:rPr>
          <w:rFonts w:ascii="Times New Roman" w:eastAsia="Times New Roman" w:hAnsi="Times New Roman" w:cs="Times New Roman"/>
          <w:color w:val="333333"/>
        </w:rPr>
      </w:pPr>
    </w:p>
    <w:p w14:paraId="3F84CFCD" w14:textId="4D74F0D4" w:rsidR="005461ED" w:rsidRPr="00B23A72" w:rsidRDefault="008E5E28"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 xml:space="preserve"> </w:t>
      </w:r>
      <w:r w:rsidR="00B23A72" w:rsidRPr="00B23A72">
        <w:rPr>
          <w:rFonts w:ascii="Times New Roman" w:eastAsia="Times New Roman" w:hAnsi="Times New Roman" w:cs="Times New Roman"/>
          <w:color w:val="333333"/>
        </w:rPr>
        <w:t>Yn ogystal â hyn, roedd yr ail ddisgybl yn cael cyfle i ddarllen ar lafar a cheisio cymryd mewn gwybodaeth wrth ddarllen, yn hytrach na adrodd geiriau heb feddwl. Yn amlwg roedd elfen ysgrifenedig wrth i’r disgyblion rhestri eu hatebion, ond hefyd bydd y disgyblion yn mynd ati yn y wers ddilynol, i ddefnyddio’i gwybodaeth a dealltwriaeth newydd o’r pwnc, i greu brawddegau perswâd llawn, sy’n cynnwys ansoddeiriau, berfau ac adferfau. Bydd y brawddegau yma yn cael ei ddefnyddio unwaith eto ar lafar, wrth i’r dosbarth cynnal y drafodaeth bwysig ar blastigion.</w:t>
      </w:r>
    </w:p>
    <w:p w14:paraId="58A45B93" w14:textId="77777777" w:rsidR="0065494D" w:rsidRPr="00B23A72" w:rsidRDefault="0065494D" w:rsidP="00AD3842">
      <w:pPr>
        <w:textAlignment w:val="baseline"/>
        <w:rPr>
          <w:rFonts w:ascii="Times New Roman" w:eastAsia="Times New Roman" w:hAnsi="Times New Roman" w:cs="Times New Roman"/>
          <w:color w:val="333333"/>
        </w:rPr>
      </w:pPr>
    </w:p>
    <w:p w14:paraId="3459F7A9" w14:textId="77777777" w:rsidR="0065494D" w:rsidRPr="00B23A72" w:rsidRDefault="0065494D" w:rsidP="00AD3842">
      <w:pPr>
        <w:textAlignment w:val="baseline"/>
        <w:rPr>
          <w:rFonts w:ascii="Times New Roman" w:eastAsia="Times New Roman" w:hAnsi="Times New Roman" w:cs="Times New Roman"/>
          <w:color w:val="333333"/>
        </w:rPr>
      </w:pPr>
    </w:p>
    <w:p w14:paraId="25AD08AD" w14:textId="77777777" w:rsidR="00AD3842" w:rsidRPr="00B23A72" w:rsidRDefault="00AD3842" w:rsidP="00AD3842">
      <w:pPr>
        <w:textAlignment w:val="baseline"/>
        <w:rPr>
          <w:rFonts w:ascii="Times New Roman" w:eastAsia="Times New Roman" w:hAnsi="Times New Roman" w:cs="Times New Roman"/>
          <w:color w:val="333333"/>
        </w:rPr>
      </w:pPr>
    </w:p>
    <w:p w14:paraId="71E691DC" w14:textId="026F6A9A" w:rsidR="00315B29" w:rsidRPr="00B23A72" w:rsidRDefault="00B23A72" w:rsidP="00315B29">
      <w:pPr>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Geiriau:</w:t>
      </w:r>
      <w:r w:rsidR="00B7396E">
        <w:rPr>
          <w:rFonts w:ascii="Times New Roman" w:eastAsia="Times New Roman" w:hAnsi="Times New Roman" w:cs="Times New Roman"/>
          <w:color w:val="333333"/>
        </w:rPr>
        <w:t xml:space="preserve"> </w:t>
      </w:r>
      <w:r w:rsidRPr="00B23A72">
        <w:rPr>
          <w:rFonts w:ascii="Times New Roman" w:eastAsia="Times New Roman" w:hAnsi="Times New Roman" w:cs="Times New Roman"/>
          <w:color w:val="333333"/>
        </w:rPr>
        <w:t>1,852</w:t>
      </w:r>
    </w:p>
    <w:p w14:paraId="20177780" w14:textId="77777777" w:rsidR="00315B29" w:rsidRDefault="00315B29" w:rsidP="00315B29">
      <w:pPr>
        <w:textAlignment w:val="baseline"/>
        <w:rPr>
          <w:rFonts w:ascii="Georgia" w:eastAsia="Times New Roman" w:hAnsi="Georgia" w:cs="Times New Roman"/>
          <w:color w:val="333333"/>
        </w:rPr>
      </w:pPr>
    </w:p>
    <w:p w14:paraId="28BFC932" w14:textId="77777777" w:rsidR="00315B29" w:rsidRDefault="00315B29" w:rsidP="00315B29">
      <w:pPr>
        <w:textAlignment w:val="baseline"/>
        <w:rPr>
          <w:rFonts w:ascii="Georgia" w:eastAsia="Times New Roman" w:hAnsi="Georgia" w:cs="Times New Roman"/>
          <w:color w:val="333333"/>
        </w:rPr>
      </w:pPr>
    </w:p>
    <w:p w14:paraId="60963AFC" w14:textId="77777777" w:rsidR="00315B29" w:rsidRPr="00315B29" w:rsidRDefault="00315B29" w:rsidP="00315B29">
      <w:pPr>
        <w:textAlignment w:val="baseline"/>
        <w:rPr>
          <w:rFonts w:ascii="Georgia" w:eastAsia="Times New Roman" w:hAnsi="Georgia" w:cs="Times New Roman"/>
          <w:color w:val="333333"/>
        </w:rPr>
      </w:pPr>
    </w:p>
    <w:p w14:paraId="44750098" w14:textId="77777777" w:rsidR="00315B29" w:rsidRPr="00315B29" w:rsidRDefault="00315B29" w:rsidP="00315B29">
      <w:pPr>
        <w:jc w:val="both"/>
        <w:textAlignment w:val="baseline"/>
        <w:rPr>
          <w:rFonts w:ascii="Georgia" w:eastAsia="Times New Roman" w:hAnsi="Georgia" w:cs="Times New Roman"/>
          <w:color w:val="333333"/>
        </w:rPr>
      </w:pPr>
    </w:p>
    <w:p w14:paraId="73251CAA" w14:textId="77777777" w:rsidR="00A46D4D" w:rsidRDefault="00A46D4D" w:rsidP="00BA7477">
      <w:pPr>
        <w:pStyle w:val="NormalWeb"/>
        <w:rPr>
          <w:rFonts w:ascii="Georgia" w:hAnsi="Georgia"/>
          <w:color w:val="000000"/>
        </w:rPr>
      </w:pPr>
    </w:p>
    <w:p w14:paraId="71C99C11" w14:textId="77777777" w:rsidR="00A46D4D" w:rsidRDefault="00A46D4D" w:rsidP="00BA7477">
      <w:pPr>
        <w:pStyle w:val="NormalWeb"/>
        <w:rPr>
          <w:rFonts w:ascii="Georgia" w:hAnsi="Georgia"/>
          <w:color w:val="000000"/>
        </w:rPr>
      </w:pPr>
    </w:p>
    <w:p w14:paraId="5E75312F" w14:textId="77777777" w:rsidR="00A46D4D" w:rsidRDefault="00A46D4D" w:rsidP="00BA7477">
      <w:pPr>
        <w:pStyle w:val="NormalWeb"/>
        <w:rPr>
          <w:rFonts w:ascii="Georgia" w:hAnsi="Georgia"/>
          <w:color w:val="000000"/>
        </w:rPr>
      </w:pPr>
    </w:p>
    <w:p w14:paraId="50ECBF66" w14:textId="77777777" w:rsidR="00A46D4D" w:rsidRDefault="00A46D4D" w:rsidP="00BA7477">
      <w:pPr>
        <w:pStyle w:val="NormalWeb"/>
        <w:rPr>
          <w:rFonts w:ascii="Georgia" w:hAnsi="Georgia"/>
          <w:color w:val="000000"/>
        </w:rPr>
      </w:pPr>
    </w:p>
    <w:p w14:paraId="42EDCA2E" w14:textId="77777777" w:rsidR="003E7233" w:rsidRDefault="003E7233" w:rsidP="00BA7477">
      <w:pPr>
        <w:pStyle w:val="NormalWeb"/>
        <w:rPr>
          <w:rFonts w:ascii="Georgia" w:hAnsi="Georgia"/>
          <w:color w:val="000000"/>
        </w:rPr>
      </w:pPr>
    </w:p>
    <w:p w14:paraId="18018C0E" w14:textId="77777777" w:rsidR="00B23A72" w:rsidRDefault="00B23A72" w:rsidP="00BA7477">
      <w:pPr>
        <w:pStyle w:val="NormalWeb"/>
        <w:rPr>
          <w:rFonts w:ascii="Georgia" w:hAnsi="Georgia"/>
          <w:color w:val="000000"/>
        </w:rPr>
      </w:pPr>
    </w:p>
    <w:p w14:paraId="5329D805" w14:textId="0DB3F046" w:rsidR="000E53F8" w:rsidRPr="00106E28" w:rsidRDefault="00366577" w:rsidP="000E53F8">
      <w:pPr>
        <w:pStyle w:val="NormalWeb"/>
        <w:rPr>
          <w:b/>
          <w:color w:val="000000"/>
          <w:u w:val="single"/>
        </w:rPr>
      </w:pPr>
      <w:r w:rsidRPr="000E53F8">
        <w:rPr>
          <w:b/>
          <w:color w:val="000000"/>
          <w:u w:val="single"/>
        </w:rPr>
        <w:t>Rhestr o gyfeiriadau</w:t>
      </w:r>
    </w:p>
    <w:p w14:paraId="07511242" w14:textId="5D4284C5" w:rsidR="000E53F8" w:rsidRDefault="000E53F8" w:rsidP="00B84BFD">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An</w:t>
      </w:r>
      <w:r>
        <w:rPr>
          <w:rFonts w:ascii="Times New Roman" w:eastAsia="Times New Roman" w:hAnsi="Times New Roman" w:cs="Times New Roman"/>
          <w:color w:val="000000"/>
          <w:shd w:val="clear" w:color="auto" w:fill="FFFFFF"/>
        </w:rPr>
        <w:t>derson, L.W., Krathwohl, D. (2001)</w:t>
      </w:r>
      <w:r w:rsidRPr="000E53F8">
        <w:rPr>
          <w:rFonts w:ascii="Times New Roman" w:eastAsia="Times New Roman" w:hAnsi="Times New Roman" w:cs="Times New Roman"/>
          <w:color w:val="000000"/>
          <w:shd w:val="clear" w:color="auto" w:fill="FFFFFF"/>
        </w:rPr>
        <w:t xml:space="preserve">. </w:t>
      </w:r>
      <w:r w:rsidRPr="000E53F8">
        <w:rPr>
          <w:rFonts w:ascii="Times New Roman" w:eastAsia="Times New Roman" w:hAnsi="Times New Roman" w:cs="Times New Roman"/>
          <w:i/>
          <w:color w:val="000000"/>
          <w:shd w:val="clear" w:color="auto" w:fill="FFFFFF"/>
        </w:rPr>
        <w:t>A taxonomy for learning, teaching, and assessing: a revision of Bloom’s taxonomy of educational objectives.</w:t>
      </w:r>
      <w:r>
        <w:rPr>
          <w:rFonts w:ascii="Times New Roman" w:eastAsia="Times New Roman" w:hAnsi="Times New Roman" w:cs="Times New Roman"/>
          <w:color w:val="000000"/>
          <w:shd w:val="clear" w:color="auto" w:fill="FFFFFF"/>
        </w:rPr>
        <w:t xml:space="preserve"> New York: Longman.</w:t>
      </w:r>
    </w:p>
    <w:p w14:paraId="4B1563C1" w14:textId="77777777" w:rsidR="000E53F8" w:rsidRPr="000E53F8" w:rsidRDefault="000E53F8" w:rsidP="00B84BFD">
      <w:pPr>
        <w:rPr>
          <w:rFonts w:ascii="Times New Roman" w:eastAsia="Times New Roman" w:hAnsi="Times New Roman" w:cs="Times New Roman"/>
        </w:rPr>
      </w:pPr>
    </w:p>
    <w:p w14:paraId="4C362AAB" w14:textId="77777777" w:rsidR="000E53F8" w:rsidRDefault="000E53F8" w:rsidP="00B84BFD">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Armstrong, P. (2018). Bloom’s taxonomy. Center for Teaching. Vanderbilt University.</w:t>
      </w:r>
      <w:hyperlink r:id="rId8" w:history="1">
        <w:r w:rsidRPr="000E53F8">
          <w:rPr>
            <w:rFonts w:ascii="Times New Roman" w:eastAsia="Times New Roman" w:hAnsi="Times New Roman" w:cs="Times New Roman"/>
            <w:color w:val="000000"/>
          </w:rPr>
          <w:t>https://cft.vanderbilt.edu/guides-sub-pages/blooms-taxonomy/</w:t>
        </w:r>
      </w:hyperlink>
      <w:r w:rsidRPr="000E53F8">
        <w:rPr>
          <w:rFonts w:ascii="Times New Roman" w:eastAsia="Times New Roman" w:hAnsi="Times New Roman" w:cs="Times New Roman"/>
          <w:color w:val="000000"/>
          <w:shd w:val="clear" w:color="auto" w:fill="FFFFFF"/>
        </w:rPr>
        <w:t>.</w:t>
      </w:r>
    </w:p>
    <w:p w14:paraId="0EA0B10B" w14:textId="77777777" w:rsidR="000E53F8" w:rsidRPr="000E53F8" w:rsidRDefault="000E53F8" w:rsidP="00B84BFD">
      <w:pPr>
        <w:rPr>
          <w:rFonts w:ascii="Times New Roman" w:eastAsia="Times New Roman" w:hAnsi="Times New Roman" w:cs="Times New Roman"/>
        </w:rPr>
      </w:pPr>
    </w:p>
    <w:p w14:paraId="550FC0E8" w14:textId="77777777" w:rsidR="000E53F8" w:rsidRPr="00B519D3" w:rsidRDefault="000E53F8" w:rsidP="00B519D3">
      <w:pPr>
        <w:rPr>
          <w:rFonts w:ascii="Times New Roman" w:eastAsia="Times New Roman" w:hAnsi="Times New Roman" w:cs="Times New Roman"/>
        </w:rPr>
      </w:pPr>
      <w:r w:rsidRPr="000E53F8">
        <w:rPr>
          <w:rFonts w:ascii="Times New Roman" w:eastAsia="Times New Roman" w:hAnsi="Times New Roman" w:cs="Times New Roman"/>
          <w:color w:val="1C1D1E"/>
        </w:rPr>
        <w:t>Brown, T.</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Rowley, H.</w:t>
      </w:r>
      <w:r w:rsidRPr="000E53F8">
        <w:rPr>
          <w:rFonts w:ascii="Times New Roman" w:eastAsia="Times New Roman" w:hAnsi="Times New Roman" w:cs="Times New Roman"/>
          <w:color w:val="1C1D1E"/>
          <w:shd w:val="clear" w:color="auto" w:fill="FFFFFF"/>
        </w:rPr>
        <w:t> </w:t>
      </w:r>
      <w:r w:rsidRPr="00B519D3">
        <w:rPr>
          <w:rFonts w:ascii="Times New Roman" w:eastAsia="Times New Roman" w:hAnsi="Times New Roman" w:cs="Times New Roman"/>
          <w:color w:val="1C1D1E"/>
          <w:shd w:val="clear" w:color="auto" w:fill="FFFFFF"/>
        </w:rPr>
        <w:t>&amp;</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Smith, K.</w:t>
      </w:r>
      <w:r w:rsidRPr="000E53F8">
        <w:rPr>
          <w:rFonts w:ascii="Times New Roman" w:eastAsia="Times New Roman" w:hAnsi="Times New Roman" w:cs="Times New Roman"/>
          <w:color w:val="1C1D1E"/>
          <w:shd w:val="clear" w:color="auto" w:fill="FFFFFF"/>
        </w:rPr>
        <w:t> </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2014</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i/>
          <w:color w:val="1C1D1E"/>
        </w:rPr>
        <w:t>Rethinking research in teacher education</w:t>
      </w:r>
      <w:r w:rsidRPr="000E53F8">
        <w:rPr>
          <w:rFonts w:ascii="Times New Roman" w:eastAsia="Times New Roman" w:hAnsi="Times New Roman" w:cs="Times New Roman"/>
          <w:color w:val="1C1D1E"/>
          <w:shd w:val="clear" w:color="auto" w:fill="FFFFFF"/>
        </w:rPr>
        <w:t xml:space="preserve">. </w:t>
      </w:r>
      <w:r w:rsidRPr="00B519D3">
        <w:rPr>
          <w:rFonts w:ascii="Times New Roman" w:eastAsia="Times New Roman" w:hAnsi="Times New Roman" w:cs="Times New Roman"/>
          <w:iCs/>
          <w:color w:val="1C1D1E"/>
        </w:rPr>
        <w:t>British Journal of Educational Studies</w:t>
      </w:r>
    </w:p>
    <w:p w14:paraId="58685581" w14:textId="77777777" w:rsidR="000E53F8" w:rsidRPr="000E53F8" w:rsidRDefault="000E53F8" w:rsidP="003777D9">
      <w:pPr>
        <w:pStyle w:val="NormalWeb"/>
      </w:pPr>
      <w:r w:rsidRPr="000E53F8">
        <w:t xml:space="preserve">Burrow, T (1986) Horizons in Human Geography. Macmillan: London </w:t>
      </w:r>
    </w:p>
    <w:p w14:paraId="35A50BCF" w14:textId="760E6DEA" w:rsidR="000E53F8" w:rsidRDefault="000E53F8" w:rsidP="00CB776A">
      <w:pPr>
        <w:rPr>
          <w:rFonts w:ascii="Times New Roman" w:eastAsia="Times New Roman" w:hAnsi="Times New Roman" w:cs="Times New Roman"/>
          <w:color w:val="000000"/>
          <w:shd w:val="clear" w:color="auto" w:fill="FFFFFF"/>
        </w:rPr>
      </w:pPr>
      <w:r w:rsidRPr="00CB776A">
        <w:rPr>
          <w:rFonts w:ascii="Times New Roman" w:eastAsia="Times New Roman" w:hAnsi="Times New Roman" w:cs="Times New Roman"/>
          <w:color w:val="000000"/>
          <w:shd w:val="clear" w:color="auto" w:fill="FFFFFF"/>
        </w:rPr>
        <w:t>Cicerchia, M. (2019).</w:t>
      </w:r>
      <w:r w:rsidRPr="000E53F8">
        <w:rPr>
          <w:rFonts w:ascii="Times New Roman" w:eastAsia="Times New Roman" w:hAnsi="Times New Roman" w:cs="Times New Roman"/>
          <w:color w:val="000000"/>
          <w:shd w:val="clear" w:color="auto" w:fill="FFFFFF"/>
        </w:rPr>
        <w:t> </w:t>
      </w:r>
      <w:r w:rsidRPr="00CB776A">
        <w:rPr>
          <w:rFonts w:ascii="Times New Roman" w:eastAsia="Times New Roman" w:hAnsi="Times New Roman" w:cs="Times New Roman"/>
          <w:i/>
          <w:iCs/>
          <w:color w:val="000000"/>
        </w:rPr>
        <w:t>9 Tips for helping students with slow processing</w:t>
      </w:r>
      <w:r w:rsidR="00FD3C18">
        <w:rPr>
          <w:rFonts w:ascii="Times New Roman" w:eastAsia="Times New Roman" w:hAnsi="Times New Roman" w:cs="Times New Roman"/>
          <w:color w:val="000000"/>
          <w:shd w:val="clear" w:color="auto" w:fill="FFFFFF"/>
        </w:rPr>
        <w:t>. [Ar lein</w:t>
      </w:r>
      <w:r w:rsidRPr="00CB776A">
        <w:rPr>
          <w:rFonts w:ascii="Times New Roman" w:eastAsia="Times New Roman" w:hAnsi="Times New Roman" w:cs="Times New Roman"/>
          <w:color w:val="000000"/>
          <w:shd w:val="clear" w:color="auto" w:fill="FFFFFF"/>
        </w:rPr>
        <w:t xml:space="preserve">] Touch-type </w:t>
      </w:r>
      <w:r w:rsidR="00FD3C18">
        <w:rPr>
          <w:rFonts w:ascii="Times New Roman" w:eastAsia="Times New Roman" w:hAnsi="Times New Roman" w:cs="Times New Roman"/>
          <w:color w:val="000000"/>
          <w:shd w:val="clear" w:color="auto" w:fill="FFFFFF"/>
        </w:rPr>
        <w:t>Read and Spell (TTRS). Ar gael</w:t>
      </w:r>
      <w:r w:rsidRPr="00CB776A">
        <w:rPr>
          <w:rFonts w:ascii="Times New Roman" w:eastAsia="Times New Roman" w:hAnsi="Times New Roman" w:cs="Times New Roman"/>
          <w:color w:val="000000"/>
          <w:shd w:val="clear" w:color="auto" w:fill="FFFFFF"/>
        </w:rPr>
        <w:t xml:space="preserve"> at: https://www.readandspell.com/what-is-processing-speed [Accessed 21 May 2019].</w:t>
      </w:r>
    </w:p>
    <w:p w14:paraId="77205824" w14:textId="77777777" w:rsidR="00722BB8" w:rsidRPr="00CB776A" w:rsidRDefault="00722BB8" w:rsidP="00CB776A">
      <w:pPr>
        <w:rPr>
          <w:rFonts w:ascii="Times New Roman" w:eastAsia="Times New Roman" w:hAnsi="Times New Roman" w:cs="Times New Roman"/>
        </w:rPr>
      </w:pPr>
    </w:p>
    <w:p w14:paraId="17C2C4CA" w14:textId="77777777" w:rsidR="000E53F8" w:rsidRPr="003E7233" w:rsidRDefault="000E53F8" w:rsidP="003E7233">
      <w:pPr>
        <w:rPr>
          <w:rFonts w:ascii="Times New Roman" w:eastAsia="Times New Roman" w:hAnsi="Times New Roman" w:cs="Times New Roman"/>
        </w:rPr>
      </w:pPr>
      <w:r w:rsidRPr="003E7233">
        <w:rPr>
          <w:rFonts w:ascii="Times New Roman" w:eastAsia="Times New Roman" w:hAnsi="Times New Roman" w:cs="Times New Roman"/>
          <w:color w:val="000000"/>
          <w:shd w:val="clear" w:color="auto" w:fill="FFFFFF"/>
        </w:rPr>
        <w:t>Collins, S. (1990).</w:t>
      </w:r>
      <w:r w:rsidRPr="000E53F8">
        <w:rPr>
          <w:rFonts w:ascii="Times New Roman" w:eastAsia="Times New Roman" w:hAnsi="Times New Roman" w:cs="Times New Roman"/>
          <w:color w:val="000000"/>
          <w:shd w:val="clear" w:color="auto" w:fill="FFFFFF"/>
        </w:rPr>
        <w:t> </w:t>
      </w:r>
      <w:r w:rsidRPr="003E7233">
        <w:rPr>
          <w:rFonts w:ascii="Times New Roman" w:eastAsia="Times New Roman" w:hAnsi="Times New Roman" w:cs="Times New Roman"/>
          <w:i/>
          <w:iCs/>
          <w:color w:val="000000"/>
        </w:rPr>
        <w:t>Verbs</w:t>
      </w:r>
      <w:r w:rsidRPr="003E7233">
        <w:rPr>
          <w:rFonts w:ascii="Times New Roman" w:eastAsia="Times New Roman" w:hAnsi="Times New Roman" w:cs="Times New Roman"/>
          <w:color w:val="000000"/>
          <w:shd w:val="clear" w:color="auto" w:fill="FFFFFF"/>
        </w:rPr>
        <w:t>. Eugene, OR: Garlic Press.</w:t>
      </w:r>
    </w:p>
    <w:p w14:paraId="260442E4" w14:textId="77777777" w:rsidR="000E53F8" w:rsidRPr="000E53F8" w:rsidRDefault="000E53F8" w:rsidP="00BA7477">
      <w:pPr>
        <w:pStyle w:val="NormalWeb"/>
        <w:rPr>
          <w:color w:val="000000"/>
        </w:rPr>
      </w:pPr>
      <w:r w:rsidRPr="000E53F8">
        <w:rPr>
          <w:color w:val="000000"/>
        </w:rPr>
        <w:t>Gross Davis, B. (1993).</w:t>
      </w:r>
      <w:r w:rsidRPr="000E53F8">
        <w:rPr>
          <w:rStyle w:val="apple-converted-space"/>
          <w:i/>
          <w:iCs/>
          <w:color w:val="000000"/>
        </w:rPr>
        <w:t> </w:t>
      </w:r>
      <w:r w:rsidRPr="000E53F8">
        <w:rPr>
          <w:rStyle w:val="Emphasis"/>
          <w:color w:val="000000"/>
        </w:rPr>
        <w:t>Tools for Teaching.</w:t>
      </w:r>
      <w:r w:rsidRPr="000E53F8">
        <w:rPr>
          <w:rStyle w:val="apple-converted-space"/>
          <w:color w:val="000000"/>
        </w:rPr>
        <w:t> </w:t>
      </w:r>
      <w:r w:rsidRPr="000E53F8">
        <w:rPr>
          <w:color w:val="000000"/>
        </w:rPr>
        <w:t>San Francisco: Jossey-Bass Publishers.</w:t>
      </w:r>
    </w:p>
    <w:p w14:paraId="0C86DF93" w14:textId="24F01B94" w:rsidR="000E53F8" w:rsidRPr="000E53F8" w:rsidRDefault="000E53F8" w:rsidP="003E7233">
      <w:pPr>
        <w:pStyle w:val="NormalWeb"/>
        <w:spacing w:before="0" w:beforeAutospacing="0" w:after="0" w:afterAutospacing="0"/>
        <w:rPr>
          <w:color w:val="333333"/>
        </w:rPr>
      </w:pPr>
      <w:r w:rsidRPr="000E53F8">
        <w:rPr>
          <w:color w:val="333333"/>
        </w:rPr>
        <w:t>Hughes, I E (1995) Peer assessment of student practical reports and its influence on learning and skill acquisition. Capability</w:t>
      </w:r>
      <w:r w:rsidR="00FD3C18">
        <w:rPr>
          <w:color w:val="333333"/>
        </w:rPr>
        <w:t>.</w:t>
      </w:r>
    </w:p>
    <w:p w14:paraId="2D3BCD77" w14:textId="77777777" w:rsidR="000E53F8" w:rsidRPr="000E53F8" w:rsidRDefault="000E53F8" w:rsidP="00BA7477">
      <w:pPr>
        <w:pStyle w:val="NormalWeb"/>
        <w:rPr>
          <w:color w:val="000000"/>
        </w:rPr>
      </w:pPr>
      <w:r w:rsidRPr="000E53F8">
        <w:rPr>
          <w:color w:val="000000"/>
        </w:rPr>
        <w:t>Jaques, D. (2000).</w:t>
      </w:r>
      <w:r w:rsidRPr="000E53F8">
        <w:rPr>
          <w:rStyle w:val="apple-converted-space"/>
          <w:color w:val="000000"/>
        </w:rPr>
        <w:t> </w:t>
      </w:r>
      <w:r w:rsidRPr="000E53F8">
        <w:rPr>
          <w:rStyle w:val="Emphasis"/>
          <w:color w:val="000000"/>
        </w:rPr>
        <w:t>Learning in Groups: A Handbook for Improving Group Work, 3rd ed.</w:t>
      </w:r>
      <w:r w:rsidRPr="000E53F8">
        <w:rPr>
          <w:rStyle w:val="apple-converted-space"/>
          <w:color w:val="000000"/>
        </w:rPr>
        <w:t> </w:t>
      </w:r>
      <w:r w:rsidRPr="000E53F8">
        <w:rPr>
          <w:color w:val="000000"/>
        </w:rPr>
        <w:t>London: Kogan Page.</w:t>
      </w:r>
    </w:p>
    <w:p w14:paraId="6A461782" w14:textId="6CA779ED" w:rsidR="000E53F8" w:rsidRPr="000E53F8" w:rsidRDefault="000E53F8" w:rsidP="00106E28">
      <w:pPr>
        <w:rPr>
          <w:rFonts w:ascii="Times New Roman" w:eastAsia="Times New Roman" w:hAnsi="Times New Roman" w:cs="Times New Roman"/>
          <w:color w:val="000000"/>
          <w:shd w:val="clear" w:color="auto" w:fill="FFFFFF"/>
        </w:rPr>
      </w:pPr>
      <w:r w:rsidRPr="00106E28">
        <w:rPr>
          <w:rFonts w:ascii="Times New Roman" w:eastAsia="Times New Roman" w:hAnsi="Times New Roman" w:cs="Times New Roman"/>
          <w:color w:val="000000"/>
          <w:shd w:val="clear" w:color="auto" w:fill="FFFFFF"/>
        </w:rPr>
        <w:t>King, P. (2015).</w:t>
      </w:r>
      <w:r w:rsidRPr="000E53F8">
        <w:rPr>
          <w:rFonts w:ascii="Times New Roman" w:eastAsia="Times New Roman" w:hAnsi="Times New Roman" w:cs="Times New Roman"/>
          <w:color w:val="000000"/>
          <w:shd w:val="clear" w:color="auto" w:fill="FFFFFF"/>
        </w:rPr>
        <w:t> </w:t>
      </w:r>
      <w:r w:rsidRPr="00106E28">
        <w:rPr>
          <w:rFonts w:ascii="Times New Roman" w:eastAsia="Times New Roman" w:hAnsi="Times New Roman" w:cs="Times New Roman"/>
          <w:i/>
          <w:iCs/>
          <w:color w:val="000000"/>
        </w:rPr>
        <w:t>'Thumbs down for hands-up in lessons'</w:t>
      </w:r>
      <w:r w:rsidR="00FD3C18">
        <w:rPr>
          <w:rFonts w:ascii="Times New Roman" w:eastAsia="Times New Roman" w:hAnsi="Times New Roman" w:cs="Times New Roman"/>
          <w:color w:val="000000"/>
          <w:shd w:val="clear" w:color="auto" w:fill="FFFFFF"/>
        </w:rPr>
        <w:t>. [Ar lein</w:t>
      </w:r>
      <w:r w:rsidRPr="00106E28">
        <w:rPr>
          <w:rFonts w:ascii="Times New Roman" w:eastAsia="Times New Roman" w:hAnsi="Times New Roman" w:cs="Times New Roman"/>
          <w:color w:val="000000"/>
          <w:shd w:val="clear" w:color="auto" w:fill="FFFFFF"/>
        </w:rPr>
        <w:t>] Telegraph.co.uk. Available at: https://www.telegraph.co.uk/education/educationopinion/11903587/Thumbs-down-for-hands-up-in-lessons.html [Accessed 25 May 2019].</w:t>
      </w:r>
    </w:p>
    <w:p w14:paraId="1E00C8CB" w14:textId="77777777" w:rsidR="000E53F8" w:rsidRPr="000E53F8" w:rsidRDefault="000E53F8" w:rsidP="00FE3459">
      <w:pPr>
        <w:spacing w:before="100" w:beforeAutospacing="1" w:after="150" w:line="312" w:lineRule="atLeast"/>
        <w:rPr>
          <w:rFonts w:ascii="Times New Roman" w:eastAsia="Arial Unicode MS" w:hAnsi="Times New Roman" w:cs="Times New Roman"/>
          <w:color w:val="000000"/>
        </w:rPr>
      </w:pPr>
      <w:r w:rsidRPr="000E53F8">
        <w:rPr>
          <w:rFonts w:ascii="Times New Roman" w:eastAsia="Arial Unicode MS" w:hAnsi="Times New Roman" w:cs="Times New Roman"/>
          <w:color w:val="000000"/>
        </w:rPr>
        <w:t>Lemov</w:t>
      </w:r>
      <w:r w:rsidRPr="00FE3459">
        <w:rPr>
          <w:rFonts w:ascii="Times New Roman" w:eastAsia="Arial Unicode MS" w:hAnsi="Times New Roman" w:cs="Times New Roman"/>
          <w:color w:val="000000"/>
        </w:rPr>
        <w:t>, D. (2015).</w:t>
      </w:r>
      <w:r w:rsidRPr="000E53F8">
        <w:rPr>
          <w:rFonts w:ascii="Times New Roman" w:eastAsia="Arial Unicode MS" w:hAnsi="Times New Roman" w:cs="Times New Roman"/>
          <w:color w:val="000000"/>
        </w:rPr>
        <w:t> </w:t>
      </w:r>
      <w:r w:rsidRPr="00FE3459">
        <w:rPr>
          <w:rFonts w:ascii="Times New Roman" w:eastAsia="Arial Unicode MS" w:hAnsi="Times New Roman" w:cs="Times New Roman"/>
          <w:i/>
          <w:iCs/>
          <w:color w:val="000000"/>
        </w:rPr>
        <w:t>Teach like a champion 2.0: 62 techniques that put students on the path to college</w:t>
      </w:r>
      <w:r w:rsidRPr="00FE3459">
        <w:rPr>
          <w:rFonts w:ascii="Times New Roman" w:eastAsia="Arial Unicode MS" w:hAnsi="Times New Roman" w:cs="Times New Roman"/>
          <w:color w:val="000000"/>
        </w:rPr>
        <w:t>.</w:t>
      </w:r>
    </w:p>
    <w:p w14:paraId="1F23E32C" w14:textId="77777777" w:rsidR="000E53F8" w:rsidRDefault="000E53F8" w:rsidP="005C0D60">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Myhill, D. (2006</w:t>
      </w:r>
      <w:r w:rsidRPr="005C0D60">
        <w:rPr>
          <w:rFonts w:ascii="Times New Roman" w:eastAsia="Times New Roman" w:hAnsi="Times New Roman" w:cs="Times New Roman"/>
          <w:color w:val="000000"/>
          <w:shd w:val="clear" w:color="auto" w:fill="FFFFFF"/>
        </w:rPr>
        <w:t>).</w:t>
      </w:r>
      <w:r w:rsidRPr="000E53F8">
        <w:rPr>
          <w:rFonts w:ascii="Times New Roman" w:eastAsia="Times New Roman" w:hAnsi="Times New Roman" w:cs="Times New Roman"/>
          <w:color w:val="000000"/>
          <w:shd w:val="clear" w:color="auto" w:fill="FFFFFF"/>
        </w:rPr>
        <w:t> </w:t>
      </w:r>
      <w:r w:rsidRPr="005C0D60">
        <w:rPr>
          <w:rFonts w:ascii="Times New Roman" w:eastAsia="Times New Roman" w:hAnsi="Times New Roman" w:cs="Times New Roman"/>
          <w:i/>
          <w:iCs/>
          <w:color w:val="000000"/>
        </w:rPr>
        <w:t>CyberGrammar &gt; Discourses &gt; Coherence</w:t>
      </w:r>
      <w:r w:rsidRPr="000E53F8">
        <w:rPr>
          <w:rFonts w:ascii="Times New Roman" w:eastAsia="Times New Roman" w:hAnsi="Times New Roman" w:cs="Times New Roman"/>
          <w:color w:val="000000"/>
          <w:shd w:val="clear" w:color="auto" w:fill="FFFFFF"/>
        </w:rPr>
        <w:t>. [Ar lein] Cybergrammar.co.uk. Ar gael</w:t>
      </w:r>
      <w:r w:rsidRPr="005C0D60">
        <w:rPr>
          <w:rFonts w:ascii="Times New Roman" w:eastAsia="Times New Roman" w:hAnsi="Times New Roman" w:cs="Times New Roman"/>
          <w:color w:val="000000"/>
          <w:shd w:val="clear" w:color="auto" w:fill="FFFFFF"/>
        </w:rPr>
        <w:t xml:space="preserve"> at: http://www.cybergrammar.co.uk/discourses_coherence.php [Accessed 8 May 2019].</w:t>
      </w:r>
    </w:p>
    <w:p w14:paraId="2EE24887" w14:textId="77777777" w:rsidR="00722BB8" w:rsidRPr="005C0D60" w:rsidRDefault="00722BB8" w:rsidP="005C0D60">
      <w:pPr>
        <w:rPr>
          <w:rFonts w:ascii="Times New Roman" w:eastAsia="Times New Roman" w:hAnsi="Times New Roman" w:cs="Times New Roman"/>
        </w:rPr>
      </w:pPr>
    </w:p>
    <w:p w14:paraId="3ECED724" w14:textId="77777777" w:rsidR="000E53F8" w:rsidRDefault="000E53F8" w:rsidP="002044C7">
      <w:pPr>
        <w:rPr>
          <w:rFonts w:ascii="Times New Roman" w:eastAsia="Times New Roman" w:hAnsi="Times New Roman" w:cs="Times New Roman"/>
          <w:color w:val="000000"/>
          <w:shd w:val="clear" w:color="auto" w:fill="FFFFFF"/>
        </w:rPr>
      </w:pPr>
      <w:r w:rsidRPr="002044C7">
        <w:rPr>
          <w:rFonts w:ascii="Times New Roman" w:eastAsia="Times New Roman" w:hAnsi="Times New Roman" w:cs="Times New Roman"/>
          <w:color w:val="000000"/>
          <w:shd w:val="clear" w:color="auto" w:fill="FFFFFF"/>
        </w:rPr>
        <w:t>Paul, R. and Elder, L. (2000).</w:t>
      </w:r>
      <w:r w:rsidRPr="000E53F8">
        <w:rPr>
          <w:rFonts w:ascii="Times New Roman" w:eastAsia="Times New Roman" w:hAnsi="Times New Roman" w:cs="Times New Roman"/>
          <w:color w:val="000000"/>
          <w:shd w:val="clear" w:color="auto" w:fill="FFFFFF"/>
        </w:rPr>
        <w:t> </w:t>
      </w:r>
      <w:r w:rsidRPr="002044C7">
        <w:rPr>
          <w:rFonts w:ascii="Times New Roman" w:eastAsia="Times New Roman" w:hAnsi="Times New Roman" w:cs="Times New Roman"/>
          <w:i/>
          <w:iCs/>
          <w:color w:val="000000"/>
        </w:rPr>
        <w:t>Critical Thinking: Basic Theory and Instructional Structures</w:t>
      </w:r>
      <w:r w:rsidRPr="000E53F8">
        <w:rPr>
          <w:rFonts w:ascii="Times New Roman" w:eastAsia="Times New Roman" w:hAnsi="Times New Roman" w:cs="Times New Roman"/>
          <w:color w:val="000000"/>
          <w:shd w:val="clear" w:color="auto" w:fill="FFFFFF"/>
        </w:rPr>
        <w:t xml:space="preserve">. </w:t>
      </w:r>
      <w:r w:rsidRPr="002044C7">
        <w:rPr>
          <w:rFonts w:ascii="Times New Roman" w:eastAsia="Times New Roman" w:hAnsi="Times New Roman" w:cs="Times New Roman"/>
          <w:color w:val="000000"/>
          <w:shd w:val="clear" w:color="auto" w:fill="FFFFFF"/>
        </w:rPr>
        <w:t xml:space="preserve"> Foundation of Critical Thinking.</w:t>
      </w:r>
    </w:p>
    <w:p w14:paraId="3A0528CD" w14:textId="77777777" w:rsidR="00722BB8" w:rsidRPr="002044C7" w:rsidRDefault="00722BB8" w:rsidP="002044C7">
      <w:pPr>
        <w:rPr>
          <w:rFonts w:ascii="Times New Roman" w:eastAsia="Times New Roman" w:hAnsi="Times New Roman" w:cs="Times New Roman"/>
        </w:rPr>
      </w:pPr>
    </w:p>
    <w:p w14:paraId="202056D9" w14:textId="1CB8FF16" w:rsidR="000E53F8" w:rsidRDefault="000E53F8" w:rsidP="00357433">
      <w:pPr>
        <w:rPr>
          <w:rFonts w:ascii="Times New Roman" w:eastAsia="Times New Roman" w:hAnsi="Times New Roman" w:cs="Times New Roman"/>
          <w:color w:val="333333"/>
          <w:shd w:val="clear" w:color="auto" w:fill="FFFFFF"/>
        </w:rPr>
      </w:pPr>
      <w:r w:rsidRPr="00357433">
        <w:rPr>
          <w:rFonts w:ascii="Times New Roman" w:eastAsia="Times New Roman" w:hAnsi="Times New Roman" w:cs="Times New Roman"/>
          <w:color w:val="333333"/>
          <w:shd w:val="clear" w:color="auto" w:fill="FFFFFF"/>
        </w:rPr>
        <w:t>Race, P</w:t>
      </w:r>
      <w:r w:rsidR="0023694E">
        <w:rPr>
          <w:rFonts w:ascii="Times New Roman" w:eastAsia="Times New Roman" w:hAnsi="Times New Roman" w:cs="Times New Roman"/>
          <w:color w:val="333333"/>
          <w:shd w:val="clear" w:color="auto" w:fill="FFFFFF"/>
        </w:rPr>
        <w:t>.</w:t>
      </w:r>
      <w:r w:rsidRPr="00357433">
        <w:rPr>
          <w:rFonts w:ascii="Times New Roman" w:eastAsia="Times New Roman" w:hAnsi="Times New Roman" w:cs="Times New Roman"/>
          <w:color w:val="333333"/>
          <w:shd w:val="clear" w:color="auto" w:fill="FFFFFF"/>
        </w:rPr>
        <w:t xml:space="preserve"> (2000)</w:t>
      </w:r>
      <w:r w:rsidRPr="000E53F8">
        <w:rPr>
          <w:rFonts w:ascii="Times New Roman" w:eastAsia="Times New Roman" w:hAnsi="Times New Roman" w:cs="Times New Roman"/>
          <w:color w:val="333333"/>
          <w:shd w:val="clear" w:color="auto" w:fill="FFFFFF"/>
        </w:rPr>
        <w:t> </w:t>
      </w:r>
      <w:r w:rsidRPr="000E53F8">
        <w:rPr>
          <w:rFonts w:ascii="Times New Roman" w:eastAsia="Times New Roman" w:hAnsi="Times New Roman" w:cs="Times New Roman"/>
          <w:i/>
          <w:iCs/>
          <w:color w:val="333333"/>
        </w:rPr>
        <w:t>500 Tips on Group Learning, </w:t>
      </w:r>
      <w:r w:rsidRPr="00357433">
        <w:rPr>
          <w:rFonts w:ascii="Times New Roman" w:eastAsia="Times New Roman" w:hAnsi="Times New Roman" w:cs="Times New Roman"/>
          <w:color w:val="333333"/>
          <w:shd w:val="clear" w:color="auto" w:fill="FFFFFF"/>
        </w:rPr>
        <w:t>London: Routledge.</w:t>
      </w:r>
    </w:p>
    <w:p w14:paraId="09D95B64" w14:textId="77777777" w:rsidR="009D240F" w:rsidRPr="00357433" w:rsidRDefault="009D240F" w:rsidP="00357433">
      <w:pPr>
        <w:rPr>
          <w:rFonts w:ascii="Times New Roman" w:eastAsia="Times New Roman" w:hAnsi="Times New Roman" w:cs="Times New Roman"/>
        </w:rPr>
      </w:pPr>
      <w:bookmarkStart w:id="0" w:name="_GoBack"/>
      <w:bookmarkEnd w:id="0"/>
    </w:p>
    <w:p w14:paraId="75ABAFDE" w14:textId="77777777" w:rsidR="000E53F8" w:rsidRDefault="000E53F8" w:rsidP="00B0506B">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Race, P. (2001). </w:t>
      </w:r>
      <w:r w:rsidRPr="000E53F8">
        <w:rPr>
          <w:rFonts w:ascii="Times New Roman" w:eastAsia="Times New Roman" w:hAnsi="Times New Roman" w:cs="Times New Roman"/>
          <w:i/>
          <w:iCs/>
          <w:color w:val="000000"/>
        </w:rPr>
        <w:t>The Lecturer's Toolkit</w:t>
      </w:r>
      <w:r w:rsidRPr="000E53F8">
        <w:rPr>
          <w:rFonts w:ascii="Times New Roman" w:eastAsia="Times New Roman" w:hAnsi="Times New Roman" w:cs="Times New Roman"/>
          <w:color w:val="000000"/>
          <w:shd w:val="clear" w:color="auto" w:fill="FFFFFF"/>
        </w:rPr>
        <w:t>. London. Kogan Page, pp. 94-95.</w:t>
      </w:r>
    </w:p>
    <w:p w14:paraId="7293CDB6" w14:textId="77777777" w:rsidR="009D240F" w:rsidRPr="000E53F8" w:rsidRDefault="009D240F" w:rsidP="00B0506B">
      <w:pPr>
        <w:rPr>
          <w:rFonts w:ascii="Times New Roman" w:eastAsia="Times New Roman" w:hAnsi="Times New Roman" w:cs="Times New Roman"/>
        </w:rPr>
      </w:pPr>
    </w:p>
    <w:p w14:paraId="5686BCE0" w14:textId="266C6FB9" w:rsidR="000E53F8" w:rsidRDefault="000E53F8" w:rsidP="00366577">
      <w:pPr>
        <w:rPr>
          <w:rFonts w:ascii="Times New Roman" w:eastAsia="Times New Roman" w:hAnsi="Times New Roman" w:cs="Times New Roman"/>
          <w:color w:val="000000"/>
          <w:shd w:val="clear" w:color="auto" w:fill="FFFFFF"/>
        </w:rPr>
      </w:pPr>
      <w:r w:rsidRPr="00366577">
        <w:rPr>
          <w:rFonts w:ascii="Times New Roman" w:eastAsia="Times New Roman" w:hAnsi="Times New Roman" w:cs="Times New Roman"/>
          <w:color w:val="000000"/>
          <w:shd w:val="clear" w:color="auto" w:fill="FFFFFF"/>
        </w:rPr>
        <w:t>Smith, M. (2019).</w:t>
      </w:r>
      <w:r w:rsidRPr="000E53F8">
        <w:rPr>
          <w:rFonts w:ascii="Times New Roman" w:eastAsia="Times New Roman" w:hAnsi="Times New Roman" w:cs="Times New Roman"/>
          <w:color w:val="000000"/>
          <w:shd w:val="clear" w:color="auto" w:fill="FFFFFF"/>
        </w:rPr>
        <w:t> </w:t>
      </w:r>
      <w:r w:rsidRPr="00366577">
        <w:rPr>
          <w:rFonts w:ascii="Times New Roman" w:eastAsia="Times New Roman" w:hAnsi="Times New Roman" w:cs="Times New Roman"/>
          <w:i/>
          <w:iCs/>
          <w:color w:val="000000"/>
        </w:rPr>
        <w:t>Five reasons to embrace the class quiz, according to cognitive science</w:t>
      </w:r>
      <w:r w:rsidR="00722BB8">
        <w:rPr>
          <w:rFonts w:ascii="Times New Roman" w:eastAsia="Times New Roman" w:hAnsi="Times New Roman" w:cs="Times New Roman"/>
          <w:color w:val="000000"/>
          <w:shd w:val="clear" w:color="auto" w:fill="FFFFFF"/>
        </w:rPr>
        <w:t>. [Ar lein] Tes. Ar gael</w:t>
      </w:r>
      <w:r w:rsidRPr="00366577">
        <w:rPr>
          <w:rFonts w:ascii="Times New Roman" w:eastAsia="Times New Roman" w:hAnsi="Times New Roman" w:cs="Times New Roman"/>
          <w:color w:val="000000"/>
          <w:shd w:val="clear" w:color="auto" w:fill="FFFFFF"/>
        </w:rPr>
        <w:t xml:space="preserve"> at: https://www.tes.com/news/five-reasons-embrace-class-quiz-according-cognitive-science [Accessed 18 May 2019].</w:t>
      </w:r>
    </w:p>
    <w:p w14:paraId="10D18563" w14:textId="77777777" w:rsidR="00C066FF" w:rsidRPr="00366577" w:rsidRDefault="00C066FF" w:rsidP="00366577">
      <w:pPr>
        <w:rPr>
          <w:rFonts w:ascii="Times New Roman" w:eastAsia="Times New Roman" w:hAnsi="Times New Roman" w:cs="Times New Roman"/>
        </w:rPr>
      </w:pPr>
    </w:p>
    <w:p w14:paraId="0A08C681" w14:textId="66FB5A2F" w:rsidR="000E53F8" w:rsidRPr="003913DF" w:rsidRDefault="000E53F8" w:rsidP="003913DF">
      <w:pPr>
        <w:rPr>
          <w:rFonts w:ascii="Times New Roman" w:eastAsia="Times New Roman" w:hAnsi="Times New Roman" w:cs="Times New Roman"/>
        </w:rPr>
      </w:pPr>
      <w:r w:rsidRPr="003913DF">
        <w:rPr>
          <w:rFonts w:ascii="Times New Roman" w:eastAsia="Times New Roman" w:hAnsi="Times New Roman" w:cs="Times New Roman"/>
          <w:color w:val="000000"/>
          <w:shd w:val="clear" w:color="auto" w:fill="FFFFFF"/>
        </w:rPr>
        <w:t>Wright, L. (2019).</w:t>
      </w:r>
      <w:r w:rsidRPr="000E53F8">
        <w:rPr>
          <w:rFonts w:ascii="Times New Roman" w:eastAsia="Times New Roman" w:hAnsi="Times New Roman" w:cs="Times New Roman"/>
          <w:color w:val="000000"/>
          <w:shd w:val="clear" w:color="auto" w:fill="FFFFFF"/>
        </w:rPr>
        <w:t> </w:t>
      </w:r>
      <w:r w:rsidRPr="003913DF">
        <w:rPr>
          <w:rFonts w:ascii="Times New Roman" w:eastAsia="Times New Roman" w:hAnsi="Times New Roman" w:cs="Times New Roman"/>
          <w:i/>
          <w:iCs/>
          <w:color w:val="000000"/>
        </w:rPr>
        <w:t>I Just Found Out My Child Has Slow Processing Speed. Now What?</w:t>
      </w:r>
      <w:r w:rsidR="00722BB8">
        <w:rPr>
          <w:rFonts w:ascii="Times New Roman" w:eastAsia="Times New Roman" w:hAnsi="Times New Roman" w:cs="Times New Roman"/>
          <w:color w:val="000000"/>
          <w:shd w:val="clear" w:color="auto" w:fill="FFFFFF"/>
        </w:rPr>
        <w:t>. [Ar lein] Understood.org. Ar gael</w:t>
      </w:r>
      <w:r w:rsidRPr="003913DF">
        <w:rPr>
          <w:rFonts w:ascii="Times New Roman" w:eastAsia="Times New Roman" w:hAnsi="Times New Roman" w:cs="Times New Roman"/>
          <w:color w:val="000000"/>
          <w:shd w:val="clear" w:color="auto" w:fill="FFFFFF"/>
        </w:rPr>
        <w:t xml:space="preserve"> at: https://www.understood.org/en/learning-attention-issues/child-learning-disabilities/information-processing-issues/i-just-found-out-my-child-has-slow-processing-speed-now-what [Accessed 19 May 2019].</w:t>
      </w:r>
    </w:p>
    <w:p w14:paraId="35382237" w14:textId="77777777" w:rsidR="00FE3459" w:rsidRPr="00FE3459" w:rsidRDefault="00FE3459" w:rsidP="00FE3459">
      <w:pPr>
        <w:spacing w:before="100" w:beforeAutospacing="1" w:after="150" w:line="312" w:lineRule="atLeast"/>
        <w:rPr>
          <w:rFonts w:ascii="Times New Roman" w:eastAsia="Arial Unicode MS" w:hAnsi="Times New Roman" w:cs="Times New Roman"/>
          <w:color w:val="000000"/>
        </w:rPr>
      </w:pPr>
    </w:p>
    <w:p w14:paraId="6DEF231A" w14:textId="77777777" w:rsidR="00FE3459" w:rsidRDefault="00FE3459" w:rsidP="00A11FE5"/>
    <w:sectPr w:rsidR="00FE3459" w:rsidSect="00307805">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E9A242" w14:textId="77777777" w:rsidR="005018E3" w:rsidRDefault="005018E3" w:rsidP="004E7B18">
      <w:r>
        <w:separator/>
      </w:r>
    </w:p>
  </w:endnote>
  <w:endnote w:type="continuationSeparator" w:id="0">
    <w:p w14:paraId="14F74511" w14:textId="77777777" w:rsidR="005018E3" w:rsidRDefault="005018E3" w:rsidP="004E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A1718" w14:textId="77777777" w:rsidR="0000227C" w:rsidRDefault="0000227C" w:rsidP="003E5A2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3AF6C8" w14:textId="77777777" w:rsidR="0000227C" w:rsidRDefault="0000227C" w:rsidP="0000227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C1FA4" w14:textId="77777777" w:rsidR="0000227C" w:rsidRDefault="0000227C" w:rsidP="003E5A2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18E3">
      <w:rPr>
        <w:rStyle w:val="PageNumber"/>
        <w:noProof/>
      </w:rPr>
      <w:t>1</w:t>
    </w:r>
    <w:r>
      <w:rPr>
        <w:rStyle w:val="PageNumber"/>
      </w:rPr>
      <w:fldChar w:fldCharType="end"/>
    </w:r>
  </w:p>
  <w:p w14:paraId="1F6E66D8" w14:textId="77777777" w:rsidR="0000227C" w:rsidRDefault="0000227C" w:rsidP="0000227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F2DF2" w14:textId="77777777" w:rsidR="005018E3" w:rsidRDefault="005018E3" w:rsidP="004E7B18">
      <w:r>
        <w:separator/>
      </w:r>
    </w:p>
  </w:footnote>
  <w:footnote w:type="continuationSeparator" w:id="0">
    <w:p w14:paraId="087678D2" w14:textId="77777777" w:rsidR="005018E3" w:rsidRDefault="005018E3" w:rsidP="004E7B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09778" w14:textId="77777777" w:rsidR="004E7B18" w:rsidRDefault="004E7B18">
    <w:pPr>
      <w:pStyle w:val="Header"/>
    </w:pPr>
    <w:r>
      <w:t>ECAD6006C</w:t>
    </w:r>
    <w:r>
      <w:ptab w:relativeTo="margin" w:alignment="center" w:leader="none"/>
    </w:r>
    <w:r>
      <w:ptab w:relativeTo="margin" w:alignment="right" w:leader="none"/>
    </w:r>
    <w:r>
      <w:t>1304139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85BE1"/>
    <w:multiLevelType w:val="multilevel"/>
    <w:tmpl w:val="0B1A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7F12CB"/>
    <w:multiLevelType w:val="hybridMultilevel"/>
    <w:tmpl w:val="43685206"/>
    <w:lvl w:ilvl="0" w:tplc="11FC37D4">
      <w:start w:val="1"/>
      <w:numFmt w:val="bullet"/>
      <w:lvlText w:val="•"/>
      <w:lvlJc w:val="left"/>
      <w:pPr>
        <w:tabs>
          <w:tab w:val="num" w:pos="720"/>
        </w:tabs>
        <w:ind w:left="720" w:hanging="360"/>
      </w:pPr>
      <w:rPr>
        <w:rFonts w:ascii="Arial" w:hAnsi="Arial" w:hint="default"/>
      </w:rPr>
    </w:lvl>
    <w:lvl w:ilvl="1" w:tplc="39E6928C" w:tentative="1">
      <w:start w:val="1"/>
      <w:numFmt w:val="bullet"/>
      <w:lvlText w:val="•"/>
      <w:lvlJc w:val="left"/>
      <w:pPr>
        <w:tabs>
          <w:tab w:val="num" w:pos="1440"/>
        </w:tabs>
        <w:ind w:left="1440" w:hanging="360"/>
      </w:pPr>
      <w:rPr>
        <w:rFonts w:ascii="Arial" w:hAnsi="Arial" w:hint="default"/>
      </w:rPr>
    </w:lvl>
    <w:lvl w:ilvl="2" w:tplc="A8487F56" w:tentative="1">
      <w:start w:val="1"/>
      <w:numFmt w:val="bullet"/>
      <w:lvlText w:val="•"/>
      <w:lvlJc w:val="left"/>
      <w:pPr>
        <w:tabs>
          <w:tab w:val="num" w:pos="2160"/>
        </w:tabs>
        <w:ind w:left="2160" w:hanging="360"/>
      </w:pPr>
      <w:rPr>
        <w:rFonts w:ascii="Arial" w:hAnsi="Arial" w:hint="default"/>
      </w:rPr>
    </w:lvl>
    <w:lvl w:ilvl="3" w:tplc="AC164928" w:tentative="1">
      <w:start w:val="1"/>
      <w:numFmt w:val="bullet"/>
      <w:lvlText w:val="•"/>
      <w:lvlJc w:val="left"/>
      <w:pPr>
        <w:tabs>
          <w:tab w:val="num" w:pos="2880"/>
        </w:tabs>
        <w:ind w:left="2880" w:hanging="360"/>
      </w:pPr>
      <w:rPr>
        <w:rFonts w:ascii="Arial" w:hAnsi="Arial" w:hint="default"/>
      </w:rPr>
    </w:lvl>
    <w:lvl w:ilvl="4" w:tplc="10F4BFD2" w:tentative="1">
      <w:start w:val="1"/>
      <w:numFmt w:val="bullet"/>
      <w:lvlText w:val="•"/>
      <w:lvlJc w:val="left"/>
      <w:pPr>
        <w:tabs>
          <w:tab w:val="num" w:pos="3600"/>
        </w:tabs>
        <w:ind w:left="3600" w:hanging="360"/>
      </w:pPr>
      <w:rPr>
        <w:rFonts w:ascii="Arial" w:hAnsi="Arial" w:hint="default"/>
      </w:rPr>
    </w:lvl>
    <w:lvl w:ilvl="5" w:tplc="66DC5B3A" w:tentative="1">
      <w:start w:val="1"/>
      <w:numFmt w:val="bullet"/>
      <w:lvlText w:val="•"/>
      <w:lvlJc w:val="left"/>
      <w:pPr>
        <w:tabs>
          <w:tab w:val="num" w:pos="4320"/>
        </w:tabs>
        <w:ind w:left="4320" w:hanging="360"/>
      </w:pPr>
      <w:rPr>
        <w:rFonts w:ascii="Arial" w:hAnsi="Arial" w:hint="default"/>
      </w:rPr>
    </w:lvl>
    <w:lvl w:ilvl="6" w:tplc="4E2C5E3A" w:tentative="1">
      <w:start w:val="1"/>
      <w:numFmt w:val="bullet"/>
      <w:lvlText w:val="•"/>
      <w:lvlJc w:val="left"/>
      <w:pPr>
        <w:tabs>
          <w:tab w:val="num" w:pos="5040"/>
        </w:tabs>
        <w:ind w:left="5040" w:hanging="360"/>
      </w:pPr>
      <w:rPr>
        <w:rFonts w:ascii="Arial" w:hAnsi="Arial" w:hint="default"/>
      </w:rPr>
    </w:lvl>
    <w:lvl w:ilvl="7" w:tplc="5F28D730" w:tentative="1">
      <w:start w:val="1"/>
      <w:numFmt w:val="bullet"/>
      <w:lvlText w:val="•"/>
      <w:lvlJc w:val="left"/>
      <w:pPr>
        <w:tabs>
          <w:tab w:val="num" w:pos="5760"/>
        </w:tabs>
        <w:ind w:left="5760" w:hanging="360"/>
      </w:pPr>
      <w:rPr>
        <w:rFonts w:ascii="Arial" w:hAnsi="Arial" w:hint="default"/>
      </w:rPr>
    </w:lvl>
    <w:lvl w:ilvl="8" w:tplc="F07A0266" w:tentative="1">
      <w:start w:val="1"/>
      <w:numFmt w:val="bullet"/>
      <w:lvlText w:val="•"/>
      <w:lvlJc w:val="left"/>
      <w:pPr>
        <w:tabs>
          <w:tab w:val="num" w:pos="6480"/>
        </w:tabs>
        <w:ind w:left="6480" w:hanging="360"/>
      </w:pPr>
      <w:rPr>
        <w:rFonts w:ascii="Arial" w:hAnsi="Arial" w:hint="default"/>
      </w:rPr>
    </w:lvl>
  </w:abstractNum>
  <w:abstractNum w:abstractNumId="2">
    <w:nsid w:val="430E39B2"/>
    <w:multiLevelType w:val="multilevel"/>
    <w:tmpl w:val="63B20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FA737F"/>
    <w:multiLevelType w:val="multilevel"/>
    <w:tmpl w:val="44B65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A1533E"/>
    <w:multiLevelType w:val="hybridMultilevel"/>
    <w:tmpl w:val="2E8AB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397D1E"/>
    <w:multiLevelType w:val="hybridMultilevel"/>
    <w:tmpl w:val="A58A1C0C"/>
    <w:lvl w:ilvl="0" w:tplc="7108CA9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C44945"/>
    <w:multiLevelType w:val="multilevel"/>
    <w:tmpl w:val="2B04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BE1B50"/>
    <w:multiLevelType w:val="hybridMultilevel"/>
    <w:tmpl w:val="00D8BF94"/>
    <w:lvl w:ilvl="0" w:tplc="347A9EA8">
      <w:start w:val="5"/>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AC4CFB"/>
    <w:multiLevelType w:val="multilevel"/>
    <w:tmpl w:val="1A78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2"/>
  </w:num>
  <w:num w:numId="5">
    <w:abstractNumId w:val="3"/>
  </w:num>
  <w:num w:numId="6">
    <w:abstractNumId w:val="0"/>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FE"/>
    <w:rsid w:val="0000227C"/>
    <w:rsid w:val="00012A59"/>
    <w:rsid w:val="000219D1"/>
    <w:rsid w:val="00046E27"/>
    <w:rsid w:val="00050E39"/>
    <w:rsid w:val="00087B31"/>
    <w:rsid w:val="000B34AC"/>
    <w:rsid w:val="000C0DE2"/>
    <w:rsid w:val="000C3800"/>
    <w:rsid w:val="000C7F94"/>
    <w:rsid w:val="000E53F8"/>
    <w:rsid w:val="000F0FCA"/>
    <w:rsid w:val="000F2930"/>
    <w:rsid w:val="001005B9"/>
    <w:rsid w:val="00106E28"/>
    <w:rsid w:val="00123D37"/>
    <w:rsid w:val="00127B0E"/>
    <w:rsid w:val="00136C99"/>
    <w:rsid w:val="0014404B"/>
    <w:rsid w:val="0015235C"/>
    <w:rsid w:val="0015705A"/>
    <w:rsid w:val="001600DE"/>
    <w:rsid w:val="001868C0"/>
    <w:rsid w:val="00191F47"/>
    <w:rsid w:val="001929C0"/>
    <w:rsid w:val="001952F0"/>
    <w:rsid w:val="001C6C77"/>
    <w:rsid w:val="001F51EE"/>
    <w:rsid w:val="002044C7"/>
    <w:rsid w:val="00215258"/>
    <w:rsid w:val="00221BD0"/>
    <w:rsid w:val="0023694E"/>
    <w:rsid w:val="00280829"/>
    <w:rsid w:val="00302785"/>
    <w:rsid w:val="00307805"/>
    <w:rsid w:val="0031314D"/>
    <w:rsid w:val="0031415E"/>
    <w:rsid w:val="00315B29"/>
    <w:rsid w:val="00340524"/>
    <w:rsid w:val="00341966"/>
    <w:rsid w:val="00357433"/>
    <w:rsid w:val="00366577"/>
    <w:rsid w:val="00370DAB"/>
    <w:rsid w:val="00375D5C"/>
    <w:rsid w:val="003777D9"/>
    <w:rsid w:val="0038035A"/>
    <w:rsid w:val="003913DF"/>
    <w:rsid w:val="003A5EFE"/>
    <w:rsid w:val="003D2607"/>
    <w:rsid w:val="003D4501"/>
    <w:rsid w:val="003E7233"/>
    <w:rsid w:val="0047536A"/>
    <w:rsid w:val="00480E8F"/>
    <w:rsid w:val="00495FF2"/>
    <w:rsid w:val="004A291A"/>
    <w:rsid w:val="004C33E7"/>
    <w:rsid w:val="004C3FEE"/>
    <w:rsid w:val="004C76DD"/>
    <w:rsid w:val="004D4545"/>
    <w:rsid w:val="004D5F53"/>
    <w:rsid w:val="004D6A7D"/>
    <w:rsid w:val="004E76C4"/>
    <w:rsid w:val="004E7B18"/>
    <w:rsid w:val="004F2CA2"/>
    <w:rsid w:val="004F2EA3"/>
    <w:rsid w:val="005018E3"/>
    <w:rsid w:val="005046E2"/>
    <w:rsid w:val="005461ED"/>
    <w:rsid w:val="00550533"/>
    <w:rsid w:val="0055183F"/>
    <w:rsid w:val="00573426"/>
    <w:rsid w:val="00573A7A"/>
    <w:rsid w:val="005C0D60"/>
    <w:rsid w:val="005C6B91"/>
    <w:rsid w:val="00607039"/>
    <w:rsid w:val="0061187D"/>
    <w:rsid w:val="0063115E"/>
    <w:rsid w:val="0065494D"/>
    <w:rsid w:val="00692951"/>
    <w:rsid w:val="00693159"/>
    <w:rsid w:val="006B71C3"/>
    <w:rsid w:val="006E192E"/>
    <w:rsid w:val="00711CAE"/>
    <w:rsid w:val="00722BB8"/>
    <w:rsid w:val="00737C2D"/>
    <w:rsid w:val="007A20CF"/>
    <w:rsid w:val="007D772F"/>
    <w:rsid w:val="00854DD3"/>
    <w:rsid w:val="00895C53"/>
    <w:rsid w:val="008A0AFF"/>
    <w:rsid w:val="008B3FFD"/>
    <w:rsid w:val="008E5E28"/>
    <w:rsid w:val="008F4747"/>
    <w:rsid w:val="00904692"/>
    <w:rsid w:val="00924443"/>
    <w:rsid w:val="00926851"/>
    <w:rsid w:val="00944D69"/>
    <w:rsid w:val="00961685"/>
    <w:rsid w:val="009B2DEE"/>
    <w:rsid w:val="009C2840"/>
    <w:rsid w:val="009C2B6B"/>
    <w:rsid w:val="009D240F"/>
    <w:rsid w:val="009D25B8"/>
    <w:rsid w:val="009F066D"/>
    <w:rsid w:val="00A11FE5"/>
    <w:rsid w:val="00A46D4D"/>
    <w:rsid w:val="00AD15D6"/>
    <w:rsid w:val="00AD3842"/>
    <w:rsid w:val="00B04283"/>
    <w:rsid w:val="00B0506B"/>
    <w:rsid w:val="00B12370"/>
    <w:rsid w:val="00B23A72"/>
    <w:rsid w:val="00B519D3"/>
    <w:rsid w:val="00B7396E"/>
    <w:rsid w:val="00B84BFD"/>
    <w:rsid w:val="00B920A6"/>
    <w:rsid w:val="00BA7477"/>
    <w:rsid w:val="00BB2108"/>
    <w:rsid w:val="00BB7EA4"/>
    <w:rsid w:val="00BC27C1"/>
    <w:rsid w:val="00BD0DEC"/>
    <w:rsid w:val="00C04C13"/>
    <w:rsid w:val="00C066FF"/>
    <w:rsid w:val="00C10134"/>
    <w:rsid w:val="00C22F06"/>
    <w:rsid w:val="00C410DC"/>
    <w:rsid w:val="00CB3AA0"/>
    <w:rsid w:val="00CB4D82"/>
    <w:rsid w:val="00CB776A"/>
    <w:rsid w:val="00D34928"/>
    <w:rsid w:val="00D425FE"/>
    <w:rsid w:val="00D621A0"/>
    <w:rsid w:val="00D9257D"/>
    <w:rsid w:val="00DB035D"/>
    <w:rsid w:val="00DB4CA2"/>
    <w:rsid w:val="00DC23D4"/>
    <w:rsid w:val="00DC2FEA"/>
    <w:rsid w:val="00DE1039"/>
    <w:rsid w:val="00DE319D"/>
    <w:rsid w:val="00E05274"/>
    <w:rsid w:val="00E132A5"/>
    <w:rsid w:val="00E87F9C"/>
    <w:rsid w:val="00EA3341"/>
    <w:rsid w:val="00EF24AA"/>
    <w:rsid w:val="00F24BB9"/>
    <w:rsid w:val="00F56F83"/>
    <w:rsid w:val="00F625F0"/>
    <w:rsid w:val="00FA1E77"/>
    <w:rsid w:val="00FB0A1E"/>
    <w:rsid w:val="00FD3C18"/>
    <w:rsid w:val="00FE3459"/>
    <w:rsid w:val="00FE6B37"/>
    <w:rsid w:val="00FF5858"/>
    <w:rsid w:val="00FF5E3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DAD1C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EFE"/>
    <w:pPr>
      <w:ind w:left="720"/>
      <w:contextualSpacing/>
    </w:pPr>
  </w:style>
  <w:style w:type="paragraph" w:styleId="Header">
    <w:name w:val="header"/>
    <w:basedOn w:val="Normal"/>
    <w:link w:val="HeaderChar"/>
    <w:uiPriority w:val="99"/>
    <w:unhideWhenUsed/>
    <w:rsid w:val="004E7B18"/>
    <w:pPr>
      <w:tabs>
        <w:tab w:val="center" w:pos="4513"/>
        <w:tab w:val="right" w:pos="9026"/>
      </w:tabs>
    </w:pPr>
  </w:style>
  <w:style w:type="character" w:customStyle="1" w:styleId="HeaderChar">
    <w:name w:val="Header Char"/>
    <w:basedOn w:val="DefaultParagraphFont"/>
    <w:link w:val="Header"/>
    <w:uiPriority w:val="99"/>
    <w:rsid w:val="004E7B18"/>
  </w:style>
  <w:style w:type="paragraph" w:styleId="Footer">
    <w:name w:val="footer"/>
    <w:basedOn w:val="Normal"/>
    <w:link w:val="FooterChar"/>
    <w:uiPriority w:val="99"/>
    <w:unhideWhenUsed/>
    <w:rsid w:val="004E7B18"/>
    <w:pPr>
      <w:tabs>
        <w:tab w:val="center" w:pos="4513"/>
        <w:tab w:val="right" w:pos="9026"/>
      </w:tabs>
    </w:pPr>
  </w:style>
  <w:style w:type="character" w:customStyle="1" w:styleId="FooterChar">
    <w:name w:val="Footer Char"/>
    <w:basedOn w:val="DefaultParagraphFont"/>
    <w:link w:val="Footer"/>
    <w:uiPriority w:val="99"/>
    <w:rsid w:val="004E7B18"/>
  </w:style>
  <w:style w:type="paragraph" w:styleId="HTMLPreformatted">
    <w:name w:val="HTML Preformatted"/>
    <w:basedOn w:val="Normal"/>
    <w:link w:val="HTMLPreformattedChar"/>
    <w:uiPriority w:val="99"/>
    <w:semiHidden/>
    <w:unhideWhenUsed/>
    <w:rsid w:val="00711C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11CAE"/>
    <w:rPr>
      <w:rFonts w:ascii="Courier New" w:hAnsi="Courier New" w:cs="Courier New"/>
      <w:sz w:val="20"/>
      <w:szCs w:val="20"/>
    </w:rPr>
  </w:style>
  <w:style w:type="character" w:styleId="Emphasis">
    <w:name w:val="Emphasis"/>
    <w:basedOn w:val="DefaultParagraphFont"/>
    <w:uiPriority w:val="20"/>
    <w:qFormat/>
    <w:rsid w:val="004D5F53"/>
    <w:rPr>
      <w:i/>
      <w:iCs/>
    </w:rPr>
  </w:style>
  <w:style w:type="character" w:customStyle="1" w:styleId="apple-converted-space">
    <w:name w:val="apple-converted-space"/>
    <w:basedOn w:val="DefaultParagraphFont"/>
    <w:rsid w:val="004D5F53"/>
  </w:style>
  <w:style w:type="paragraph" w:styleId="NormalWeb">
    <w:name w:val="Normal (Web)"/>
    <w:basedOn w:val="Normal"/>
    <w:uiPriority w:val="99"/>
    <w:unhideWhenUsed/>
    <w:rsid w:val="00BA7477"/>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B84BFD"/>
    <w:rPr>
      <w:color w:val="0000FF"/>
      <w:u w:val="single"/>
    </w:rPr>
  </w:style>
  <w:style w:type="character" w:styleId="Strong">
    <w:name w:val="Strong"/>
    <w:basedOn w:val="DefaultParagraphFont"/>
    <w:uiPriority w:val="22"/>
    <w:qFormat/>
    <w:rsid w:val="00495FF2"/>
    <w:rPr>
      <w:b/>
      <w:bCs/>
    </w:rPr>
  </w:style>
  <w:style w:type="character" w:customStyle="1" w:styleId="author">
    <w:name w:val="author"/>
    <w:basedOn w:val="DefaultParagraphFont"/>
    <w:rsid w:val="00B519D3"/>
  </w:style>
  <w:style w:type="character" w:customStyle="1" w:styleId="pubyear">
    <w:name w:val="pubyear"/>
    <w:basedOn w:val="DefaultParagraphFont"/>
    <w:rsid w:val="00B519D3"/>
  </w:style>
  <w:style w:type="character" w:customStyle="1" w:styleId="articletitle">
    <w:name w:val="articletitle"/>
    <w:basedOn w:val="DefaultParagraphFont"/>
    <w:rsid w:val="00B519D3"/>
  </w:style>
  <w:style w:type="character" w:styleId="FollowedHyperlink">
    <w:name w:val="FollowedHyperlink"/>
    <w:basedOn w:val="DefaultParagraphFont"/>
    <w:uiPriority w:val="99"/>
    <w:semiHidden/>
    <w:unhideWhenUsed/>
    <w:rsid w:val="00DC23D4"/>
    <w:rPr>
      <w:color w:val="954F72" w:themeColor="followedHyperlink"/>
      <w:u w:val="single"/>
    </w:rPr>
  </w:style>
  <w:style w:type="character" w:styleId="PageNumber">
    <w:name w:val="page number"/>
    <w:basedOn w:val="DefaultParagraphFont"/>
    <w:uiPriority w:val="99"/>
    <w:semiHidden/>
    <w:unhideWhenUsed/>
    <w:rsid w:val="00002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13123">
      <w:bodyDiv w:val="1"/>
      <w:marLeft w:val="0"/>
      <w:marRight w:val="0"/>
      <w:marTop w:val="0"/>
      <w:marBottom w:val="0"/>
      <w:divBdr>
        <w:top w:val="none" w:sz="0" w:space="0" w:color="auto"/>
        <w:left w:val="none" w:sz="0" w:space="0" w:color="auto"/>
        <w:bottom w:val="none" w:sz="0" w:space="0" w:color="auto"/>
        <w:right w:val="none" w:sz="0" w:space="0" w:color="auto"/>
      </w:divBdr>
    </w:div>
    <w:div w:id="74671426">
      <w:bodyDiv w:val="1"/>
      <w:marLeft w:val="0"/>
      <w:marRight w:val="0"/>
      <w:marTop w:val="0"/>
      <w:marBottom w:val="0"/>
      <w:divBdr>
        <w:top w:val="none" w:sz="0" w:space="0" w:color="auto"/>
        <w:left w:val="none" w:sz="0" w:space="0" w:color="auto"/>
        <w:bottom w:val="none" w:sz="0" w:space="0" w:color="auto"/>
        <w:right w:val="none" w:sz="0" w:space="0" w:color="auto"/>
      </w:divBdr>
    </w:div>
    <w:div w:id="92366279">
      <w:bodyDiv w:val="1"/>
      <w:marLeft w:val="0"/>
      <w:marRight w:val="0"/>
      <w:marTop w:val="0"/>
      <w:marBottom w:val="0"/>
      <w:divBdr>
        <w:top w:val="none" w:sz="0" w:space="0" w:color="auto"/>
        <w:left w:val="none" w:sz="0" w:space="0" w:color="auto"/>
        <w:bottom w:val="none" w:sz="0" w:space="0" w:color="auto"/>
        <w:right w:val="none" w:sz="0" w:space="0" w:color="auto"/>
      </w:divBdr>
    </w:div>
    <w:div w:id="100419986">
      <w:bodyDiv w:val="1"/>
      <w:marLeft w:val="0"/>
      <w:marRight w:val="0"/>
      <w:marTop w:val="0"/>
      <w:marBottom w:val="0"/>
      <w:divBdr>
        <w:top w:val="none" w:sz="0" w:space="0" w:color="auto"/>
        <w:left w:val="none" w:sz="0" w:space="0" w:color="auto"/>
        <w:bottom w:val="none" w:sz="0" w:space="0" w:color="auto"/>
        <w:right w:val="none" w:sz="0" w:space="0" w:color="auto"/>
      </w:divBdr>
    </w:div>
    <w:div w:id="238105066">
      <w:bodyDiv w:val="1"/>
      <w:marLeft w:val="0"/>
      <w:marRight w:val="0"/>
      <w:marTop w:val="0"/>
      <w:marBottom w:val="0"/>
      <w:divBdr>
        <w:top w:val="none" w:sz="0" w:space="0" w:color="auto"/>
        <w:left w:val="none" w:sz="0" w:space="0" w:color="auto"/>
        <w:bottom w:val="none" w:sz="0" w:space="0" w:color="auto"/>
        <w:right w:val="none" w:sz="0" w:space="0" w:color="auto"/>
      </w:divBdr>
    </w:div>
    <w:div w:id="325548435">
      <w:bodyDiv w:val="1"/>
      <w:marLeft w:val="0"/>
      <w:marRight w:val="0"/>
      <w:marTop w:val="0"/>
      <w:marBottom w:val="0"/>
      <w:divBdr>
        <w:top w:val="none" w:sz="0" w:space="0" w:color="auto"/>
        <w:left w:val="none" w:sz="0" w:space="0" w:color="auto"/>
        <w:bottom w:val="none" w:sz="0" w:space="0" w:color="auto"/>
        <w:right w:val="none" w:sz="0" w:space="0" w:color="auto"/>
      </w:divBdr>
    </w:div>
    <w:div w:id="404913915">
      <w:bodyDiv w:val="1"/>
      <w:marLeft w:val="0"/>
      <w:marRight w:val="0"/>
      <w:marTop w:val="0"/>
      <w:marBottom w:val="0"/>
      <w:divBdr>
        <w:top w:val="none" w:sz="0" w:space="0" w:color="auto"/>
        <w:left w:val="none" w:sz="0" w:space="0" w:color="auto"/>
        <w:bottom w:val="none" w:sz="0" w:space="0" w:color="auto"/>
        <w:right w:val="none" w:sz="0" w:space="0" w:color="auto"/>
      </w:divBdr>
    </w:div>
    <w:div w:id="663555338">
      <w:bodyDiv w:val="1"/>
      <w:marLeft w:val="0"/>
      <w:marRight w:val="0"/>
      <w:marTop w:val="0"/>
      <w:marBottom w:val="0"/>
      <w:divBdr>
        <w:top w:val="none" w:sz="0" w:space="0" w:color="auto"/>
        <w:left w:val="none" w:sz="0" w:space="0" w:color="auto"/>
        <w:bottom w:val="none" w:sz="0" w:space="0" w:color="auto"/>
        <w:right w:val="none" w:sz="0" w:space="0" w:color="auto"/>
      </w:divBdr>
    </w:div>
    <w:div w:id="770048909">
      <w:bodyDiv w:val="1"/>
      <w:marLeft w:val="0"/>
      <w:marRight w:val="0"/>
      <w:marTop w:val="0"/>
      <w:marBottom w:val="0"/>
      <w:divBdr>
        <w:top w:val="none" w:sz="0" w:space="0" w:color="auto"/>
        <w:left w:val="none" w:sz="0" w:space="0" w:color="auto"/>
        <w:bottom w:val="none" w:sz="0" w:space="0" w:color="auto"/>
        <w:right w:val="none" w:sz="0" w:space="0" w:color="auto"/>
      </w:divBdr>
    </w:div>
    <w:div w:id="1133911696">
      <w:bodyDiv w:val="1"/>
      <w:marLeft w:val="0"/>
      <w:marRight w:val="0"/>
      <w:marTop w:val="0"/>
      <w:marBottom w:val="0"/>
      <w:divBdr>
        <w:top w:val="none" w:sz="0" w:space="0" w:color="auto"/>
        <w:left w:val="none" w:sz="0" w:space="0" w:color="auto"/>
        <w:bottom w:val="none" w:sz="0" w:space="0" w:color="auto"/>
        <w:right w:val="none" w:sz="0" w:space="0" w:color="auto"/>
      </w:divBdr>
    </w:div>
    <w:div w:id="1310788657">
      <w:bodyDiv w:val="1"/>
      <w:marLeft w:val="0"/>
      <w:marRight w:val="0"/>
      <w:marTop w:val="0"/>
      <w:marBottom w:val="0"/>
      <w:divBdr>
        <w:top w:val="none" w:sz="0" w:space="0" w:color="auto"/>
        <w:left w:val="none" w:sz="0" w:space="0" w:color="auto"/>
        <w:bottom w:val="none" w:sz="0" w:space="0" w:color="auto"/>
        <w:right w:val="none" w:sz="0" w:space="0" w:color="auto"/>
      </w:divBdr>
    </w:div>
    <w:div w:id="1379356655">
      <w:bodyDiv w:val="1"/>
      <w:marLeft w:val="0"/>
      <w:marRight w:val="0"/>
      <w:marTop w:val="0"/>
      <w:marBottom w:val="0"/>
      <w:divBdr>
        <w:top w:val="none" w:sz="0" w:space="0" w:color="auto"/>
        <w:left w:val="none" w:sz="0" w:space="0" w:color="auto"/>
        <w:bottom w:val="none" w:sz="0" w:space="0" w:color="auto"/>
        <w:right w:val="none" w:sz="0" w:space="0" w:color="auto"/>
      </w:divBdr>
    </w:div>
    <w:div w:id="1413745640">
      <w:bodyDiv w:val="1"/>
      <w:marLeft w:val="0"/>
      <w:marRight w:val="0"/>
      <w:marTop w:val="0"/>
      <w:marBottom w:val="0"/>
      <w:divBdr>
        <w:top w:val="none" w:sz="0" w:space="0" w:color="auto"/>
        <w:left w:val="none" w:sz="0" w:space="0" w:color="auto"/>
        <w:bottom w:val="none" w:sz="0" w:space="0" w:color="auto"/>
        <w:right w:val="none" w:sz="0" w:space="0" w:color="auto"/>
      </w:divBdr>
    </w:div>
    <w:div w:id="1492284066">
      <w:bodyDiv w:val="1"/>
      <w:marLeft w:val="0"/>
      <w:marRight w:val="0"/>
      <w:marTop w:val="0"/>
      <w:marBottom w:val="0"/>
      <w:divBdr>
        <w:top w:val="none" w:sz="0" w:space="0" w:color="auto"/>
        <w:left w:val="none" w:sz="0" w:space="0" w:color="auto"/>
        <w:bottom w:val="none" w:sz="0" w:space="0" w:color="auto"/>
        <w:right w:val="none" w:sz="0" w:space="0" w:color="auto"/>
      </w:divBdr>
    </w:div>
    <w:div w:id="1520385127">
      <w:bodyDiv w:val="1"/>
      <w:marLeft w:val="0"/>
      <w:marRight w:val="0"/>
      <w:marTop w:val="0"/>
      <w:marBottom w:val="0"/>
      <w:divBdr>
        <w:top w:val="none" w:sz="0" w:space="0" w:color="auto"/>
        <w:left w:val="none" w:sz="0" w:space="0" w:color="auto"/>
        <w:bottom w:val="none" w:sz="0" w:space="0" w:color="auto"/>
        <w:right w:val="none" w:sz="0" w:space="0" w:color="auto"/>
      </w:divBdr>
    </w:div>
    <w:div w:id="1577202115">
      <w:bodyDiv w:val="1"/>
      <w:marLeft w:val="0"/>
      <w:marRight w:val="0"/>
      <w:marTop w:val="0"/>
      <w:marBottom w:val="0"/>
      <w:divBdr>
        <w:top w:val="none" w:sz="0" w:space="0" w:color="auto"/>
        <w:left w:val="none" w:sz="0" w:space="0" w:color="auto"/>
        <w:bottom w:val="none" w:sz="0" w:space="0" w:color="auto"/>
        <w:right w:val="none" w:sz="0" w:space="0" w:color="auto"/>
      </w:divBdr>
    </w:div>
    <w:div w:id="1594701428">
      <w:bodyDiv w:val="1"/>
      <w:marLeft w:val="0"/>
      <w:marRight w:val="0"/>
      <w:marTop w:val="0"/>
      <w:marBottom w:val="0"/>
      <w:divBdr>
        <w:top w:val="none" w:sz="0" w:space="0" w:color="auto"/>
        <w:left w:val="none" w:sz="0" w:space="0" w:color="auto"/>
        <w:bottom w:val="none" w:sz="0" w:space="0" w:color="auto"/>
        <w:right w:val="none" w:sz="0" w:space="0" w:color="auto"/>
      </w:divBdr>
    </w:div>
    <w:div w:id="1649940729">
      <w:bodyDiv w:val="1"/>
      <w:marLeft w:val="0"/>
      <w:marRight w:val="0"/>
      <w:marTop w:val="0"/>
      <w:marBottom w:val="0"/>
      <w:divBdr>
        <w:top w:val="none" w:sz="0" w:space="0" w:color="auto"/>
        <w:left w:val="none" w:sz="0" w:space="0" w:color="auto"/>
        <w:bottom w:val="none" w:sz="0" w:space="0" w:color="auto"/>
        <w:right w:val="none" w:sz="0" w:space="0" w:color="auto"/>
      </w:divBdr>
    </w:div>
    <w:div w:id="1761834564">
      <w:bodyDiv w:val="1"/>
      <w:marLeft w:val="0"/>
      <w:marRight w:val="0"/>
      <w:marTop w:val="0"/>
      <w:marBottom w:val="0"/>
      <w:divBdr>
        <w:top w:val="none" w:sz="0" w:space="0" w:color="auto"/>
        <w:left w:val="none" w:sz="0" w:space="0" w:color="auto"/>
        <w:bottom w:val="none" w:sz="0" w:space="0" w:color="auto"/>
        <w:right w:val="none" w:sz="0" w:space="0" w:color="auto"/>
      </w:divBdr>
      <w:divsChild>
        <w:div w:id="786702674">
          <w:marLeft w:val="0"/>
          <w:marRight w:val="0"/>
          <w:marTop w:val="0"/>
          <w:marBottom w:val="0"/>
          <w:divBdr>
            <w:top w:val="none" w:sz="0" w:space="0" w:color="auto"/>
            <w:left w:val="none" w:sz="0" w:space="0" w:color="auto"/>
            <w:bottom w:val="none" w:sz="0" w:space="0" w:color="auto"/>
            <w:right w:val="none" w:sz="0" w:space="0" w:color="auto"/>
          </w:divBdr>
          <w:divsChild>
            <w:div w:id="1753114819">
              <w:marLeft w:val="0"/>
              <w:marRight w:val="0"/>
              <w:marTop w:val="0"/>
              <w:marBottom w:val="0"/>
              <w:divBdr>
                <w:top w:val="none" w:sz="0" w:space="0" w:color="auto"/>
                <w:left w:val="none" w:sz="0" w:space="0" w:color="auto"/>
                <w:bottom w:val="none" w:sz="0" w:space="0" w:color="auto"/>
                <w:right w:val="none" w:sz="0" w:space="0" w:color="auto"/>
              </w:divBdr>
              <w:divsChild>
                <w:div w:id="15785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00507">
      <w:bodyDiv w:val="1"/>
      <w:marLeft w:val="0"/>
      <w:marRight w:val="0"/>
      <w:marTop w:val="0"/>
      <w:marBottom w:val="0"/>
      <w:divBdr>
        <w:top w:val="none" w:sz="0" w:space="0" w:color="auto"/>
        <w:left w:val="none" w:sz="0" w:space="0" w:color="auto"/>
        <w:bottom w:val="none" w:sz="0" w:space="0" w:color="auto"/>
        <w:right w:val="none" w:sz="0" w:space="0" w:color="auto"/>
      </w:divBdr>
    </w:div>
    <w:div w:id="1863394724">
      <w:bodyDiv w:val="1"/>
      <w:marLeft w:val="0"/>
      <w:marRight w:val="0"/>
      <w:marTop w:val="0"/>
      <w:marBottom w:val="0"/>
      <w:divBdr>
        <w:top w:val="none" w:sz="0" w:space="0" w:color="auto"/>
        <w:left w:val="none" w:sz="0" w:space="0" w:color="auto"/>
        <w:bottom w:val="none" w:sz="0" w:space="0" w:color="auto"/>
        <w:right w:val="none" w:sz="0" w:space="0" w:color="auto"/>
      </w:divBdr>
    </w:div>
    <w:div w:id="1888375250">
      <w:bodyDiv w:val="1"/>
      <w:marLeft w:val="0"/>
      <w:marRight w:val="0"/>
      <w:marTop w:val="0"/>
      <w:marBottom w:val="0"/>
      <w:divBdr>
        <w:top w:val="none" w:sz="0" w:space="0" w:color="auto"/>
        <w:left w:val="none" w:sz="0" w:space="0" w:color="auto"/>
        <w:bottom w:val="none" w:sz="0" w:space="0" w:color="auto"/>
        <w:right w:val="none" w:sz="0" w:space="0" w:color="auto"/>
      </w:divBdr>
      <w:divsChild>
        <w:div w:id="2026783618">
          <w:marLeft w:val="547"/>
          <w:marRight w:val="0"/>
          <w:marTop w:val="106"/>
          <w:marBottom w:val="0"/>
          <w:divBdr>
            <w:top w:val="none" w:sz="0" w:space="0" w:color="auto"/>
            <w:left w:val="none" w:sz="0" w:space="0" w:color="auto"/>
            <w:bottom w:val="none" w:sz="0" w:space="0" w:color="auto"/>
            <w:right w:val="none" w:sz="0" w:space="0" w:color="auto"/>
          </w:divBdr>
        </w:div>
      </w:divsChild>
    </w:div>
    <w:div w:id="1911191126">
      <w:bodyDiv w:val="1"/>
      <w:marLeft w:val="0"/>
      <w:marRight w:val="0"/>
      <w:marTop w:val="0"/>
      <w:marBottom w:val="0"/>
      <w:divBdr>
        <w:top w:val="none" w:sz="0" w:space="0" w:color="auto"/>
        <w:left w:val="none" w:sz="0" w:space="0" w:color="auto"/>
        <w:bottom w:val="none" w:sz="0" w:space="0" w:color="auto"/>
        <w:right w:val="none" w:sz="0" w:space="0" w:color="auto"/>
      </w:divBdr>
    </w:div>
    <w:div w:id="20966287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vyJmV0sQVWU" TargetMode="External"/><Relationship Id="rId8" Type="http://schemas.openxmlformats.org/officeDocument/2006/relationships/hyperlink" Target="https://cft.vanderbilt.edu/guides-sub-pages/blooms-taxonomy/"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7</Pages>
  <Words>2052</Words>
  <Characters>11697</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21</cp:revision>
  <dcterms:created xsi:type="dcterms:W3CDTF">2019-05-22T19:32:00Z</dcterms:created>
  <dcterms:modified xsi:type="dcterms:W3CDTF">2019-05-30T12:13:00Z</dcterms:modified>
</cp:coreProperties>
</file>