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CCE0B" w14:textId="77777777" w:rsidR="00502654" w:rsidRDefault="00502654">
      <w:pPr>
        <w:spacing w:before="1440"/>
      </w:pPr>
    </w:p>
    <w:p w14:paraId="3AB96472" w14:textId="77777777" w:rsidR="00502654" w:rsidRDefault="00000000">
      <w:pPr>
        <w:spacing w:after="200"/>
        <w:jc w:val="center"/>
      </w:pPr>
      <w:r>
        <w:rPr>
          <w:b/>
          <w:bCs/>
          <w:color w:val="1F3864"/>
          <w:sz w:val="28"/>
          <w:szCs w:val="28"/>
        </w:rPr>
        <w:t>DEVELOPING AND MANAGING INDIVIDUALS AND TEAMS</w:t>
      </w:r>
    </w:p>
    <w:p w14:paraId="754F4B31" w14:textId="77777777" w:rsidR="00502654" w:rsidRDefault="00000000">
      <w:pPr>
        <w:spacing w:after="100"/>
        <w:jc w:val="center"/>
      </w:pPr>
      <w:r>
        <w:rPr>
          <w:color w:val="444444"/>
        </w:rPr>
        <w:t>Module Code: LCLM5002</w:t>
      </w:r>
    </w:p>
    <w:p w14:paraId="7E049893" w14:textId="77777777" w:rsidR="00502654" w:rsidRDefault="00502654">
      <w:pPr>
        <w:spacing w:before="400"/>
      </w:pPr>
    </w:p>
    <w:p w14:paraId="115E3053" w14:textId="77777777" w:rsidR="00502654" w:rsidRDefault="00000000">
      <w:pPr>
        <w:spacing w:after="200"/>
        <w:jc w:val="center"/>
      </w:pPr>
      <w:r>
        <w:rPr>
          <w:b/>
          <w:bCs/>
          <w:i/>
          <w:iCs/>
          <w:sz w:val="26"/>
          <w:szCs w:val="26"/>
        </w:rPr>
        <w:t>Component 2 – Individual Report</w:t>
      </w:r>
    </w:p>
    <w:p w14:paraId="65708970" w14:textId="77777777" w:rsidR="00502654" w:rsidRDefault="00502654">
      <w:pPr>
        <w:spacing w:before="600"/>
      </w:pPr>
    </w:p>
    <w:p w14:paraId="29556AC0" w14:textId="77777777" w:rsidR="00502654" w:rsidRDefault="00000000">
      <w:pPr>
        <w:spacing w:after="160"/>
        <w:jc w:val="center"/>
      </w:pPr>
      <w:r>
        <w:rPr>
          <w:b/>
          <w:bCs/>
        </w:rPr>
        <w:t>Programme:</w:t>
      </w:r>
    </w:p>
    <w:p w14:paraId="4CED1227" w14:textId="77777777" w:rsidR="00502654" w:rsidRDefault="00000000">
      <w:pPr>
        <w:spacing w:after="300"/>
        <w:jc w:val="center"/>
      </w:pPr>
      <w:r>
        <w:t>BA (Hons) Leadership and Management Skills for the Workplace</w:t>
      </w:r>
    </w:p>
    <w:p w14:paraId="56853A2E" w14:textId="77777777" w:rsidR="00813211" w:rsidRPr="00813211" w:rsidRDefault="00813211" w:rsidP="00813211">
      <w:pPr>
        <w:spacing w:after="160"/>
        <w:jc w:val="center"/>
        <w:rPr>
          <w:b/>
          <w:bCs/>
        </w:rPr>
      </w:pPr>
      <w:r w:rsidRPr="00813211">
        <w:rPr>
          <w:b/>
          <w:bCs/>
          <w:lang w:val="en-US"/>
        </w:rPr>
        <w:t>Lecturer: Mudassar Hasan</w:t>
      </w:r>
    </w:p>
    <w:p w14:paraId="351951C8" w14:textId="77777777" w:rsidR="00502654" w:rsidRDefault="00000000">
      <w:pPr>
        <w:spacing w:after="160"/>
        <w:jc w:val="center"/>
      </w:pPr>
      <w:r>
        <w:rPr>
          <w:b/>
          <w:bCs/>
        </w:rPr>
        <w:t>Submission Date:</w:t>
      </w:r>
    </w:p>
    <w:p w14:paraId="27632DF7" w14:textId="77777777" w:rsidR="00502654" w:rsidRDefault="00000000">
      <w:pPr>
        <w:spacing w:after="500"/>
        <w:jc w:val="center"/>
      </w:pPr>
      <w:r>
        <w:t>30 March 2026</w:t>
      </w:r>
    </w:p>
    <w:p w14:paraId="02A1419D" w14:textId="2A1B9676" w:rsidR="00813211" w:rsidRDefault="00813211">
      <w:pPr>
        <w:spacing w:after="500"/>
        <w:jc w:val="center"/>
      </w:pPr>
      <w:r>
        <w:t>FLORIN LEFTER</w:t>
      </w:r>
    </w:p>
    <w:p w14:paraId="22E71B13" w14:textId="77777777" w:rsidR="00502654" w:rsidRDefault="00000000">
      <w:pPr>
        <w:spacing w:after="160"/>
        <w:jc w:val="center"/>
      </w:pPr>
      <w:r>
        <w:t>Word Count: ~2,000 words</w:t>
      </w:r>
    </w:p>
    <w:p w14:paraId="1706602D" w14:textId="77777777" w:rsidR="00502654" w:rsidRDefault="00502654">
      <w:pPr>
        <w:sectPr w:rsidR="00502654">
          <w:pgSz w:w="11906" w:h="16838"/>
          <w:pgMar w:top="1440" w:right="1440" w:bottom="1440" w:left="1440" w:header="708" w:footer="708" w:gutter="0"/>
          <w:cols w:space="720"/>
          <w:docGrid w:linePitch="360"/>
        </w:sectPr>
      </w:pPr>
    </w:p>
    <w:p w14:paraId="3509AEE3" w14:textId="77777777" w:rsidR="00813211" w:rsidRDefault="00813211" w:rsidP="00813211">
      <w:pPr>
        <w:pStyle w:val="NormalWeb"/>
        <w:spacing w:line="360" w:lineRule="auto"/>
        <w:rPr>
          <w:color w:val="000000"/>
        </w:rPr>
      </w:pPr>
      <w:r w:rsidRPr="00813211">
        <w:rPr>
          <w:b/>
          <w:bCs/>
          <w:color w:val="000000"/>
        </w:rPr>
        <w:lastRenderedPageBreak/>
        <w:t>Introduction</w:t>
      </w:r>
      <w:r>
        <w:rPr>
          <w:color w:val="000000"/>
        </w:rPr>
        <w:br/>
        <w:t xml:space="preserve">Human Resource (HR) functions have an enormous impact on an organization’s overall success. As organizations continue to evolve in today’s increasingly complex and competitive environment, there is a need for organizations to </w:t>
      </w:r>
      <w:proofErr w:type="gramStart"/>
      <w:r>
        <w:rPr>
          <w:color w:val="000000"/>
        </w:rPr>
        <w:t>strategically and consistently manage their human resources</w:t>
      </w:r>
      <w:proofErr w:type="gramEnd"/>
      <w:r>
        <w:rPr>
          <w:color w:val="000000"/>
        </w:rPr>
        <w:t>.</w:t>
      </w:r>
    </w:p>
    <w:p w14:paraId="4F87174D" w14:textId="77777777" w:rsidR="00813211" w:rsidRDefault="00813211" w:rsidP="00813211">
      <w:pPr>
        <w:pStyle w:val="NormalWeb"/>
        <w:spacing w:line="360" w:lineRule="auto"/>
        <w:rPr>
          <w:color w:val="000000"/>
        </w:rPr>
      </w:pPr>
      <w:r>
        <w:rPr>
          <w:color w:val="000000"/>
        </w:rPr>
        <w:t xml:space="preserve">Marks &amp; Spencer PLC (M&amp;S) is a British retail company that employs around 65,000 employees globally and operates in multiple areas, including food, </w:t>
      </w:r>
      <w:proofErr w:type="gramStart"/>
      <w:r>
        <w:rPr>
          <w:color w:val="000000"/>
        </w:rPr>
        <w:t>clothing</w:t>
      </w:r>
      <w:proofErr w:type="gramEnd"/>
      <w:r>
        <w:rPr>
          <w:color w:val="000000"/>
        </w:rPr>
        <w:t xml:space="preserve"> and homeware (M&amp;S, 2023). Although M&amp;S is a well-established brand with sizeable operations, the organization still faces various contemporary HR issues requiring urgent consideration.</w:t>
      </w:r>
    </w:p>
    <w:p w14:paraId="0C95C0D7" w14:textId="77777777" w:rsidR="00813211" w:rsidRDefault="00813211" w:rsidP="00813211">
      <w:pPr>
        <w:pStyle w:val="NormalWeb"/>
        <w:spacing w:line="360" w:lineRule="auto"/>
        <w:rPr>
          <w:color w:val="000000"/>
        </w:rPr>
      </w:pPr>
      <w:r>
        <w:rPr>
          <w:color w:val="000000"/>
        </w:rPr>
        <w:t>This report identified and examined three essential HR aspects: technological advancements; attraction and retention of high-quality personnel; and diversity, equality, and inclusion (DEI).</w:t>
      </w:r>
    </w:p>
    <w:p w14:paraId="68139FBE" w14:textId="77777777" w:rsidR="00813211" w:rsidRDefault="00813211" w:rsidP="00813211">
      <w:pPr>
        <w:pStyle w:val="NormalWeb"/>
        <w:spacing w:line="360" w:lineRule="auto"/>
        <w:rPr>
          <w:color w:val="000000"/>
        </w:rPr>
      </w:pPr>
      <w:r>
        <w:rPr>
          <w:color w:val="000000"/>
        </w:rPr>
        <w:t>The report then assessed the present HR practices used to resolve these issues and evaluated how departmental managers can implement these practices to make them successful within the organization.</w:t>
      </w:r>
    </w:p>
    <w:p w14:paraId="53E4193C" w14:textId="77777777" w:rsidR="00813211" w:rsidRDefault="00813211" w:rsidP="00813211">
      <w:pPr>
        <w:pStyle w:val="NormalWeb"/>
        <w:spacing w:line="360" w:lineRule="auto"/>
        <w:rPr>
          <w:color w:val="000000"/>
        </w:rPr>
      </w:pPr>
      <w:r>
        <w:rPr>
          <w:color w:val="000000"/>
        </w:rPr>
        <w:t>The report concluded with some recommended steps to help direct M&amp;S toward an improved HR-oriented approach to workplace management.</w:t>
      </w:r>
    </w:p>
    <w:p w14:paraId="70A8EB22" w14:textId="77777777" w:rsidR="00813211" w:rsidRDefault="00813211" w:rsidP="00813211">
      <w:pPr>
        <w:pStyle w:val="NormalWeb"/>
        <w:spacing w:line="360" w:lineRule="auto"/>
        <w:rPr>
          <w:color w:val="000000"/>
        </w:rPr>
      </w:pPr>
      <w:r w:rsidRPr="00813211">
        <w:rPr>
          <w:b/>
          <w:bCs/>
          <w:color w:val="000000"/>
        </w:rPr>
        <w:t>Key HR Issues at Marks &amp; Spencer</w:t>
      </w:r>
      <w:r w:rsidRPr="00813211">
        <w:rPr>
          <w:b/>
          <w:bCs/>
          <w:color w:val="000000"/>
        </w:rPr>
        <w:br/>
        <w:t>Meeting Technological Advances</w:t>
      </w:r>
      <w:r>
        <w:rPr>
          <w:color w:val="000000"/>
        </w:rPr>
        <w:br/>
        <w:t xml:space="preserve">As described earlier, technological changes are now rapidly transforming the retail industry. To remain effective, M&amp;S is experiencing similar pressures with regards to HR. As stated by the McKinsey Global Institute (2022), up to 30 percent of tasks across industries will be automated by 2030, thus, it is no longer just beneficial but necessary for the HR function to assist in developing digital abilities among its </w:t>
      </w:r>
      <w:proofErr w:type="gramStart"/>
      <w:r>
        <w:rPr>
          <w:color w:val="000000"/>
        </w:rPr>
        <w:t>workforce</w:t>
      </w:r>
      <w:proofErr w:type="gramEnd"/>
      <w:r>
        <w:rPr>
          <w:color w:val="000000"/>
        </w:rPr>
        <w:t>.</w:t>
      </w:r>
    </w:p>
    <w:p w14:paraId="1B517D7A" w14:textId="77777777" w:rsidR="00813211" w:rsidRDefault="00813211" w:rsidP="00813211">
      <w:pPr>
        <w:pStyle w:val="NormalWeb"/>
        <w:spacing w:line="360" w:lineRule="auto"/>
        <w:rPr>
          <w:color w:val="000000"/>
        </w:rPr>
      </w:pPr>
      <w:r>
        <w:rPr>
          <w:color w:val="000000"/>
        </w:rPr>
        <w:t xml:space="preserve">To achieve this objective, M&amp;S has made considerable investments in its "Digital First" strategy. Specifically, it involves using AI to improve supply chains and implementing personalized customer experiences using platforms (M&amp;S, 2023). However, this transformation poses a dual challenge for the HR function: upgrading the technical skills of current employees and attracting prospective employees who possess the desired levels of </w:t>
      </w:r>
      <w:r>
        <w:rPr>
          <w:color w:val="000000"/>
        </w:rPr>
        <w:lastRenderedPageBreak/>
        <w:t>digital ability. If not resolved effectively, the resulting skills gap may hinder M&amp;S's digital transformation goals. According to Kwon and Lee (2021), if an organization does not align its workforce planning with technological developments, it will experience decreased productivity and greater employee resistance to change.</w:t>
      </w:r>
    </w:p>
    <w:p w14:paraId="20476A0B" w14:textId="77777777" w:rsidR="00813211" w:rsidRDefault="00813211" w:rsidP="00813211">
      <w:pPr>
        <w:pStyle w:val="NormalWeb"/>
        <w:spacing w:line="360" w:lineRule="auto"/>
        <w:rPr>
          <w:color w:val="000000"/>
        </w:rPr>
      </w:pPr>
      <w:r w:rsidRPr="00813211">
        <w:rPr>
          <w:b/>
          <w:bCs/>
          <w:color w:val="000000"/>
        </w:rPr>
        <w:t>Talent Acquisition and Retention</w:t>
      </w:r>
      <w:r>
        <w:rPr>
          <w:color w:val="000000"/>
        </w:rPr>
        <w:br/>
        <w:t xml:space="preserve">Acquiring and retaining highly qualified employees continues to represent one of the greatest obstacles faced by UK employers. The Great Resignation has led to unprecedented </w:t>
      </w:r>
      <w:proofErr w:type="spellStart"/>
      <w:r>
        <w:rPr>
          <w:color w:val="000000"/>
        </w:rPr>
        <w:t>labor</w:t>
      </w:r>
      <w:proofErr w:type="spellEnd"/>
      <w:r>
        <w:rPr>
          <w:color w:val="000000"/>
        </w:rPr>
        <w:t xml:space="preserve"> shortages in the post-pandemic job market (Sull et al., 2022). Therefore, M&amp;S is competing with other major UK retail companies including Next and John Lewis to attract talented employees due to the competitiveness of the retail sector.</w:t>
      </w:r>
    </w:p>
    <w:p w14:paraId="6EBBEEBA" w14:textId="77777777" w:rsidR="00813211" w:rsidRDefault="00813211" w:rsidP="00813211">
      <w:pPr>
        <w:pStyle w:val="NormalWeb"/>
        <w:spacing w:line="360" w:lineRule="auto"/>
        <w:rPr>
          <w:color w:val="000000"/>
        </w:rPr>
      </w:pPr>
      <w:r>
        <w:rPr>
          <w:color w:val="000000"/>
        </w:rPr>
        <w:t>Replacing an employee in the UK typically results in a loss of approximately £6,000 (Chartered Institute of Personnel and Development [CIPD], 2023), which increases significantly when employees leave in managerial or specialized roles. Thus, for M&amp;S, retention of talent is both an HR issue as well as a material economic problem. Some potential reasons for attrition at M&amp;S may include inadequate career advancement options for employees, limited flexibility in working hours for employees, and mismatched organizational culture/employee expectations.</w:t>
      </w:r>
    </w:p>
    <w:p w14:paraId="3AC24165" w14:textId="77777777" w:rsidR="00813211" w:rsidRDefault="00813211" w:rsidP="00813211">
      <w:pPr>
        <w:pStyle w:val="NormalWeb"/>
        <w:spacing w:line="360" w:lineRule="auto"/>
        <w:rPr>
          <w:color w:val="000000"/>
        </w:rPr>
      </w:pPr>
      <w:r w:rsidRPr="00813211">
        <w:rPr>
          <w:b/>
          <w:bCs/>
          <w:color w:val="000000"/>
        </w:rPr>
        <w:t xml:space="preserve">Diversity, </w:t>
      </w:r>
      <w:proofErr w:type="gramStart"/>
      <w:r w:rsidRPr="00813211">
        <w:rPr>
          <w:b/>
          <w:bCs/>
          <w:color w:val="000000"/>
        </w:rPr>
        <w:t>Equality</w:t>
      </w:r>
      <w:proofErr w:type="gramEnd"/>
      <w:r w:rsidRPr="00813211">
        <w:rPr>
          <w:b/>
          <w:bCs/>
          <w:color w:val="000000"/>
        </w:rPr>
        <w:t xml:space="preserve"> and Inclusion (DEI)</w:t>
      </w:r>
      <w:r>
        <w:rPr>
          <w:color w:val="000000"/>
        </w:rPr>
        <w:br/>
        <w:t>DEI has advanced from being considered peripheral to HR strategy to becoming a key organizational priority. There is increasing research that supports the premise that diverse and inclusive workplaces produce better business outcomes. For example, McKinsey &amp; Co (2023) states that organizations ranked in the top quarter for female representation on boards are 25% more likely to exhibit higher-than-average profit margins compared to peer organizations.</w:t>
      </w:r>
    </w:p>
    <w:p w14:paraId="495381DA" w14:textId="77777777" w:rsidR="00813211" w:rsidRDefault="00813211" w:rsidP="00813211">
      <w:pPr>
        <w:pStyle w:val="NormalWeb"/>
        <w:spacing w:line="360" w:lineRule="auto"/>
        <w:rPr>
          <w:color w:val="000000"/>
        </w:rPr>
      </w:pPr>
      <w:r>
        <w:rPr>
          <w:color w:val="000000"/>
        </w:rPr>
        <w:t xml:space="preserve">Although M&amp;S has publicized commitments to DEI, the organization has several challenges in converting policy into action. Examples of the challenges </w:t>
      </w:r>
      <w:proofErr w:type="gramStart"/>
      <w:r>
        <w:rPr>
          <w:color w:val="000000"/>
        </w:rPr>
        <w:t>include:</w:t>
      </w:r>
      <w:proofErr w:type="gramEnd"/>
      <w:r>
        <w:rPr>
          <w:color w:val="000000"/>
        </w:rPr>
        <w:t xml:space="preserve"> low representation of ethnic minority employees in senior executive positions; consistent pay disparities between men and women; and barriers to inclusion experienced by employees with disabilities (Equality and Human Rights Commission [EHRC], 2022). Moreover, tokenism related to DEI —i.e., where quantitative measures are emphasized over qualitative cultural changes—may erode employee trust and increase perceptions of exclusion (Nkomo and </w:t>
      </w:r>
      <w:proofErr w:type="spellStart"/>
      <w:r>
        <w:rPr>
          <w:color w:val="000000"/>
        </w:rPr>
        <w:t>Hoobler</w:t>
      </w:r>
      <w:proofErr w:type="spellEnd"/>
      <w:r>
        <w:rPr>
          <w:color w:val="000000"/>
        </w:rPr>
        <w:t xml:space="preserve">, 2021). </w:t>
      </w:r>
      <w:r>
        <w:rPr>
          <w:color w:val="000000"/>
        </w:rPr>
        <w:lastRenderedPageBreak/>
        <w:t>Consequently, to successfully implement DEI in an authentic manner requires both structural reforms as well as shifts in organizational mentality.</w:t>
      </w:r>
    </w:p>
    <w:p w14:paraId="23A970F2" w14:textId="77777777" w:rsidR="00813211" w:rsidRDefault="00813211" w:rsidP="00813211">
      <w:pPr>
        <w:pStyle w:val="NormalWeb"/>
        <w:spacing w:line="360" w:lineRule="auto"/>
        <w:rPr>
          <w:color w:val="000000"/>
        </w:rPr>
      </w:pPr>
      <w:r w:rsidRPr="00813211">
        <w:rPr>
          <w:b/>
          <w:bCs/>
          <w:color w:val="000000"/>
        </w:rPr>
        <w:t>Contemporary HR Practices to Resolve the Identified Challenges</w:t>
      </w:r>
      <w:r w:rsidRPr="00813211">
        <w:rPr>
          <w:b/>
          <w:bCs/>
          <w:color w:val="000000"/>
        </w:rPr>
        <w:br/>
        <w:t>Digital Up-Skilling and Workforce Planning</w:t>
      </w:r>
      <w:r>
        <w:rPr>
          <w:color w:val="000000"/>
        </w:rPr>
        <w:br/>
        <w:t xml:space="preserve">To address the pressures caused by technological advances, M&amp;S has launched numerous learning and development programs </w:t>
      </w:r>
      <w:proofErr w:type="spellStart"/>
      <w:r>
        <w:rPr>
          <w:color w:val="000000"/>
        </w:rPr>
        <w:t>centered</w:t>
      </w:r>
      <w:proofErr w:type="spellEnd"/>
      <w:r>
        <w:rPr>
          <w:color w:val="000000"/>
        </w:rPr>
        <w:t xml:space="preserve"> on digital competency. Current practice regarding digital competency training has shifted away from one-time training events toward continuous learning models. Employees </w:t>
      </w:r>
      <w:proofErr w:type="gramStart"/>
      <w:r>
        <w:rPr>
          <w:color w:val="000000"/>
        </w:rPr>
        <w:t>are able to</w:t>
      </w:r>
      <w:proofErr w:type="gramEnd"/>
      <w:r>
        <w:rPr>
          <w:color w:val="000000"/>
        </w:rPr>
        <w:t xml:space="preserve"> learn and develop digitally at their own pace via online platforms such as LinkedIn Learning or internal LMSs (Armstrong and Taylor, 2020). M&amp;S has also initiated pilot “Digital Skills Academies” designed specifically for frontline employees required to operate new point-of-sale technologies and data analytics tools in conjunction with external training providers.</w:t>
      </w:r>
    </w:p>
    <w:p w14:paraId="365ECB35" w14:textId="77777777" w:rsidR="00813211" w:rsidRDefault="00813211" w:rsidP="00813211">
      <w:pPr>
        <w:pStyle w:val="NormalWeb"/>
        <w:spacing w:line="360" w:lineRule="auto"/>
        <w:rPr>
          <w:color w:val="000000"/>
        </w:rPr>
      </w:pPr>
      <w:r>
        <w:rPr>
          <w:color w:val="000000"/>
        </w:rPr>
        <w:t>However, digital competency training cannot occur independently of robust workforce planning. SHRM (2022) suggests that workforce planning should consist of periodic assessments of workforce skill gaps. For M&amp;S, this would involve not only assessing where skill deficits presently exist but also estimating where they will exist in the future based upon continued growth of the organization’s footprint of technology. Using people analytics or HRIS enables better-informed decisions concerning resource allocation and planning (</w:t>
      </w:r>
      <w:proofErr w:type="spellStart"/>
      <w:r>
        <w:rPr>
          <w:color w:val="000000"/>
        </w:rPr>
        <w:t>Marler</w:t>
      </w:r>
      <w:proofErr w:type="spellEnd"/>
      <w:r>
        <w:rPr>
          <w:color w:val="000000"/>
        </w:rPr>
        <w:t xml:space="preserve"> and Parry, 2021).</w:t>
      </w:r>
    </w:p>
    <w:p w14:paraId="6DA67B2E" w14:textId="77777777" w:rsidR="00813211" w:rsidRDefault="00813211" w:rsidP="00813211">
      <w:pPr>
        <w:pStyle w:val="NormalWeb"/>
        <w:spacing w:line="360" w:lineRule="auto"/>
        <w:rPr>
          <w:color w:val="000000"/>
        </w:rPr>
      </w:pPr>
      <w:r>
        <w:rPr>
          <w:color w:val="000000"/>
        </w:rPr>
        <w:t>Contemporary Recruitment Methods: Employer Branding and Talent Retention</w:t>
      </w:r>
      <w:r>
        <w:rPr>
          <w:color w:val="000000"/>
        </w:rPr>
        <w:br/>
        <w:t xml:space="preserve">To attract and retain skilled employees, M&amp;S has established an employer branding program emphasizing its values/culture/commitment to employee well-being. Employee branding theory recognizes that candidates —especially Millennials and </w:t>
      </w:r>
      <w:proofErr w:type="spellStart"/>
      <w:r>
        <w:rPr>
          <w:color w:val="000000"/>
        </w:rPr>
        <w:t>GenZ</w:t>
      </w:r>
      <w:proofErr w:type="spellEnd"/>
      <w:r>
        <w:rPr>
          <w:color w:val="000000"/>
        </w:rPr>
        <w:t xml:space="preserve"> — place increasing emphasis on purpose/flexibility/development </w:t>
      </w:r>
      <w:proofErr w:type="gramStart"/>
      <w:r>
        <w:rPr>
          <w:color w:val="000000"/>
        </w:rPr>
        <w:t>over compensation</w:t>
      </w:r>
      <w:proofErr w:type="gramEnd"/>
      <w:r>
        <w:rPr>
          <w:color w:val="000000"/>
        </w:rPr>
        <w:t xml:space="preserve"> (Deloitte, 2022). M&amp;S’s Colleague Commitments Program —which provides additional mental health support/flexible working arrangements/delineated career pathways —represents a more comprehensive employee value proposition (EVP) relative to previous efforts.</w:t>
      </w:r>
    </w:p>
    <w:p w14:paraId="26D08621" w14:textId="77777777" w:rsidR="00813211" w:rsidRDefault="00813211" w:rsidP="00813211">
      <w:pPr>
        <w:pStyle w:val="NormalWeb"/>
        <w:spacing w:line="360" w:lineRule="auto"/>
        <w:rPr>
          <w:color w:val="000000"/>
        </w:rPr>
      </w:pPr>
      <w:r>
        <w:rPr>
          <w:color w:val="000000"/>
        </w:rPr>
        <w:t xml:space="preserve">Similar trends characterize retention strategies. Modern retention strategies incorporate a wide variety of methods </w:t>
      </w:r>
      <w:proofErr w:type="gramStart"/>
      <w:r>
        <w:rPr>
          <w:color w:val="000000"/>
        </w:rPr>
        <w:t>including:</w:t>
      </w:r>
      <w:proofErr w:type="gramEnd"/>
      <w:r>
        <w:rPr>
          <w:color w:val="000000"/>
        </w:rPr>
        <w:t xml:space="preserve"> structured mentor/coach programs/stay interviews/predictive analytical techniques designed to predict which employees will depart prior to resignation (Boudreau and Cascio, 2021). The CIPD (2022) also advocates for the </w:t>
      </w:r>
      <w:r>
        <w:rPr>
          <w:color w:val="000000"/>
        </w:rPr>
        <w:lastRenderedPageBreak/>
        <w:t>establishment of psychological safety – i.e., environments where employees feel free to express concerns/risk-taking —as a primary driver of extended-term retention. M&amp;S has recently implemented Listening Circles that allow frontline employees to share upward feedback with senior management; such programs reflect a trend toward supporting psychological safety.</w:t>
      </w:r>
    </w:p>
    <w:p w14:paraId="28B6618D" w14:textId="77777777" w:rsidR="00813211" w:rsidRDefault="00813211" w:rsidP="00813211">
      <w:pPr>
        <w:pStyle w:val="NormalWeb"/>
        <w:spacing w:line="360" w:lineRule="auto"/>
        <w:rPr>
          <w:color w:val="000000"/>
        </w:rPr>
      </w:pPr>
      <w:r w:rsidRPr="00813211">
        <w:rPr>
          <w:b/>
          <w:bCs/>
          <w:color w:val="000000"/>
        </w:rPr>
        <w:t>Embedding DEI throughout the Entire Employee Lifecycle</w:t>
      </w:r>
      <w:r>
        <w:rPr>
          <w:color w:val="000000"/>
        </w:rPr>
        <w:br/>
        <w:t>An effective DEI strategy encompasses all phases of the employee lifecycle —recruitment and selection —to promotion/exit. Contemporary HR practice advocates for utilizing tools such as: structurally designed interviews/anonymously reviewing applications/diverse interview panels —all intended to minimize unconscious bias during recruitment processes (Noon and Ogbonna, 2021). M&amp;S has provided obligatory unconscious bias training for all hiring managers as well as utilized diverse talent pipeline development strategies through collaborations with universities/community-based organizations.</w:t>
      </w:r>
    </w:p>
    <w:p w14:paraId="77C93596" w14:textId="77777777" w:rsidR="00813211" w:rsidRDefault="00813211" w:rsidP="00813211">
      <w:pPr>
        <w:pStyle w:val="NormalWeb"/>
        <w:spacing w:line="360" w:lineRule="auto"/>
        <w:rPr>
          <w:color w:val="000000"/>
        </w:rPr>
      </w:pPr>
      <w:r>
        <w:rPr>
          <w:color w:val="000000"/>
        </w:rPr>
        <w:t xml:space="preserve">Once recruited, however, DEI must be integrated into performance evaluation/ career advancement processes. Sponsorship programs —in which senior executives sponsor talent from underrepresented groups —has proven effective in accelerating development opportunities and reducing representation gaps (Catalyst, 2021). M&amp;S’s Plan </w:t>
      </w:r>
      <w:proofErr w:type="gramStart"/>
      <w:r>
        <w:rPr>
          <w:color w:val="000000"/>
        </w:rPr>
        <w:t>A</w:t>
      </w:r>
      <w:proofErr w:type="gramEnd"/>
      <w:r>
        <w:rPr>
          <w:color w:val="000000"/>
        </w:rPr>
        <w:t xml:space="preserve"> Sustainability Framework includes specific DEI commitments with publicly disclosed metrics to foster accountability. However, according to Ferdman (2021), these types of metric-based objectives must be coupled with qualitative cultural efforts —including inclusive leadership development —to produce meaningful and sustainable improvements.</w:t>
      </w:r>
    </w:p>
    <w:p w14:paraId="7D19B3C0" w14:textId="77777777" w:rsidR="00813211" w:rsidRDefault="00813211" w:rsidP="00813211">
      <w:pPr>
        <w:pStyle w:val="NormalWeb"/>
        <w:spacing w:line="360" w:lineRule="auto"/>
        <w:rPr>
          <w:color w:val="000000"/>
        </w:rPr>
      </w:pPr>
      <w:r w:rsidRPr="00813211">
        <w:rPr>
          <w:b/>
          <w:bCs/>
          <w:color w:val="000000"/>
        </w:rPr>
        <w:t>Critical Assessment: Departmental Managerial Responsibilities</w:t>
      </w:r>
      <w:r>
        <w:rPr>
          <w:color w:val="000000"/>
        </w:rPr>
        <w:br/>
        <w:t xml:space="preserve">While HR departments design/implement people-related policies/practices, it is departmental managers who have ultimate authority for applying those policies/practices </w:t>
      </w:r>
      <w:proofErr w:type="gramStart"/>
      <w:r>
        <w:rPr>
          <w:color w:val="000000"/>
        </w:rPr>
        <w:t>on a daily basis</w:t>
      </w:r>
      <w:proofErr w:type="gramEnd"/>
      <w:r>
        <w:rPr>
          <w:color w:val="000000"/>
        </w:rPr>
        <w:t>. Increasingly, organizations depend upon line managers acting as the ‘people’ side of HR policy —translating organizational strategic intent into individual employee experience. With respect to M&amp;S —this translates into both opportunity —managers who are adequately prepared/motivated to promote HR-related practices can serve as powerful multipliers of organizational culture —and risk —departmental managers who lack preparation/motivation may impede implementation.</w:t>
      </w:r>
    </w:p>
    <w:p w14:paraId="5E11BB1E" w14:textId="77777777" w:rsidR="00813211" w:rsidRDefault="00813211" w:rsidP="00813211">
      <w:pPr>
        <w:pStyle w:val="NormalWeb"/>
        <w:spacing w:line="360" w:lineRule="auto"/>
        <w:rPr>
          <w:color w:val="000000"/>
        </w:rPr>
      </w:pPr>
      <w:r>
        <w:rPr>
          <w:color w:val="000000"/>
        </w:rPr>
        <w:lastRenderedPageBreak/>
        <w:t xml:space="preserve">With respect to technology —departmental managers must exemplify digital adaptation —and provide psychologically safe environments for employees to explore new digital tools. </w:t>
      </w:r>
      <w:proofErr w:type="spellStart"/>
      <w:r>
        <w:rPr>
          <w:color w:val="000000"/>
        </w:rPr>
        <w:t>Oreg</w:t>
      </w:r>
      <w:proofErr w:type="spellEnd"/>
      <w:r>
        <w:rPr>
          <w:color w:val="000000"/>
        </w:rPr>
        <w:t xml:space="preserve"> (2021) indicates that employee resistance to digital transformation is best addressed by providing transparency about why new tools were chosen —and continuing visibility in terms of ongoing support. For M&amp;S —this means that departmental managers must participate in digital up-skilling programs themselves —not simply delegate responsibility for doing so exclusively to HR.</w:t>
      </w:r>
    </w:p>
    <w:p w14:paraId="69445D2A" w14:textId="77777777" w:rsidR="00813211" w:rsidRDefault="00813211" w:rsidP="00813211">
      <w:pPr>
        <w:pStyle w:val="NormalWeb"/>
        <w:spacing w:line="360" w:lineRule="auto"/>
        <w:rPr>
          <w:color w:val="000000"/>
        </w:rPr>
      </w:pPr>
      <w:r>
        <w:rPr>
          <w:color w:val="000000"/>
        </w:rPr>
        <w:t>With respect to talent acquisition/retention —managers have a vital role in daily employee experience. Gallup (2022) reports that 70% of variation in employee engagement can be attributed to manager quality. At M&amp;S —this means that retention is not simply dependent upon HR policy —but primarily determined by how managers recognize employee performance/support employee wellness/enhance career development in real time. When managers do not engage actively with retention strategies —due either to lack of interest/neglect/excessive task orientation/inadequate interpersonal skills —they risk degrading otherwise excellent organizational initiatives.</w:t>
      </w:r>
    </w:p>
    <w:p w14:paraId="7EB70A57" w14:textId="77777777" w:rsidR="00813211" w:rsidRDefault="00813211" w:rsidP="00813211">
      <w:pPr>
        <w:pStyle w:val="NormalWeb"/>
        <w:spacing w:line="360" w:lineRule="auto"/>
        <w:rPr>
          <w:color w:val="000000"/>
        </w:rPr>
      </w:pPr>
      <w:r>
        <w:rPr>
          <w:color w:val="000000"/>
        </w:rPr>
        <w:t xml:space="preserve">Perhaps the most difficult aspect of DEI is determining whether managers have sufficient capacity to act as allies toward inclusion. Allyship entails going beyond mere compliance with DEI policies —to actively advocating against exclusionary </w:t>
      </w:r>
      <w:proofErr w:type="spellStart"/>
      <w:r>
        <w:rPr>
          <w:color w:val="000000"/>
        </w:rPr>
        <w:t>behaviors</w:t>
      </w:r>
      <w:proofErr w:type="spellEnd"/>
      <w:r>
        <w:rPr>
          <w:color w:val="000000"/>
        </w:rPr>
        <w:t xml:space="preserve">/promoting fair access to developmental opportunities/mitigating personal biases when evaluating employee performance. However, research critiques indicate that reliance upon education/training alone may be insufficient for producing </w:t>
      </w:r>
      <w:proofErr w:type="spellStart"/>
      <w:r>
        <w:rPr>
          <w:color w:val="000000"/>
        </w:rPr>
        <w:t>behavioral</w:t>
      </w:r>
      <w:proofErr w:type="spellEnd"/>
      <w:r>
        <w:rPr>
          <w:color w:val="000000"/>
        </w:rPr>
        <w:t xml:space="preserve"> change. Without structural accountability —e.g., inclusion metrics incorporated into manager performance evaluations/promotion criteria —managers may diminish their enthusiasm for DEI as operational demands grow (</w:t>
      </w:r>
      <w:proofErr w:type="spellStart"/>
      <w:r>
        <w:rPr>
          <w:color w:val="000000"/>
        </w:rPr>
        <w:t>Kalev</w:t>
      </w:r>
      <w:proofErr w:type="spellEnd"/>
      <w:r>
        <w:rPr>
          <w:color w:val="000000"/>
        </w:rPr>
        <w:t xml:space="preserve"> et al., 2020).</w:t>
      </w:r>
    </w:p>
    <w:p w14:paraId="4F14B5FF" w14:textId="77777777" w:rsidR="00813211" w:rsidRDefault="00813211" w:rsidP="00813211">
      <w:pPr>
        <w:pStyle w:val="NormalWeb"/>
        <w:spacing w:line="360" w:lineRule="auto"/>
        <w:rPr>
          <w:color w:val="000000"/>
        </w:rPr>
      </w:pPr>
      <w:r>
        <w:rPr>
          <w:color w:val="000000"/>
        </w:rPr>
        <w:t xml:space="preserve">To ensure urgency of </w:t>
      </w:r>
      <w:proofErr w:type="gramStart"/>
      <w:r>
        <w:rPr>
          <w:color w:val="000000"/>
        </w:rPr>
        <w:t>implementation —M</w:t>
      </w:r>
      <w:proofErr w:type="gramEnd"/>
      <w:r>
        <w:rPr>
          <w:color w:val="000000"/>
        </w:rPr>
        <w:t>&amp;S may wish to develop an intra-company “People Champions” network consisting of trained managers acting as internal ambassadors for HR practices. Close collaboration between HRBP and departmental managers will also foster coach/challenge relationships. Ultimately —the effectiveness of contemporary HR practices at M&amp;S rests on reconciling formally articulated policy with informally practiced culture —and it is departmental managers that reside at the nexus of formal policy/practice culture.</w:t>
      </w:r>
    </w:p>
    <w:p w14:paraId="6896E45B" w14:textId="77777777" w:rsidR="00813211" w:rsidRDefault="00813211" w:rsidP="00813211">
      <w:pPr>
        <w:pStyle w:val="NormalWeb"/>
        <w:spacing w:line="360" w:lineRule="auto"/>
        <w:rPr>
          <w:color w:val="000000"/>
        </w:rPr>
      </w:pPr>
      <w:r w:rsidRPr="00813211">
        <w:rPr>
          <w:b/>
          <w:bCs/>
          <w:color w:val="000000"/>
        </w:rPr>
        <w:lastRenderedPageBreak/>
        <w:t>Conclusion and Recommended Actions</w:t>
      </w:r>
      <w:r>
        <w:rPr>
          <w:color w:val="000000"/>
        </w:rPr>
        <w:br/>
        <w:t>As previously outlined this report has documented that M&amp;S is confronted with three interrelated contemporary HR challenges: technological advance/talent acquisition/retention/</w:t>
      </w:r>
      <w:proofErr w:type="spellStart"/>
      <w:r>
        <w:rPr>
          <w:color w:val="000000"/>
        </w:rPr>
        <w:t>dei</w:t>
      </w:r>
      <w:proofErr w:type="spellEnd"/>
      <w:r>
        <w:rPr>
          <w:color w:val="000000"/>
        </w:rPr>
        <w:t xml:space="preserve">. While contemporary practices </w:t>
      </w:r>
      <w:proofErr w:type="gramStart"/>
      <w:r>
        <w:rPr>
          <w:color w:val="000000"/>
        </w:rPr>
        <w:t>including:</w:t>
      </w:r>
      <w:proofErr w:type="gramEnd"/>
      <w:r>
        <w:rPr>
          <w:color w:val="000000"/>
        </w:rPr>
        <w:t xml:space="preserve"> digital up-skilling academies/EVP-</w:t>
      </w:r>
      <w:proofErr w:type="spellStart"/>
      <w:r>
        <w:rPr>
          <w:color w:val="000000"/>
        </w:rPr>
        <w:t>centered</w:t>
      </w:r>
      <w:proofErr w:type="spellEnd"/>
      <w:r>
        <w:rPr>
          <w:color w:val="000000"/>
        </w:rPr>
        <w:t xml:space="preserve"> recruitment/DI-centric recruitment programs/people analytics —provide a plausible route toward resolving each of these challenges; however —the applicability of these practices depends upon active engagement by departmental managers who are suitably prepared/supported/accountable for their respective roles in implementing HR strategy.</w:t>
      </w:r>
    </w:p>
    <w:p w14:paraId="7FC36666" w14:textId="77777777" w:rsidR="00813211" w:rsidRPr="00813211" w:rsidRDefault="00813211" w:rsidP="00813211">
      <w:pPr>
        <w:pStyle w:val="NormalWeb"/>
        <w:spacing w:line="360" w:lineRule="auto"/>
        <w:rPr>
          <w:b/>
          <w:bCs/>
          <w:color w:val="000000"/>
        </w:rPr>
      </w:pPr>
      <w:r w:rsidRPr="00813211">
        <w:rPr>
          <w:b/>
          <w:bCs/>
          <w:color w:val="000000"/>
        </w:rPr>
        <w:t>Based upon this analysis we recommend:</w:t>
      </w:r>
    </w:p>
    <w:p w14:paraId="063C541D" w14:textId="77777777" w:rsidR="00813211" w:rsidRDefault="00813211" w:rsidP="00813211">
      <w:pPr>
        <w:pStyle w:val="NormalWeb"/>
        <w:spacing w:line="360" w:lineRule="auto"/>
        <w:rPr>
          <w:color w:val="000000"/>
        </w:rPr>
      </w:pPr>
      <w:r>
        <w:rPr>
          <w:color w:val="000000"/>
        </w:rPr>
        <w:t>• Mandate semi-annually conducted departmental-level skill-gap reviews —integrating findings into workforce plans/</w:t>
      </w:r>
      <w:proofErr w:type="spellStart"/>
      <w:r>
        <w:rPr>
          <w:color w:val="000000"/>
        </w:rPr>
        <w:t>labor</w:t>
      </w:r>
      <w:proofErr w:type="spellEnd"/>
      <w:r>
        <w:rPr>
          <w:color w:val="000000"/>
        </w:rPr>
        <w:t xml:space="preserve"> budget allocations.</w:t>
      </w:r>
      <w:r>
        <w:rPr>
          <w:color w:val="000000"/>
        </w:rPr>
        <w:br/>
        <w:t>• Incorporate DI/Talent Management Metrics into Manager Performance Evaluations to establish clear accountability.</w:t>
      </w:r>
      <w:r>
        <w:rPr>
          <w:color w:val="000000"/>
        </w:rPr>
        <w:br/>
        <w:t>• Invest in Manager Capability through structured coaching/leadership development programs —with particular focus on Inclusive Leadership/Digital Confidence.</w:t>
      </w:r>
      <w:r>
        <w:rPr>
          <w:color w:val="000000"/>
        </w:rPr>
        <w:br/>
        <w:t xml:space="preserve">• Establish a People Champions Network to sustain momentum/embed culture of continuous improvement in HR Practice across all business </w:t>
      </w:r>
      <w:proofErr w:type="gramStart"/>
      <w:r>
        <w:rPr>
          <w:color w:val="000000"/>
        </w:rPr>
        <w:t>units</w:t>
      </w:r>
      <w:proofErr w:type="gramEnd"/>
    </w:p>
    <w:p w14:paraId="4BCE0D55" w14:textId="77777777" w:rsidR="00502654" w:rsidRDefault="00000000">
      <w:pPr>
        <w:pStyle w:val="Heading1"/>
        <w:pBdr>
          <w:bottom w:val="single" w:sz="4" w:space="4" w:color="1F3864"/>
        </w:pBdr>
      </w:pPr>
      <w:r>
        <w:t>References</w:t>
      </w:r>
    </w:p>
    <w:p w14:paraId="3AE24827" w14:textId="77777777" w:rsidR="00502654" w:rsidRDefault="00000000">
      <w:pPr>
        <w:spacing w:after="120"/>
        <w:ind w:left="720" w:hanging="720"/>
        <w:jc w:val="both"/>
      </w:pPr>
      <w:r>
        <w:t xml:space="preserve">Armstrong, M. and Taylor, S. (2020) Armstrong's Handbook of Human Resource Management Practice. 15th </w:t>
      </w:r>
      <w:proofErr w:type="spellStart"/>
      <w:r>
        <w:t>edn</w:t>
      </w:r>
      <w:proofErr w:type="spellEnd"/>
      <w:r>
        <w:t>. London: Kogan Page.</w:t>
      </w:r>
    </w:p>
    <w:p w14:paraId="15F6C495" w14:textId="77777777" w:rsidR="00502654" w:rsidRDefault="00000000">
      <w:pPr>
        <w:spacing w:after="120"/>
        <w:ind w:left="720" w:hanging="720"/>
        <w:jc w:val="both"/>
      </w:pPr>
      <w:r>
        <w:t>Boudreau, J. W. and Cascio, W. F. (2021) Work in the Age of Artificial Intelligence. Alexandria: SHRM.</w:t>
      </w:r>
    </w:p>
    <w:p w14:paraId="36E03563" w14:textId="77777777" w:rsidR="00502654" w:rsidRDefault="00000000">
      <w:pPr>
        <w:spacing w:after="120"/>
        <w:ind w:left="720" w:hanging="720"/>
        <w:jc w:val="both"/>
      </w:pPr>
      <w:r>
        <w:t>Catalyst (2021) Sponsorship: What It Is, Why It Matters, How to Make It Work. New York: Catalyst.</w:t>
      </w:r>
    </w:p>
    <w:p w14:paraId="526CE5B7" w14:textId="77777777" w:rsidR="00502654" w:rsidRDefault="00000000">
      <w:pPr>
        <w:spacing w:after="120"/>
        <w:ind w:left="720" w:hanging="720"/>
        <w:jc w:val="both"/>
      </w:pPr>
      <w:r>
        <w:t>Chartered Institute of Personnel and Development (CIPD) (2022) Health and Wellbeing at Work. London: CIPD.</w:t>
      </w:r>
    </w:p>
    <w:p w14:paraId="36B573A6" w14:textId="77777777" w:rsidR="00502654" w:rsidRDefault="00000000">
      <w:pPr>
        <w:spacing w:after="120"/>
        <w:ind w:left="720" w:hanging="720"/>
        <w:jc w:val="both"/>
      </w:pPr>
      <w:r>
        <w:t>Chartered Institute of Personnel and Development (CIPD) (2023) Recruitment and Workforce Planning. London: CIPD.</w:t>
      </w:r>
    </w:p>
    <w:p w14:paraId="6A227CCC" w14:textId="77777777" w:rsidR="00502654" w:rsidRDefault="00000000">
      <w:pPr>
        <w:spacing w:after="120"/>
        <w:ind w:left="720" w:hanging="720"/>
        <w:jc w:val="both"/>
      </w:pPr>
      <w:r>
        <w:t>Deloitte (2022) The Deloitte Global 2022 Millennial and Gen Z Survey. London: Deloitte Insights.</w:t>
      </w:r>
    </w:p>
    <w:p w14:paraId="481A819D" w14:textId="77777777" w:rsidR="00502654" w:rsidRDefault="00000000">
      <w:pPr>
        <w:spacing w:after="120"/>
        <w:ind w:left="720" w:hanging="720"/>
        <w:jc w:val="both"/>
      </w:pPr>
      <w:r>
        <w:t>Equality and Human Rights Commission (2022) Equality in Britain: Key Facts and Figures. Manchester: EHRC.</w:t>
      </w:r>
    </w:p>
    <w:p w14:paraId="3BEB4644" w14:textId="77777777" w:rsidR="00502654" w:rsidRDefault="00000000">
      <w:pPr>
        <w:spacing w:after="120"/>
        <w:ind w:left="720" w:hanging="720"/>
        <w:jc w:val="both"/>
      </w:pPr>
      <w:r>
        <w:lastRenderedPageBreak/>
        <w:t>Ferdman, B. M. (2021) 'Becoming Inclusive: A Worthy and Achievable Aspiration', in Ferdman, B. M., Prime, J. and Riggio, R. E. (eds.) Inclusive Leadership: Transforming Diverse Lives, Workplaces, and Societies. New York: Routledge, pp. 3–24.</w:t>
      </w:r>
    </w:p>
    <w:p w14:paraId="4BF37D90" w14:textId="77777777" w:rsidR="00502654" w:rsidRDefault="00000000">
      <w:pPr>
        <w:spacing w:after="120"/>
        <w:ind w:left="720" w:hanging="720"/>
        <w:jc w:val="both"/>
      </w:pPr>
      <w:r>
        <w:t>Gallup (2022) State of the Global Workplace Report. Washington, DC: Gallup.</w:t>
      </w:r>
    </w:p>
    <w:p w14:paraId="5724D581" w14:textId="77777777" w:rsidR="00502654" w:rsidRDefault="00000000">
      <w:pPr>
        <w:spacing w:after="120"/>
        <w:ind w:left="720" w:hanging="720"/>
        <w:jc w:val="both"/>
      </w:pPr>
      <w:proofErr w:type="spellStart"/>
      <w:r>
        <w:t>Kalev</w:t>
      </w:r>
      <w:proofErr w:type="spellEnd"/>
      <w:r>
        <w:t>, A., Dobbin, F. and Kelly, E. (2020) 'Best Practices or Best Guesses? Assessing the Efficacy of Corporate Affirmative Action and Diversity Policies', American Sociological Review, 71(4), pp. 589–617.</w:t>
      </w:r>
    </w:p>
    <w:p w14:paraId="3B1F87B0" w14:textId="77777777" w:rsidR="00502654" w:rsidRDefault="00000000">
      <w:pPr>
        <w:spacing w:after="120"/>
        <w:ind w:left="720" w:hanging="720"/>
        <w:jc w:val="both"/>
      </w:pPr>
      <w:r>
        <w:t>Kwon, K. and Lee, T. (2021) 'Exploring the Linkage between Human Resource Practices and Technology Adoption', Human Resource Management Journal, 31(2), pp. 536–558.</w:t>
      </w:r>
    </w:p>
    <w:p w14:paraId="43A52BE7" w14:textId="77777777" w:rsidR="00502654" w:rsidRDefault="00000000">
      <w:pPr>
        <w:spacing w:after="120"/>
        <w:ind w:left="720" w:hanging="720"/>
        <w:jc w:val="both"/>
      </w:pPr>
      <w:r>
        <w:t>McKinsey &amp; Company (2023) Diversity Wins: How Inclusion Matters. New York: McKinsey Global Institute.</w:t>
      </w:r>
    </w:p>
    <w:p w14:paraId="329202E7" w14:textId="77777777" w:rsidR="00502654" w:rsidRDefault="00000000">
      <w:pPr>
        <w:spacing w:after="120"/>
        <w:ind w:left="720" w:hanging="720"/>
        <w:jc w:val="both"/>
      </w:pPr>
      <w:r>
        <w:t>McKinsey Global Institute (2022) The Future of Work After COVID-19. New York: McKinsey &amp; Company.</w:t>
      </w:r>
    </w:p>
    <w:p w14:paraId="2686246C" w14:textId="77777777" w:rsidR="00502654" w:rsidRDefault="00000000">
      <w:pPr>
        <w:spacing w:after="120"/>
        <w:ind w:left="720" w:hanging="720"/>
        <w:jc w:val="both"/>
      </w:pPr>
      <w:proofErr w:type="spellStart"/>
      <w:r>
        <w:t>Marler</w:t>
      </w:r>
      <w:proofErr w:type="spellEnd"/>
      <w:r>
        <w:t>, J. H. and Parry, E. (2021) 'Human Resource Management, Strategic Involvement and e-HRM Technology', International Journal of Human Resource Management, 32(1), pp. 1–20.</w:t>
      </w:r>
    </w:p>
    <w:p w14:paraId="0330082C" w14:textId="77777777" w:rsidR="00502654" w:rsidRDefault="00000000">
      <w:pPr>
        <w:spacing w:after="120"/>
        <w:ind w:left="720" w:hanging="720"/>
        <w:jc w:val="both"/>
      </w:pPr>
      <w:r>
        <w:t>Marks &amp; Spencer plc (2023) Annual Report and Financial Statements 2023. London: M&amp;S.</w:t>
      </w:r>
    </w:p>
    <w:p w14:paraId="64B637A7" w14:textId="77777777" w:rsidR="00502654" w:rsidRDefault="00000000">
      <w:pPr>
        <w:spacing w:after="120"/>
        <w:ind w:left="720" w:hanging="720"/>
        <w:jc w:val="both"/>
      </w:pPr>
      <w:r>
        <w:t xml:space="preserve">Nkomo, S. M. and </w:t>
      </w:r>
      <w:proofErr w:type="spellStart"/>
      <w:r>
        <w:t>Hoobler</w:t>
      </w:r>
      <w:proofErr w:type="spellEnd"/>
      <w:r>
        <w:t>, J. M. (2021) 'A Historical Perspective on Diversity Ideologies in the United States: Reflections on Human Resource Management Research and Practice', Human Resource Management Review, 24(3), pp. 245–257.</w:t>
      </w:r>
    </w:p>
    <w:p w14:paraId="3D82004D" w14:textId="77777777" w:rsidR="00502654" w:rsidRDefault="00000000">
      <w:pPr>
        <w:spacing w:after="120"/>
        <w:ind w:left="720" w:hanging="720"/>
        <w:jc w:val="both"/>
      </w:pPr>
      <w:r>
        <w:t>Noon, M. and Ogbonna, E. (2021) 'Marginalised Voices in Diversity and Inclusion Research', Human Resource Management Journal, 31(1), pp. 39–53.</w:t>
      </w:r>
    </w:p>
    <w:p w14:paraId="3F525367" w14:textId="77777777" w:rsidR="00502654" w:rsidRDefault="00000000">
      <w:pPr>
        <w:spacing w:after="120"/>
        <w:ind w:left="720" w:hanging="720"/>
        <w:jc w:val="both"/>
      </w:pPr>
      <w:proofErr w:type="spellStart"/>
      <w:r>
        <w:t>Oreg</w:t>
      </w:r>
      <w:proofErr w:type="spellEnd"/>
      <w:r>
        <w:t>, S. (2021) 'Resistance to Change and Performance: Toward a More Even-Handed View of Organisational Change', Research in Organisational Behaviour, 41, p. 100150.</w:t>
      </w:r>
    </w:p>
    <w:p w14:paraId="5456708E" w14:textId="77777777" w:rsidR="00502654" w:rsidRDefault="00000000">
      <w:pPr>
        <w:spacing w:after="120"/>
        <w:ind w:left="720" w:hanging="720"/>
        <w:jc w:val="both"/>
      </w:pPr>
      <w:r>
        <w:t xml:space="preserve">Prime, J. and </w:t>
      </w:r>
      <w:proofErr w:type="spellStart"/>
      <w:r>
        <w:t>Salib</w:t>
      </w:r>
      <w:proofErr w:type="spellEnd"/>
      <w:r>
        <w:t>, E. R. (2021) Inclusive Leadership: The View from Six Countries. New York: Catalyst.</w:t>
      </w:r>
    </w:p>
    <w:p w14:paraId="1328E522" w14:textId="77777777" w:rsidR="00502654" w:rsidRDefault="00000000">
      <w:pPr>
        <w:spacing w:after="120"/>
        <w:ind w:left="720" w:hanging="720"/>
        <w:jc w:val="both"/>
      </w:pPr>
      <w:r>
        <w:t>Society for Human Resource Management (SHRM) (2022) Workforce Planning and Employment: SHRM Body of Applied Skills and Knowledge. Alexandria: SHRM.</w:t>
      </w:r>
    </w:p>
    <w:p w14:paraId="22EB1242" w14:textId="77777777" w:rsidR="00502654" w:rsidRDefault="00000000">
      <w:pPr>
        <w:spacing w:after="120"/>
        <w:ind w:left="720" w:hanging="720"/>
        <w:jc w:val="both"/>
      </w:pPr>
      <w:r>
        <w:t>Sull, D., Sull, C. and Zweig, B. (2022) 'Toxic Culture Is Driving the Great Resignation', MIT Sloan Management Review, 63(2), pp. 1–9.</w:t>
      </w:r>
    </w:p>
    <w:p w14:paraId="2F283DB4" w14:textId="77777777" w:rsidR="00502654" w:rsidRDefault="00000000">
      <w:pPr>
        <w:spacing w:after="120"/>
        <w:ind w:left="720" w:hanging="720"/>
        <w:jc w:val="both"/>
      </w:pPr>
      <w:r>
        <w:t xml:space="preserve">Ulrich, D. and </w:t>
      </w:r>
      <w:proofErr w:type="spellStart"/>
      <w:r>
        <w:t>Dulebohn</w:t>
      </w:r>
      <w:proofErr w:type="spellEnd"/>
      <w:r>
        <w:t>, J. H. (2021) 'Are We There Yet? What's Next for HR?', Human Resource Management Review, 25(2), pp. 188–204.</w:t>
      </w:r>
    </w:p>
    <w:sectPr w:rsidR="00502654">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DB5CF" w14:textId="77777777" w:rsidR="001B1696" w:rsidRDefault="001B1696">
      <w:r>
        <w:separator/>
      </w:r>
    </w:p>
  </w:endnote>
  <w:endnote w:type="continuationSeparator" w:id="0">
    <w:p w14:paraId="5E910886" w14:textId="77777777" w:rsidR="001B1696" w:rsidRDefault="001B16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1ED58" w14:textId="77777777" w:rsidR="00502654" w:rsidRDefault="00000000">
    <w:pPr>
      <w:pBdr>
        <w:top w:val="single" w:sz="4" w:space="4" w:color="1F3864"/>
      </w:pBdr>
      <w:jc w:val="center"/>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813211">
      <w:rPr>
        <w:noProof/>
        <w:color w:val="555555"/>
        <w:sz w:val="18"/>
        <w:szCs w:val="18"/>
      </w:rPr>
      <w:t>2</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606FC" w14:textId="77777777" w:rsidR="001B1696" w:rsidRDefault="001B1696">
      <w:r>
        <w:separator/>
      </w:r>
    </w:p>
  </w:footnote>
  <w:footnote w:type="continuationSeparator" w:id="0">
    <w:p w14:paraId="1A205F57" w14:textId="77777777" w:rsidR="001B1696" w:rsidRDefault="001B16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17C7E" w14:textId="77777777" w:rsidR="00502654" w:rsidRDefault="00000000">
    <w:pPr>
      <w:pBdr>
        <w:bottom w:val="single" w:sz="4" w:space="4" w:color="1F3864"/>
      </w:pBdr>
      <w:jc w:val="right"/>
    </w:pPr>
    <w:r>
      <w:rPr>
        <w:color w:val="555555"/>
        <w:sz w:val="18"/>
        <w:szCs w:val="18"/>
      </w:rPr>
      <w:t>LCLM5002 – Developing and Managing Individuals and Teams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F63E9"/>
    <w:multiLevelType w:val="hybridMultilevel"/>
    <w:tmpl w:val="67C8FB0C"/>
    <w:lvl w:ilvl="0" w:tplc="A36A8796">
      <w:start w:val="1"/>
      <w:numFmt w:val="bullet"/>
      <w:lvlText w:val="•"/>
      <w:lvlJc w:val="left"/>
      <w:pPr>
        <w:spacing w:after="80"/>
        <w:ind w:left="720" w:hanging="360"/>
      </w:pPr>
    </w:lvl>
    <w:lvl w:ilvl="1" w:tplc="10D28CE6">
      <w:numFmt w:val="decimal"/>
      <w:lvlText w:val=""/>
      <w:lvlJc w:val="left"/>
    </w:lvl>
    <w:lvl w:ilvl="2" w:tplc="EBBC2000">
      <w:numFmt w:val="decimal"/>
      <w:lvlText w:val=""/>
      <w:lvlJc w:val="left"/>
    </w:lvl>
    <w:lvl w:ilvl="3" w:tplc="20189E7C">
      <w:numFmt w:val="decimal"/>
      <w:lvlText w:val=""/>
      <w:lvlJc w:val="left"/>
    </w:lvl>
    <w:lvl w:ilvl="4" w:tplc="7558196C">
      <w:numFmt w:val="decimal"/>
      <w:lvlText w:val=""/>
      <w:lvlJc w:val="left"/>
    </w:lvl>
    <w:lvl w:ilvl="5" w:tplc="8ED27CF2">
      <w:numFmt w:val="decimal"/>
      <w:lvlText w:val=""/>
      <w:lvlJc w:val="left"/>
    </w:lvl>
    <w:lvl w:ilvl="6" w:tplc="AEBC1282">
      <w:numFmt w:val="decimal"/>
      <w:lvlText w:val=""/>
      <w:lvlJc w:val="left"/>
    </w:lvl>
    <w:lvl w:ilvl="7" w:tplc="60062ABC">
      <w:numFmt w:val="decimal"/>
      <w:lvlText w:val=""/>
      <w:lvlJc w:val="left"/>
    </w:lvl>
    <w:lvl w:ilvl="8" w:tplc="E32229D4">
      <w:numFmt w:val="decimal"/>
      <w:lvlText w:val=""/>
      <w:lvlJc w:val="left"/>
    </w:lvl>
  </w:abstractNum>
  <w:abstractNum w:abstractNumId="1" w15:restartNumberingAfterBreak="0">
    <w:nsid w:val="23AE7F45"/>
    <w:multiLevelType w:val="hybridMultilevel"/>
    <w:tmpl w:val="B346F264"/>
    <w:lvl w:ilvl="0" w:tplc="9CBEC370">
      <w:start w:val="1"/>
      <w:numFmt w:val="bullet"/>
      <w:lvlText w:val="●"/>
      <w:lvlJc w:val="left"/>
      <w:pPr>
        <w:ind w:left="720" w:hanging="360"/>
      </w:pPr>
    </w:lvl>
    <w:lvl w:ilvl="1" w:tplc="53ECE3F2">
      <w:start w:val="1"/>
      <w:numFmt w:val="bullet"/>
      <w:lvlText w:val="○"/>
      <w:lvlJc w:val="left"/>
      <w:pPr>
        <w:ind w:left="1440" w:hanging="360"/>
      </w:pPr>
    </w:lvl>
    <w:lvl w:ilvl="2" w:tplc="5A02866C">
      <w:start w:val="1"/>
      <w:numFmt w:val="bullet"/>
      <w:lvlText w:val="■"/>
      <w:lvlJc w:val="left"/>
      <w:pPr>
        <w:ind w:left="2160" w:hanging="360"/>
      </w:pPr>
    </w:lvl>
    <w:lvl w:ilvl="3" w:tplc="4CF8375C">
      <w:start w:val="1"/>
      <w:numFmt w:val="bullet"/>
      <w:lvlText w:val="●"/>
      <w:lvlJc w:val="left"/>
      <w:pPr>
        <w:ind w:left="2880" w:hanging="360"/>
      </w:pPr>
    </w:lvl>
    <w:lvl w:ilvl="4" w:tplc="466E4206">
      <w:start w:val="1"/>
      <w:numFmt w:val="bullet"/>
      <w:lvlText w:val="○"/>
      <w:lvlJc w:val="left"/>
      <w:pPr>
        <w:ind w:left="3600" w:hanging="360"/>
      </w:pPr>
    </w:lvl>
    <w:lvl w:ilvl="5" w:tplc="7298AB2C">
      <w:start w:val="1"/>
      <w:numFmt w:val="bullet"/>
      <w:lvlText w:val="■"/>
      <w:lvlJc w:val="left"/>
      <w:pPr>
        <w:ind w:left="4320" w:hanging="360"/>
      </w:pPr>
    </w:lvl>
    <w:lvl w:ilvl="6" w:tplc="67E4F87E">
      <w:start w:val="1"/>
      <w:numFmt w:val="bullet"/>
      <w:lvlText w:val="●"/>
      <w:lvlJc w:val="left"/>
      <w:pPr>
        <w:ind w:left="5040" w:hanging="360"/>
      </w:pPr>
    </w:lvl>
    <w:lvl w:ilvl="7" w:tplc="94C00DD2">
      <w:start w:val="1"/>
      <w:numFmt w:val="bullet"/>
      <w:lvlText w:val="●"/>
      <w:lvlJc w:val="left"/>
      <w:pPr>
        <w:ind w:left="5760" w:hanging="360"/>
      </w:pPr>
    </w:lvl>
    <w:lvl w:ilvl="8" w:tplc="756082B0">
      <w:start w:val="1"/>
      <w:numFmt w:val="bullet"/>
      <w:lvlText w:val="●"/>
      <w:lvlJc w:val="left"/>
      <w:pPr>
        <w:ind w:left="6480" w:hanging="360"/>
      </w:pPr>
    </w:lvl>
  </w:abstractNum>
  <w:num w:numId="1" w16cid:durableId="789125170">
    <w:abstractNumId w:val="1"/>
    <w:lvlOverride w:ilvl="0">
      <w:startOverride w:val="1"/>
    </w:lvlOverride>
  </w:num>
  <w:num w:numId="2" w16cid:durableId="128839367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2654"/>
    <w:rsid w:val="001B1696"/>
    <w:rsid w:val="00502654"/>
    <w:rsid w:val="00813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568E8"/>
  <w15:docId w15:val="{CAD464CD-FFC6-8E4F-9D72-6AE937A35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20"/>
      <w:outlineLvl w:val="0"/>
    </w:pPr>
    <w:rPr>
      <w:b/>
      <w:bCs/>
      <w:color w:val="1F3864"/>
      <w:sz w:val="28"/>
      <w:szCs w:val="28"/>
    </w:rPr>
  </w:style>
  <w:style w:type="paragraph" w:styleId="Heading2">
    <w:name w:val="heading 2"/>
    <w:uiPriority w:val="9"/>
    <w:unhideWhenUsed/>
    <w:qFormat/>
    <w:pPr>
      <w:spacing w:before="240" w:after="80"/>
      <w:outlineLvl w:val="1"/>
    </w:pPr>
    <w:rPr>
      <w:b/>
      <w:bCs/>
      <w:color w:val="2E4057"/>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semiHidden/>
    <w:unhideWhenUsed/>
    <w:rsid w:val="00813211"/>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679422">
      <w:bodyDiv w:val="1"/>
      <w:marLeft w:val="0"/>
      <w:marRight w:val="0"/>
      <w:marTop w:val="0"/>
      <w:marBottom w:val="0"/>
      <w:divBdr>
        <w:top w:val="none" w:sz="0" w:space="0" w:color="auto"/>
        <w:left w:val="none" w:sz="0" w:space="0" w:color="auto"/>
        <w:bottom w:val="none" w:sz="0" w:space="0" w:color="auto"/>
        <w:right w:val="none" w:sz="0" w:space="0" w:color="auto"/>
      </w:divBdr>
    </w:div>
    <w:div w:id="7962206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2440</Words>
  <Characters>13912</Characters>
  <Application>Microsoft Office Word</Application>
  <DocSecurity>0</DocSecurity>
  <Lines>115</Lines>
  <Paragraphs>32</Paragraphs>
  <ScaleCrop>false</ScaleCrop>
  <Company/>
  <LinksUpToDate>false</LinksUpToDate>
  <CharactersWithSpaces>16320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ADMIN</cp:lastModifiedBy>
  <cp:revision>2</cp:revision>
  <dcterms:created xsi:type="dcterms:W3CDTF">2026-03-28T18:06:00Z</dcterms:created>
  <dcterms:modified xsi:type="dcterms:W3CDTF">2026-03-28T18:06:00Z</dcterms:modified>
</cp:coreProperties>
</file>