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B30B3" w14:textId="77777777" w:rsidR="00EE64F5" w:rsidRDefault="00EE64F5" w:rsidP="00EE64F5">
      <w:pPr>
        <w:jc w:val="both"/>
        <w:rPr>
          <w:rFonts w:ascii="Arial" w:hAnsi="Arial" w:cs="Arial"/>
          <w:b/>
          <w:sz w:val="24"/>
          <w:szCs w:val="24"/>
        </w:rPr>
      </w:pPr>
      <w:r>
        <w:rPr>
          <w:rFonts w:ascii="Arial" w:hAnsi="Arial" w:cs="Arial"/>
          <w:b/>
          <w:sz w:val="24"/>
          <w:szCs w:val="24"/>
        </w:rPr>
        <w:t>Research Project (4000 words)</w:t>
      </w:r>
    </w:p>
    <w:p w14:paraId="17F2A299" w14:textId="79392E26" w:rsidR="00E15E17" w:rsidRPr="00880C0E" w:rsidRDefault="00E15E17" w:rsidP="00EE64F5">
      <w:pPr>
        <w:jc w:val="both"/>
        <w:rPr>
          <w:rFonts w:ascii="Arial" w:hAnsi="Arial" w:cs="Arial"/>
          <w:b/>
          <w:sz w:val="24"/>
          <w:szCs w:val="24"/>
        </w:rPr>
      </w:pPr>
      <w:r>
        <w:rPr>
          <w:rFonts w:ascii="Arial" w:hAnsi="Arial" w:cs="Arial"/>
          <w:b/>
          <w:sz w:val="24"/>
          <w:szCs w:val="24"/>
        </w:rPr>
        <w:t>Student number P148040</w:t>
      </w:r>
    </w:p>
    <w:p w14:paraId="7D44A448" w14:textId="77777777" w:rsidR="00EE64F5" w:rsidRDefault="00EE64F5" w:rsidP="00EE64F5">
      <w:pPr>
        <w:jc w:val="both"/>
        <w:rPr>
          <w:rFonts w:ascii="Arial" w:hAnsi="Arial" w:cs="Arial"/>
          <w:sz w:val="24"/>
          <w:szCs w:val="24"/>
        </w:rPr>
      </w:pPr>
    </w:p>
    <w:p w14:paraId="37786412" w14:textId="77777777" w:rsidR="004A10EA" w:rsidRDefault="004A10EA" w:rsidP="004A10EA">
      <w:pPr>
        <w:jc w:val="both"/>
        <w:rPr>
          <w:rFonts w:ascii="Arial" w:hAnsi="Arial" w:cs="Arial"/>
          <w:b/>
          <w:sz w:val="24"/>
          <w:szCs w:val="24"/>
        </w:rPr>
      </w:pPr>
    </w:p>
    <w:p w14:paraId="47E411EE" w14:textId="77777777" w:rsidR="004A10EA" w:rsidRDefault="004A10EA" w:rsidP="004A10EA">
      <w:pPr>
        <w:jc w:val="both"/>
        <w:rPr>
          <w:rFonts w:ascii="Arial" w:hAnsi="Arial" w:cs="Arial"/>
          <w:b/>
          <w:sz w:val="24"/>
          <w:szCs w:val="24"/>
        </w:rPr>
      </w:pPr>
    </w:p>
    <w:p w14:paraId="3E90533D" w14:textId="77777777" w:rsidR="008526B8" w:rsidRPr="008526B8" w:rsidRDefault="008526B8" w:rsidP="008526B8">
      <w:pPr>
        <w:jc w:val="both"/>
        <w:rPr>
          <w:rFonts w:ascii="Arial" w:hAnsi="Arial" w:cs="Arial"/>
          <w:sz w:val="24"/>
          <w:szCs w:val="24"/>
        </w:rPr>
      </w:pPr>
      <w:r w:rsidRPr="008526B8">
        <w:rPr>
          <w:rFonts w:ascii="Arial" w:hAnsi="Arial" w:cs="Arial"/>
          <w:b/>
          <w:bCs/>
          <w:sz w:val="24"/>
          <w:szCs w:val="24"/>
        </w:rPr>
        <w:t>Title: The Importance of Experiential Learning to Engage Students in Mindfulness Courses</w:t>
      </w:r>
    </w:p>
    <w:p w14:paraId="41D63209" w14:textId="77777777" w:rsidR="008526B8" w:rsidRPr="008526B8" w:rsidRDefault="00000000" w:rsidP="008526B8">
      <w:pPr>
        <w:jc w:val="both"/>
        <w:rPr>
          <w:rFonts w:ascii="Arial" w:hAnsi="Arial" w:cs="Arial"/>
          <w:sz w:val="24"/>
          <w:szCs w:val="24"/>
        </w:rPr>
      </w:pPr>
      <w:r>
        <w:rPr>
          <w:rFonts w:ascii="Arial" w:hAnsi="Arial" w:cs="Arial"/>
          <w:sz w:val="24"/>
          <w:szCs w:val="24"/>
        </w:rPr>
        <w:pict w14:anchorId="1B0372EE">
          <v:rect id="_x0000_i1025" style="width:0;height:1.5pt" o:hralign="center" o:hrstd="t" o:hr="t" fillcolor="#a0a0a0" stroked="f"/>
        </w:pict>
      </w:r>
    </w:p>
    <w:p w14:paraId="718E99A6" w14:textId="77777777" w:rsidR="00FB1F4E" w:rsidRDefault="00FB1F4E" w:rsidP="008526B8">
      <w:pPr>
        <w:jc w:val="both"/>
        <w:rPr>
          <w:rFonts w:ascii="Arial" w:hAnsi="Arial" w:cs="Arial"/>
          <w:b/>
          <w:bCs/>
          <w:sz w:val="24"/>
          <w:szCs w:val="24"/>
        </w:rPr>
      </w:pPr>
    </w:p>
    <w:p w14:paraId="2DAEF251" w14:textId="77777777" w:rsidR="00FB1F4E" w:rsidRDefault="00FB1F4E" w:rsidP="008526B8">
      <w:pPr>
        <w:jc w:val="both"/>
        <w:rPr>
          <w:rFonts w:ascii="Arial" w:hAnsi="Arial" w:cs="Arial"/>
          <w:b/>
          <w:bCs/>
          <w:sz w:val="24"/>
          <w:szCs w:val="24"/>
        </w:rPr>
      </w:pPr>
    </w:p>
    <w:p w14:paraId="3D26943B" w14:textId="77777777" w:rsidR="00FB1F4E" w:rsidRDefault="00FB1F4E" w:rsidP="008526B8">
      <w:pPr>
        <w:jc w:val="both"/>
        <w:rPr>
          <w:rFonts w:ascii="Arial" w:hAnsi="Arial" w:cs="Arial"/>
          <w:b/>
          <w:bCs/>
          <w:sz w:val="24"/>
          <w:szCs w:val="24"/>
        </w:rPr>
      </w:pPr>
    </w:p>
    <w:p w14:paraId="514A6C2B" w14:textId="2B92E34C" w:rsidR="008526B8" w:rsidRPr="008526B8" w:rsidRDefault="008526B8" w:rsidP="008526B8">
      <w:pPr>
        <w:jc w:val="both"/>
        <w:rPr>
          <w:rFonts w:ascii="Arial" w:hAnsi="Arial" w:cs="Arial"/>
          <w:b/>
          <w:bCs/>
          <w:sz w:val="24"/>
          <w:szCs w:val="24"/>
        </w:rPr>
      </w:pPr>
      <w:r w:rsidRPr="008526B8">
        <w:rPr>
          <w:rFonts w:ascii="Arial" w:hAnsi="Arial" w:cs="Arial"/>
          <w:b/>
          <w:bCs/>
          <w:sz w:val="24"/>
          <w:szCs w:val="24"/>
        </w:rPr>
        <w:t>Introduction/Justification of Study Area</w:t>
      </w:r>
    </w:p>
    <w:p w14:paraId="2F2492DA" w14:textId="77777777" w:rsidR="008526B8" w:rsidRPr="008526B8" w:rsidRDefault="008526B8" w:rsidP="008526B8">
      <w:pPr>
        <w:jc w:val="both"/>
        <w:rPr>
          <w:rFonts w:ascii="Arial" w:hAnsi="Arial" w:cs="Arial"/>
          <w:sz w:val="24"/>
          <w:szCs w:val="24"/>
        </w:rPr>
      </w:pPr>
      <w:r w:rsidRPr="008526B8">
        <w:rPr>
          <w:rFonts w:ascii="Arial" w:hAnsi="Arial" w:cs="Arial"/>
          <w:sz w:val="24"/>
          <w:szCs w:val="24"/>
        </w:rPr>
        <w:t>Mindfulness education has emerged as a transformative approach within the academic and professional teaching landscape, emphasizing practices that foster awareness, focus, and emotional regulation. Despite its growing popularity, student engagement in mindfulness courses presents persistent challenges, particularly in maintaining interest and ensuring the material resonates on a personal level. This has led educators to explore alternative pedagogical methods that emphasize active and immersive learning experiences.</w:t>
      </w:r>
    </w:p>
    <w:p w14:paraId="292277E2" w14:textId="77777777" w:rsidR="008526B8" w:rsidRPr="008526B8" w:rsidRDefault="008526B8" w:rsidP="008526B8">
      <w:pPr>
        <w:jc w:val="both"/>
        <w:rPr>
          <w:rFonts w:ascii="Arial" w:hAnsi="Arial" w:cs="Arial"/>
          <w:sz w:val="24"/>
          <w:szCs w:val="24"/>
        </w:rPr>
      </w:pPr>
      <w:r w:rsidRPr="008526B8">
        <w:rPr>
          <w:rFonts w:ascii="Arial" w:hAnsi="Arial" w:cs="Arial"/>
          <w:sz w:val="24"/>
          <w:szCs w:val="24"/>
        </w:rPr>
        <w:t>Experiential learning offers a dynamic framework for addressing these engagement challenges. Rooted in constructivist principles, experiential learning emphasizes the active involvement of students in hands-on activities, reflection, and real-world applications. By doing so, it fosters a deeper understanding of concepts through lived experiences rather than passive consumption of theoretical knowledge. When applied to mindfulness education, experiential learning can bridge the gap between abstract mindfulness principles and practical, relatable applications, making the subject matter more accessible and impactful.</w:t>
      </w:r>
    </w:p>
    <w:p w14:paraId="2A5DE5E8" w14:textId="77777777" w:rsidR="008526B8" w:rsidRPr="008526B8" w:rsidRDefault="008526B8" w:rsidP="008526B8">
      <w:pPr>
        <w:jc w:val="both"/>
        <w:rPr>
          <w:rFonts w:ascii="Arial" w:hAnsi="Arial" w:cs="Arial"/>
          <w:sz w:val="24"/>
          <w:szCs w:val="24"/>
        </w:rPr>
      </w:pPr>
      <w:r w:rsidRPr="008526B8">
        <w:rPr>
          <w:rFonts w:ascii="Arial" w:hAnsi="Arial" w:cs="Arial"/>
          <w:sz w:val="24"/>
          <w:szCs w:val="24"/>
        </w:rPr>
        <w:t>This research focuses on the potential of experiential learning to enhance engagement in mindfulness courses. It seeks to provide insights into how experiential activities—such as guided meditations, reflective journaling, and mindfulness walks—can transform the learning experience and foster meaningful connections with the material. By critically reviewing existing literature and synthesizing findings, this study aims to offer actionable recommendations for educators designing mindfulness programs.</w:t>
      </w:r>
    </w:p>
    <w:p w14:paraId="6F49AFB9" w14:textId="77777777" w:rsidR="008526B8" w:rsidRPr="008526B8" w:rsidRDefault="008526B8" w:rsidP="008526B8">
      <w:pPr>
        <w:jc w:val="both"/>
        <w:rPr>
          <w:rFonts w:ascii="Arial" w:hAnsi="Arial" w:cs="Arial"/>
          <w:sz w:val="24"/>
          <w:szCs w:val="24"/>
        </w:rPr>
      </w:pPr>
      <w:r w:rsidRPr="008526B8">
        <w:rPr>
          <w:rFonts w:ascii="Arial" w:hAnsi="Arial" w:cs="Arial"/>
          <w:sz w:val="24"/>
          <w:szCs w:val="24"/>
        </w:rPr>
        <w:t>The following research questions guide this inquiry:</w:t>
      </w:r>
    </w:p>
    <w:p w14:paraId="78E7401E" w14:textId="77777777" w:rsidR="008526B8" w:rsidRPr="008526B8" w:rsidRDefault="008526B8" w:rsidP="008526B8">
      <w:pPr>
        <w:numPr>
          <w:ilvl w:val="0"/>
          <w:numId w:val="3"/>
        </w:numPr>
        <w:jc w:val="both"/>
        <w:rPr>
          <w:rFonts w:ascii="Arial" w:hAnsi="Arial" w:cs="Arial"/>
          <w:sz w:val="24"/>
          <w:szCs w:val="24"/>
        </w:rPr>
      </w:pPr>
      <w:r w:rsidRPr="008526B8">
        <w:rPr>
          <w:rFonts w:ascii="Arial" w:hAnsi="Arial" w:cs="Arial"/>
          <w:sz w:val="24"/>
          <w:szCs w:val="24"/>
        </w:rPr>
        <w:t>How does experiential learning influence student engagement in mindfulness courses?</w:t>
      </w:r>
    </w:p>
    <w:p w14:paraId="5A93BF19" w14:textId="77777777" w:rsidR="008526B8" w:rsidRPr="008526B8" w:rsidRDefault="008526B8" w:rsidP="008526B8">
      <w:pPr>
        <w:numPr>
          <w:ilvl w:val="0"/>
          <w:numId w:val="3"/>
        </w:numPr>
        <w:jc w:val="both"/>
        <w:rPr>
          <w:rFonts w:ascii="Arial" w:hAnsi="Arial" w:cs="Arial"/>
          <w:sz w:val="24"/>
          <w:szCs w:val="24"/>
        </w:rPr>
      </w:pPr>
      <w:r w:rsidRPr="008526B8">
        <w:rPr>
          <w:rFonts w:ascii="Arial" w:hAnsi="Arial" w:cs="Arial"/>
          <w:sz w:val="24"/>
          <w:szCs w:val="24"/>
        </w:rPr>
        <w:t>What are the most effective experiential strategies for teaching mindfulness?</w:t>
      </w:r>
    </w:p>
    <w:p w14:paraId="71171A30" w14:textId="77777777" w:rsidR="008526B8" w:rsidRPr="008526B8" w:rsidRDefault="008526B8" w:rsidP="008526B8">
      <w:pPr>
        <w:numPr>
          <w:ilvl w:val="0"/>
          <w:numId w:val="3"/>
        </w:numPr>
        <w:jc w:val="both"/>
        <w:rPr>
          <w:rFonts w:ascii="Arial" w:hAnsi="Arial" w:cs="Arial"/>
          <w:sz w:val="24"/>
          <w:szCs w:val="24"/>
        </w:rPr>
      </w:pPr>
      <w:r w:rsidRPr="008526B8">
        <w:rPr>
          <w:rFonts w:ascii="Arial" w:hAnsi="Arial" w:cs="Arial"/>
          <w:sz w:val="24"/>
          <w:szCs w:val="24"/>
        </w:rPr>
        <w:lastRenderedPageBreak/>
        <w:t>What challenges and opportunities are associated with implementing experiential learning in mindfulness education?</w:t>
      </w:r>
    </w:p>
    <w:p w14:paraId="1E54AA29" w14:textId="77777777" w:rsidR="008526B8" w:rsidRPr="008526B8" w:rsidRDefault="008526B8" w:rsidP="008526B8">
      <w:pPr>
        <w:jc w:val="both"/>
        <w:rPr>
          <w:rFonts w:ascii="Arial" w:hAnsi="Arial" w:cs="Arial"/>
          <w:sz w:val="24"/>
          <w:szCs w:val="24"/>
        </w:rPr>
      </w:pPr>
      <w:r w:rsidRPr="008526B8">
        <w:rPr>
          <w:rFonts w:ascii="Arial" w:hAnsi="Arial" w:cs="Arial"/>
          <w:sz w:val="24"/>
          <w:szCs w:val="24"/>
        </w:rPr>
        <w:t>This study utilizes secondary data from peer-reviewed journals, case studies, and theoretical frameworks to examine these questions. The findings aim to inform best practices and provide a roadmap for educators striving to create engaging and impactful mindfulness courses.</w:t>
      </w:r>
    </w:p>
    <w:p w14:paraId="3110B126" w14:textId="21AC59C6" w:rsidR="008526B8" w:rsidRPr="008526B8" w:rsidRDefault="008526B8" w:rsidP="008526B8">
      <w:pPr>
        <w:jc w:val="both"/>
        <w:rPr>
          <w:rFonts w:ascii="Arial" w:hAnsi="Arial" w:cs="Arial"/>
          <w:sz w:val="24"/>
          <w:szCs w:val="24"/>
        </w:rPr>
      </w:pPr>
    </w:p>
    <w:p w14:paraId="12F8452F" w14:textId="77777777" w:rsidR="00FB1F4E" w:rsidRDefault="00FB1F4E" w:rsidP="008526B8">
      <w:pPr>
        <w:jc w:val="both"/>
        <w:rPr>
          <w:rFonts w:ascii="Arial" w:hAnsi="Arial" w:cs="Arial"/>
          <w:b/>
          <w:bCs/>
          <w:sz w:val="24"/>
          <w:szCs w:val="24"/>
        </w:rPr>
      </w:pPr>
    </w:p>
    <w:p w14:paraId="3E1C550F" w14:textId="77777777" w:rsidR="00FB1F4E" w:rsidRDefault="00FB1F4E" w:rsidP="008526B8">
      <w:pPr>
        <w:jc w:val="both"/>
        <w:rPr>
          <w:rFonts w:ascii="Arial" w:hAnsi="Arial" w:cs="Arial"/>
          <w:b/>
          <w:bCs/>
          <w:sz w:val="24"/>
          <w:szCs w:val="24"/>
        </w:rPr>
      </w:pPr>
    </w:p>
    <w:p w14:paraId="48944BAF" w14:textId="77777777" w:rsidR="00FB1F4E" w:rsidRDefault="00FB1F4E" w:rsidP="008526B8">
      <w:pPr>
        <w:jc w:val="both"/>
        <w:rPr>
          <w:rFonts w:ascii="Arial" w:hAnsi="Arial" w:cs="Arial"/>
          <w:b/>
          <w:bCs/>
          <w:sz w:val="24"/>
          <w:szCs w:val="24"/>
        </w:rPr>
      </w:pPr>
    </w:p>
    <w:p w14:paraId="6868D8DE" w14:textId="5FF802E7" w:rsidR="008526B8" w:rsidRPr="008526B8" w:rsidRDefault="008526B8" w:rsidP="008526B8">
      <w:pPr>
        <w:jc w:val="both"/>
        <w:rPr>
          <w:rFonts w:ascii="Arial" w:hAnsi="Arial" w:cs="Arial"/>
          <w:b/>
          <w:bCs/>
          <w:sz w:val="24"/>
          <w:szCs w:val="24"/>
        </w:rPr>
      </w:pPr>
      <w:r w:rsidRPr="008526B8">
        <w:rPr>
          <w:rFonts w:ascii="Arial" w:hAnsi="Arial" w:cs="Arial"/>
          <w:b/>
          <w:bCs/>
          <w:sz w:val="24"/>
          <w:szCs w:val="24"/>
        </w:rPr>
        <w:t>Review of Literature</w:t>
      </w:r>
    </w:p>
    <w:p w14:paraId="1954A33A" w14:textId="77777777" w:rsidR="008526B8" w:rsidRPr="008526B8" w:rsidRDefault="008526B8" w:rsidP="008526B8">
      <w:pPr>
        <w:jc w:val="both"/>
        <w:rPr>
          <w:rFonts w:ascii="Arial" w:hAnsi="Arial" w:cs="Arial"/>
          <w:b/>
          <w:bCs/>
          <w:sz w:val="24"/>
          <w:szCs w:val="24"/>
        </w:rPr>
      </w:pPr>
      <w:r w:rsidRPr="008526B8">
        <w:rPr>
          <w:rFonts w:ascii="Arial" w:hAnsi="Arial" w:cs="Arial"/>
          <w:b/>
          <w:bCs/>
          <w:sz w:val="24"/>
          <w:szCs w:val="24"/>
        </w:rPr>
        <w:t>Understanding Experiential Learning</w:t>
      </w:r>
    </w:p>
    <w:p w14:paraId="70D7E4D2" w14:textId="77777777"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Experiential Learning: A Foundation for Meaningful Education</w:t>
      </w:r>
    </w:p>
    <w:p w14:paraId="257236D7"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Experiential learning, as conceptualized by Kolb (1984), is a process through which knowledge is created by transforming experience. Kolb’s experiential learning cycle consists of four stages: concrete experience, reflective observation, abstract conceptualization, and active experimentation. This model emphasizes that learning is most effective when individuals actively engage with their environment, reflect on their experiences, and apply new insights to future actions. Dewey (1938) similarly argued that experience and education are inherently intertwined, with experiential learning serving as a critical means of fostering meaningful engagement and understanding.</w:t>
      </w:r>
    </w:p>
    <w:p w14:paraId="29AE94F9"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 xml:space="preserve">The concrete experience phase involves engaging directly with a task or activity, allowing learners to gather firsthand knowledge. Reflective observation enables learners to process and </w:t>
      </w:r>
      <w:proofErr w:type="spellStart"/>
      <w:r w:rsidRPr="00B81993">
        <w:rPr>
          <w:rFonts w:ascii="Arial" w:hAnsi="Arial" w:cs="Arial"/>
          <w:sz w:val="24"/>
          <w:szCs w:val="24"/>
        </w:rPr>
        <w:t>analyze</w:t>
      </w:r>
      <w:proofErr w:type="spellEnd"/>
      <w:r w:rsidRPr="00B81993">
        <w:rPr>
          <w:rFonts w:ascii="Arial" w:hAnsi="Arial" w:cs="Arial"/>
          <w:sz w:val="24"/>
          <w:szCs w:val="24"/>
        </w:rPr>
        <w:t xml:space="preserve"> their experiences, identifying patterns and connections. In the abstract conceptualization stage, learners develop theories or frameworks based on their reflections. Finally, active experimentation involves applying the newly developed concepts in practical scenarios, thereby reinforcing learning through action. This cyclical process not only deepens understanding but also cultivates adaptability and problem-solving skills.</w:t>
      </w:r>
    </w:p>
    <w:p w14:paraId="2995D725"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Within education, experiential learning has been widely recognized for its ability to promote critical thinking, problem-solving, and active participation. Beard and Wilson (2013) note that experiential methods are particularly effective in engaging students, as they create opportunities for personal connection and active involvement. By directly involving learners in meaningful activities, experiential learning taps into intrinsic motivation and fosters a sense of ownership over the learning process. This makes experiential learning a powerful tool for mindfulness education, where direct experience is essential for understanding and internalizing abstract concepts such as presence, non-judgment, and self-awareness.</w:t>
      </w:r>
    </w:p>
    <w:p w14:paraId="2FD4F65D" w14:textId="77777777" w:rsidR="00FB1F4E" w:rsidRDefault="00FB1F4E" w:rsidP="00B81993">
      <w:pPr>
        <w:jc w:val="both"/>
        <w:rPr>
          <w:rFonts w:ascii="Arial" w:hAnsi="Arial" w:cs="Arial"/>
          <w:b/>
          <w:bCs/>
          <w:sz w:val="24"/>
          <w:szCs w:val="24"/>
        </w:rPr>
      </w:pPr>
    </w:p>
    <w:p w14:paraId="3FFBF1A0" w14:textId="77777777" w:rsidR="00FB1F4E" w:rsidRDefault="00FB1F4E" w:rsidP="00B81993">
      <w:pPr>
        <w:jc w:val="both"/>
        <w:rPr>
          <w:rFonts w:ascii="Arial" w:hAnsi="Arial" w:cs="Arial"/>
          <w:b/>
          <w:bCs/>
          <w:sz w:val="24"/>
          <w:szCs w:val="24"/>
        </w:rPr>
      </w:pPr>
    </w:p>
    <w:p w14:paraId="746B733D" w14:textId="17FC2AA0"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The Evolution of Mindfulness Education</w:t>
      </w:r>
    </w:p>
    <w:p w14:paraId="5930F254"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Mindfulness education has its roots in contemplative traditions, adapted for modern contexts through programs like Mindfulness-Based Stress Reduction (MBSR) developed by Kabat-Zinn (2003). These programs aim to cultivate awareness, reduce stress, and enhance emotional resilience. Evidence from empirical studies highlights the numerous benefits of mindfulness education, including improved focus, emotional regulation, and interpersonal relationships (Baer, 2003; Segal et al., 2002).</w:t>
      </w:r>
    </w:p>
    <w:p w14:paraId="45CD746E"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Mindfulness practices historically evolved from Buddhist traditions but have been secularized and integrated into educational, clinical, and organizational settings. This transition has broadened their accessibility, allowing diverse populations to benefit from mindfulness practices. Programs such as MBSR emphasize practical techniques, such as breath awareness and body scanning, that are easily adaptable for various audiences.</w:t>
      </w:r>
    </w:p>
    <w:p w14:paraId="75F879B9"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Despite its growing popularity, traditional approaches to mindfulness education often rely on lecture-based delivery, which can disengage students who struggle to connect theoretical concepts with their personal experiences. Shapiro et al. (2006) argue that mindfulness, by its very nature, requires an experiential approach, as its principles are best understood through direct practice and reflection. Simply learning about mindfulness through lectures or readings may not allow students to grasp its transformative potential. This creates an imperative for educators to incorporate experiential learning strategies into mindfulness courses to maximize their effectiveness.</w:t>
      </w:r>
    </w:p>
    <w:p w14:paraId="79DB89D5" w14:textId="77777777" w:rsidR="00FB1F4E" w:rsidRDefault="00FB1F4E" w:rsidP="00B81993">
      <w:pPr>
        <w:jc w:val="both"/>
        <w:rPr>
          <w:rFonts w:ascii="Arial" w:hAnsi="Arial" w:cs="Arial"/>
          <w:b/>
          <w:bCs/>
          <w:sz w:val="24"/>
          <w:szCs w:val="24"/>
        </w:rPr>
      </w:pPr>
    </w:p>
    <w:p w14:paraId="1DA09877" w14:textId="77777777" w:rsidR="00FB1F4E" w:rsidRDefault="00FB1F4E" w:rsidP="00B81993">
      <w:pPr>
        <w:jc w:val="both"/>
        <w:rPr>
          <w:rFonts w:ascii="Arial" w:hAnsi="Arial" w:cs="Arial"/>
          <w:b/>
          <w:bCs/>
          <w:sz w:val="24"/>
          <w:szCs w:val="24"/>
        </w:rPr>
      </w:pPr>
    </w:p>
    <w:p w14:paraId="58629F46" w14:textId="7643AF14"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Experiential Learning in Mindfulness Education</w:t>
      </w:r>
    </w:p>
    <w:p w14:paraId="5A851E04"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The integration of experiential learning into mindfulness education offers a promising solution to the challenges of student disengagement. Experiential methods provide opportunities for students to immerse themselves in mindfulness practices, fostering a deeper connection to the material. Examples of such methods include guided meditations, mindfulness walks, and reflective journaling, all of which enable students to actively engage with mindfulness concepts in a practical, hands-on manner.</w:t>
      </w:r>
    </w:p>
    <w:p w14:paraId="3FDD5446"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 xml:space="preserve">Guided meditations serve as an entry point for many learners, allowing them to experience mindfulness in a structured and supportive environment. These sessions often focus on specific techniques, such as focusing on the breath or observing thoughts without judgment. Mindfulness walks, on the other hand, take mindfulness into dynamic environments, encouraging students to engage with their surroundings through sensory awareness. Reflective journaling provides a space for learners to document their experiences, </w:t>
      </w:r>
      <w:proofErr w:type="spellStart"/>
      <w:r w:rsidRPr="00B81993">
        <w:rPr>
          <w:rFonts w:ascii="Arial" w:hAnsi="Arial" w:cs="Arial"/>
          <w:sz w:val="24"/>
          <w:szCs w:val="24"/>
        </w:rPr>
        <w:t>analyze</w:t>
      </w:r>
      <w:proofErr w:type="spellEnd"/>
      <w:r w:rsidRPr="00B81993">
        <w:rPr>
          <w:rFonts w:ascii="Arial" w:hAnsi="Arial" w:cs="Arial"/>
          <w:sz w:val="24"/>
          <w:szCs w:val="24"/>
        </w:rPr>
        <w:t xml:space="preserve"> their progress, and identify areas for further growth. By integrating these methods, educators can create holistic learning experiences that address cognitive, emotional, and physical dimensions of mindfulness.</w:t>
      </w:r>
    </w:p>
    <w:p w14:paraId="28F6CC96"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lastRenderedPageBreak/>
        <w:t>Research supports the effectiveness of experiential learning in mindfulness education. For instance, Hölzel et al. (2011) found that students who participated in experiential mindfulness activities reported greater engagement and a stronger sense of connection to the material. Similarly, Jennings et al. (2013) demonstrated that experiential methods improved classroom dynamics and enhanced students’ ability to apply mindfulness principles in real-world settings. These findings underscore the potential of experiential learning to transform mindfulness education from a passive process into an active and deeply personal journey.</w:t>
      </w:r>
    </w:p>
    <w:p w14:paraId="3A961C38" w14:textId="77777777" w:rsidR="00FB1F4E" w:rsidRDefault="00FB1F4E" w:rsidP="00B81993">
      <w:pPr>
        <w:jc w:val="both"/>
        <w:rPr>
          <w:rFonts w:ascii="Arial" w:hAnsi="Arial" w:cs="Arial"/>
          <w:b/>
          <w:bCs/>
          <w:sz w:val="24"/>
          <w:szCs w:val="24"/>
        </w:rPr>
      </w:pPr>
    </w:p>
    <w:p w14:paraId="4BE9C863" w14:textId="77777777" w:rsidR="00FB1F4E" w:rsidRDefault="00FB1F4E" w:rsidP="00B81993">
      <w:pPr>
        <w:jc w:val="both"/>
        <w:rPr>
          <w:rFonts w:ascii="Arial" w:hAnsi="Arial" w:cs="Arial"/>
          <w:b/>
          <w:bCs/>
          <w:sz w:val="24"/>
          <w:szCs w:val="24"/>
        </w:rPr>
      </w:pPr>
    </w:p>
    <w:p w14:paraId="1F135117" w14:textId="2BC5520F"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The Role of Reflection in Experiential Learning</w:t>
      </w:r>
    </w:p>
    <w:p w14:paraId="431A947B"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Reflection is a cornerstone of experiential learning, as it allows students to process their experiences and derive meaning from them. Moon (1999) emphasizes that reflection helps learners make connections between their experiences and theoretical concepts, deepening their understanding. In mindfulness education, reflection can take various forms, such as journaling, group discussions, or guided reflective exercises. These practices enable students to articulate their insights, share their experiences, and develop a more nuanced understanding of mindfulness principles.</w:t>
      </w:r>
    </w:p>
    <w:p w14:paraId="6DBF0434" w14:textId="394A0341" w:rsidR="00B81993" w:rsidRPr="00B81993" w:rsidRDefault="00B81993" w:rsidP="00B81993">
      <w:pPr>
        <w:jc w:val="both"/>
        <w:rPr>
          <w:rFonts w:ascii="Arial" w:hAnsi="Arial" w:cs="Arial"/>
          <w:sz w:val="24"/>
          <w:szCs w:val="24"/>
        </w:rPr>
      </w:pPr>
      <w:r w:rsidRPr="00B81993">
        <w:rPr>
          <w:rFonts w:ascii="Arial" w:hAnsi="Arial" w:cs="Arial"/>
          <w:sz w:val="24"/>
          <w:szCs w:val="24"/>
        </w:rPr>
        <w:t xml:space="preserve">Structured reflection amplifies the benefits of experiential learning by creating opportunities for learners to revisit and reconsider their experiences. Journaling, for example, provides a private space for students to express their thoughts and emotions, fostering self-awareness and personal growth. Group discussions offer a collaborative platform for learners to share their perspectives and learn from their peers. Guided reflections, often facilitated by instructors, help students focus on specific aspects of their experiences, such as challenges </w:t>
      </w:r>
      <w:r w:rsidR="00FB1F4E" w:rsidRPr="00B81993">
        <w:rPr>
          <w:rFonts w:ascii="Arial" w:hAnsi="Arial" w:cs="Arial"/>
          <w:sz w:val="24"/>
          <w:szCs w:val="24"/>
        </w:rPr>
        <w:t>encountered,</w:t>
      </w:r>
      <w:r w:rsidRPr="00B81993">
        <w:rPr>
          <w:rFonts w:ascii="Arial" w:hAnsi="Arial" w:cs="Arial"/>
          <w:sz w:val="24"/>
          <w:szCs w:val="24"/>
        </w:rPr>
        <w:t xml:space="preserve"> or lessons learned.</w:t>
      </w:r>
    </w:p>
    <w:p w14:paraId="541130B5"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Moreover, reflection contributes to the development of metacognitive skills, enabling students to evaluate their learning processes and make informed decisions about how to approach future experiences. This iterative process of experience and reflection is particularly relevant to mindfulness education, where self-awareness and adaptability are central themes. By encouraging students to reflect on their practice, educators can help them build a deeper and more sustainable connection to mindfulness principles.</w:t>
      </w:r>
    </w:p>
    <w:p w14:paraId="26B4C4F9" w14:textId="77777777" w:rsidR="00FB1F4E" w:rsidRDefault="00FB1F4E" w:rsidP="00B81993">
      <w:pPr>
        <w:jc w:val="both"/>
        <w:rPr>
          <w:rFonts w:ascii="Arial" w:hAnsi="Arial" w:cs="Arial"/>
          <w:b/>
          <w:bCs/>
          <w:sz w:val="24"/>
          <w:szCs w:val="24"/>
        </w:rPr>
      </w:pPr>
    </w:p>
    <w:p w14:paraId="0094794A" w14:textId="77777777" w:rsidR="00FB1F4E" w:rsidRDefault="00FB1F4E" w:rsidP="00B81993">
      <w:pPr>
        <w:jc w:val="both"/>
        <w:rPr>
          <w:rFonts w:ascii="Arial" w:hAnsi="Arial" w:cs="Arial"/>
          <w:b/>
          <w:bCs/>
          <w:sz w:val="24"/>
          <w:szCs w:val="24"/>
        </w:rPr>
      </w:pPr>
    </w:p>
    <w:p w14:paraId="3286664C" w14:textId="7FF54CE9"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Best Practices for Experiential Learning in Mindfulness Courses</w:t>
      </w:r>
    </w:p>
    <w:p w14:paraId="690F4394"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The literature identifies several best practices for integrating experiential learning into mindfulness education:</w:t>
      </w:r>
    </w:p>
    <w:p w14:paraId="09A07A08" w14:textId="77777777" w:rsidR="00B81993" w:rsidRPr="00B81993" w:rsidRDefault="00B81993" w:rsidP="00B81993">
      <w:pPr>
        <w:numPr>
          <w:ilvl w:val="0"/>
          <w:numId w:val="12"/>
        </w:numPr>
        <w:jc w:val="both"/>
        <w:rPr>
          <w:rFonts w:ascii="Arial" w:hAnsi="Arial" w:cs="Arial"/>
          <w:sz w:val="24"/>
          <w:szCs w:val="24"/>
        </w:rPr>
      </w:pPr>
      <w:r w:rsidRPr="00B81993">
        <w:rPr>
          <w:rFonts w:ascii="Arial" w:hAnsi="Arial" w:cs="Arial"/>
          <w:b/>
          <w:bCs/>
          <w:sz w:val="24"/>
          <w:szCs w:val="24"/>
        </w:rPr>
        <w:t>Gradual Introduction of Practices:</w:t>
      </w:r>
      <w:r w:rsidRPr="00B81993">
        <w:rPr>
          <w:rFonts w:ascii="Arial" w:hAnsi="Arial" w:cs="Arial"/>
          <w:sz w:val="24"/>
          <w:szCs w:val="24"/>
        </w:rPr>
        <w:t xml:space="preserve"> Scaffolding experiential activities ensures that students build confidence and familiarity with mindfulness concepts over time (Brown et al., 2007). Starting with simple exercises, such as focusing on </w:t>
      </w:r>
      <w:r w:rsidRPr="00B81993">
        <w:rPr>
          <w:rFonts w:ascii="Arial" w:hAnsi="Arial" w:cs="Arial"/>
          <w:sz w:val="24"/>
          <w:szCs w:val="24"/>
        </w:rPr>
        <w:lastRenderedPageBreak/>
        <w:t>the breath, allows learners to develop a foundation before progressing to more complex practices.</w:t>
      </w:r>
    </w:p>
    <w:p w14:paraId="6C7642A5" w14:textId="77777777" w:rsidR="00B81993" w:rsidRPr="00B81993" w:rsidRDefault="00B81993" w:rsidP="00B81993">
      <w:pPr>
        <w:numPr>
          <w:ilvl w:val="0"/>
          <w:numId w:val="12"/>
        </w:numPr>
        <w:jc w:val="both"/>
        <w:rPr>
          <w:rFonts w:ascii="Arial" w:hAnsi="Arial" w:cs="Arial"/>
          <w:sz w:val="24"/>
          <w:szCs w:val="24"/>
        </w:rPr>
      </w:pPr>
      <w:r w:rsidRPr="00B81993">
        <w:rPr>
          <w:rFonts w:ascii="Arial" w:hAnsi="Arial" w:cs="Arial"/>
          <w:b/>
          <w:bCs/>
          <w:sz w:val="24"/>
          <w:szCs w:val="24"/>
        </w:rPr>
        <w:t>Interactive and Collaborative Learning:</w:t>
      </w:r>
      <w:r w:rsidRPr="00B81993">
        <w:rPr>
          <w:rFonts w:ascii="Arial" w:hAnsi="Arial" w:cs="Arial"/>
          <w:sz w:val="24"/>
          <w:szCs w:val="24"/>
        </w:rPr>
        <w:t xml:space="preserve"> Group activities, such as peer discussions and collaborative mindfulness exercises, promote engagement and shared learning experiences (Davidson &amp; </w:t>
      </w:r>
      <w:proofErr w:type="spellStart"/>
      <w:r w:rsidRPr="00B81993">
        <w:rPr>
          <w:rFonts w:ascii="Arial" w:hAnsi="Arial" w:cs="Arial"/>
          <w:sz w:val="24"/>
          <w:szCs w:val="24"/>
        </w:rPr>
        <w:t>Kaszniak</w:t>
      </w:r>
      <w:proofErr w:type="spellEnd"/>
      <w:r w:rsidRPr="00B81993">
        <w:rPr>
          <w:rFonts w:ascii="Arial" w:hAnsi="Arial" w:cs="Arial"/>
          <w:sz w:val="24"/>
          <w:szCs w:val="24"/>
        </w:rPr>
        <w:t>, 2015). Collaborative settings encourage students to support one another, fostering a sense of community and mutual growth.</w:t>
      </w:r>
    </w:p>
    <w:p w14:paraId="0FE7A78F" w14:textId="77777777" w:rsidR="00B81993" w:rsidRPr="00B81993" w:rsidRDefault="00B81993" w:rsidP="00B81993">
      <w:pPr>
        <w:numPr>
          <w:ilvl w:val="0"/>
          <w:numId w:val="12"/>
        </w:numPr>
        <w:jc w:val="both"/>
        <w:rPr>
          <w:rFonts w:ascii="Arial" w:hAnsi="Arial" w:cs="Arial"/>
          <w:sz w:val="24"/>
          <w:szCs w:val="24"/>
        </w:rPr>
      </w:pPr>
      <w:r w:rsidRPr="00B81993">
        <w:rPr>
          <w:rFonts w:ascii="Arial" w:hAnsi="Arial" w:cs="Arial"/>
          <w:b/>
          <w:bCs/>
          <w:sz w:val="24"/>
          <w:szCs w:val="24"/>
        </w:rPr>
        <w:t>Incorporation of Reflection:</w:t>
      </w:r>
      <w:r w:rsidRPr="00B81993">
        <w:rPr>
          <w:rFonts w:ascii="Arial" w:hAnsi="Arial" w:cs="Arial"/>
          <w:sz w:val="24"/>
          <w:szCs w:val="24"/>
        </w:rPr>
        <w:t xml:space="preserve"> Structured opportunities for reflection, such as journaling and guided discussions, enhance students’ ability to process and internalize their experiences (Schön, 1983). These reflective practices help learners make sense of their experiences and integrate mindfulness principles into their daily lives.</w:t>
      </w:r>
    </w:p>
    <w:p w14:paraId="4513D6EA" w14:textId="77777777" w:rsidR="00B81993" w:rsidRPr="00B81993" w:rsidRDefault="00B81993" w:rsidP="00B81993">
      <w:pPr>
        <w:numPr>
          <w:ilvl w:val="0"/>
          <w:numId w:val="12"/>
        </w:numPr>
        <w:jc w:val="both"/>
        <w:rPr>
          <w:rFonts w:ascii="Arial" w:hAnsi="Arial" w:cs="Arial"/>
          <w:sz w:val="24"/>
          <w:szCs w:val="24"/>
        </w:rPr>
      </w:pPr>
      <w:r w:rsidRPr="00B81993">
        <w:rPr>
          <w:rFonts w:ascii="Arial" w:hAnsi="Arial" w:cs="Arial"/>
          <w:b/>
          <w:bCs/>
          <w:sz w:val="24"/>
          <w:szCs w:val="24"/>
        </w:rPr>
        <w:t>Cultural Responsiveness:</w:t>
      </w:r>
      <w:r w:rsidRPr="00B81993">
        <w:rPr>
          <w:rFonts w:ascii="Arial" w:hAnsi="Arial" w:cs="Arial"/>
          <w:sz w:val="24"/>
          <w:szCs w:val="24"/>
        </w:rPr>
        <w:t xml:space="preserve"> Adapting mindfulness practices to align with students’ cultural contexts and preferences increases their relevance and accessibility (Bishop et al., 2004). By considering the diverse backgrounds of learners, educators can create inclusive and meaningful learning environments.</w:t>
      </w:r>
    </w:p>
    <w:p w14:paraId="2528B12A" w14:textId="77777777" w:rsidR="00B81993" w:rsidRPr="00B81993" w:rsidRDefault="00B81993" w:rsidP="00B81993">
      <w:pPr>
        <w:numPr>
          <w:ilvl w:val="0"/>
          <w:numId w:val="12"/>
        </w:numPr>
        <w:jc w:val="both"/>
        <w:rPr>
          <w:rFonts w:ascii="Arial" w:hAnsi="Arial" w:cs="Arial"/>
          <w:sz w:val="24"/>
          <w:szCs w:val="24"/>
        </w:rPr>
      </w:pPr>
      <w:r w:rsidRPr="00B81993">
        <w:rPr>
          <w:rFonts w:ascii="Arial" w:hAnsi="Arial" w:cs="Arial"/>
          <w:b/>
          <w:bCs/>
          <w:sz w:val="24"/>
          <w:szCs w:val="24"/>
        </w:rPr>
        <w:t>Integration of Technology:</w:t>
      </w:r>
      <w:r w:rsidRPr="00B81993">
        <w:rPr>
          <w:rFonts w:ascii="Arial" w:hAnsi="Arial" w:cs="Arial"/>
          <w:sz w:val="24"/>
          <w:szCs w:val="24"/>
        </w:rPr>
        <w:t xml:space="preserve"> Utilizing mindfulness apps and online platforms can enhance accessibility and engagement. These tools provide flexible options for practice, allowing students to explore mindfulness at their own pace.</w:t>
      </w:r>
    </w:p>
    <w:p w14:paraId="532483C9" w14:textId="77777777" w:rsidR="00FB1F4E" w:rsidRDefault="00FB1F4E" w:rsidP="00B81993">
      <w:pPr>
        <w:jc w:val="both"/>
        <w:rPr>
          <w:rFonts w:ascii="Arial" w:hAnsi="Arial" w:cs="Arial"/>
          <w:b/>
          <w:bCs/>
          <w:sz w:val="24"/>
          <w:szCs w:val="24"/>
        </w:rPr>
      </w:pPr>
    </w:p>
    <w:p w14:paraId="540FDBB0" w14:textId="77777777" w:rsidR="00FB1F4E" w:rsidRDefault="00FB1F4E" w:rsidP="00B81993">
      <w:pPr>
        <w:jc w:val="both"/>
        <w:rPr>
          <w:rFonts w:ascii="Arial" w:hAnsi="Arial" w:cs="Arial"/>
          <w:b/>
          <w:bCs/>
          <w:sz w:val="24"/>
          <w:szCs w:val="24"/>
        </w:rPr>
      </w:pPr>
    </w:p>
    <w:p w14:paraId="25217027" w14:textId="3AE09062"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Challenges in Implementing Experiential Learning</w:t>
      </w:r>
    </w:p>
    <w:p w14:paraId="0ED83E1F"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Despite its benefits, implementing experiential learning in mindfulness courses presents several challenges. Students may initially resist experiential methods due to unfamiliarity or discomfort with mindfulness practices. This resistance often stems from misconceptions about mindfulness or a lack of prior exposure to contemplative practices. To address this, educators can provide clear explanations of the benefits and create a supportive environment that encourages curiosity and exploration.</w:t>
      </w:r>
    </w:p>
    <w:p w14:paraId="18D3D659"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Logistical constraints, such as time limitations and class sizes, can also complicate the integration of experiential activities. Large classes may limit opportunities for personalized guidance, while limited time may restrict the depth of engagement. To overcome these challenges, educators can adopt creative strategies, such as incorporating brief mindfulness exercises into existing lesson plans or using technology to supplement in-person activities.</w:t>
      </w:r>
    </w:p>
    <w:p w14:paraId="11D2D8D2"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Additionally, educators must possess the skills and training necessary to facilitate meaningful experiential learning experiences. Effective facilitation requires a deep understanding of mindfulness principles, as well as the ability to create a safe and inclusive learning environment. Professional development programs and peer support networks can help educators build the competencies needed to implement experiential learning effectively.</w:t>
      </w:r>
    </w:p>
    <w:p w14:paraId="665E1C50" w14:textId="77777777" w:rsidR="00FB1F4E" w:rsidRDefault="00FB1F4E" w:rsidP="00B81993">
      <w:pPr>
        <w:jc w:val="both"/>
        <w:rPr>
          <w:rFonts w:ascii="Arial" w:hAnsi="Arial" w:cs="Arial"/>
          <w:b/>
          <w:bCs/>
          <w:sz w:val="24"/>
          <w:szCs w:val="24"/>
        </w:rPr>
      </w:pPr>
    </w:p>
    <w:p w14:paraId="673D67E4" w14:textId="77777777" w:rsidR="00FB1F4E" w:rsidRDefault="00FB1F4E" w:rsidP="00B81993">
      <w:pPr>
        <w:jc w:val="both"/>
        <w:rPr>
          <w:rFonts w:ascii="Arial" w:hAnsi="Arial" w:cs="Arial"/>
          <w:b/>
          <w:bCs/>
          <w:sz w:val="24"/>
          <w:szCs w:val="24"/>
        </w:rPr>
      </w:pPr>
    </w:p>
    <w:p w14:paraId="60D4A483" w14:textId="437128F7"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Conclusion</w:t>
      </w:r>
    </w:p>
    <w:p w14:paraId="58B82695"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Experiential learning offers a transformative approach to mindfulness education, enabling students to actively engage with mindfulness practices and develop a deeper understanding of its principles. By integrating methods such as guided meditations, mindfulness walks, and reflective journaling, educators can create dynamic and impactful learning experiences that resonate with students on a personal level.</w:t>
      </w:r>
    </w:p>
    <w:p w14:paraId="2BACF8AC"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Reflection plays a pivotal role in this process, helping learners process their experiences and connect them to broader concepts. Best practices, including gradual scaffolding, collaborative learning, and cultural responsiveness, provide a roadmap for implementing experiential learning in mindfulness courses. While challenges such as resistance, logistical constraints, and facilitation skills remain, these obstacles can be addressed through thoughtful planning and ongoing professional development.</w:t>
      </w:r>
    </w:p>
    <w:p w14:paraId="0FF8DE19" w14:textId="46E92670" w:rsidR="008526B8" w:rsidRPr="008526B8" w:rsidRDefault="00B81993" w:rsidP="008526B8">
      <w:pPr>
        <w:jc w:val="both"/>
        <w:rPr>
          <w:rFonts w:ascii="Arial" w:hAnsi="Arial" w:cs="Arial"/>
          <w:sz w:val="24"/>
          <w:szCs w:val="24"/>
        </w:rPr>
      </w:pPr>
      <w:r w:rsidRPr="00B81993">
        <w:rPr>
          <w:rFonts w:ascii="Arial" w:hAnsi="Arial" w:cs="Arial"/>
          <w:sz w:val="24"/>
          <w:szCs w:val="24"/>
        </w:rPr>
        <w:t>As mindfulness education continues to evolve, experiential learning holds the potential to make these courses more engaging, relevant, and transformative. By fostering active participation and personal connection, experiential methods not only enhance learning outcomes but also empower students to integrate mindfulness into their lives, cultivating awareness, resilience, and emotional well-</w:t>
      </w:r>
      <w:proofErr w:type="spellStart"/>
      <w:r w:rsidRPr="00B81993">
        <w:rPr>
          <w:rFonts w:ascii="Arial" w:hAnsi="Arial" w:cs="Arial"/>
          <w:sz w:val="24"/>
          <w:szCs w:val="24"/>
        </w:rPr>
        <w:t>being.</w:t>
      </w:r>
      <w:r w:rsidR="008526B8" w:rsidRPr="008526B8">
        <w:rPr>
          <w:rFonts w:ascii="Arial" w:hAnsi="Arial" w:cs="Arial"/>
          <w:sz w:val="24"/>
          <w:szCs w:val="24"/>
        </w:rPr>
        <w:t>and</w:t>
      </w:r>
      <w:proofErr w:type="spellEnd"/>
      <w:r w:rsidR="008526B8" w:rsidRPr="008526B8">
        <w:rPr>
          <w:rFonts w:ascii="Arial" w:hAnsi="Arial" w:cs="Arial"/>
          <w:sz w:val="24"/>
          <w:szCs w:val="24"/>
        </w:rPr>
        <w:t xml:space="preserve"> reflections.</w:t>
      </w:r>
    </w:p>
    <w:p w14:paraId="596D163C" w14:textId="27B0DBB3" w:rsidR="008526B8" w:rsidRPr="008526B8" w:rsidRDefault="008526B8" w:rsidP="008526B8">
      <w:pPr>
        <w:jc w:val="both"/>
        <w:rPr>
          <w:rFonts w:ascii="Arial" w:hAnsi="Arial" w:cs="Arial"/>
          <w:sz w:val="24"/>
          <w:szCs w:val="24"/>
        </w:rPr>
      </w:pPr>
    </w:p>
    <w:p w14:paraId="357AE91E" w14:textId="77777777" w:rsidR="00FB1F4E" w:rsidRDefault="00FB1F4E" w:rsidP="00B81993">
      <w:pPr>
        <w:jc w:val="both"/>
        <w:rPr>
          <w:rFonts w:ascii="Arial" w:hAnsi="Arial" w:cs="Arial"/>
          <w:b/>
          <w:bCs/>
          <w:sz w:val="24"/>
          <w:szCs w:val="24"/>
        </w:rPr>
      </w:pPr>
    </w:p>
    <w:p w14:paraId="160C0D56" w14:textId="77777777" w:rsidR="00FB1F4E" w:rsidRDefault="00FB1F4E" w:rsidP="00B81993">
      <w:pPr>
        <w:jc w:val="both"/>
        <w:rPr>
          <w:rFonts w:ascii="Arial" w:hAnsi="Arial" w:cs="Arial"/>
          <w:b/>
          <w:bCs/>
          <w:sz w:val="24"/>
          <w:szCs w:val="24"/>
        </w:rPr>
      </w:pPr>
    </w:p>
    <w:p w14:paraId="61CA4A9F" w14:textId="474DFDBD"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Methodology Used</w:t>
      </w:r>
    </w:p>
    <w:p w14:paraId="289D8DE1"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This study employs a qualitative research methodology, focusing on the critical analysis of secondary data to explore the role of experiential learning in mindfulness education. This approach is well-suited for synthesizing insights from a diverse range of existing studies and theoretical frameworks, enabling a comprehensive understanding of the topic without the logistical and ethical challenges associated with primary data collection. By drawing on a rich body of literature, this method provides a robust foundation for examining the effectiveness, challenges, and best practices of integrating experiential learning into mindfulness education.</w:t>
      </w:r>
    </w:p>
    <w:p w14:paraId="27B5D84B" w14:textId="77777777" w:rsidR="00FB1F4E" w:rsidRDefault="00FB1F4E" w:rsidP="00B81993">
      <w:pPr>
        <w:jc w:val="both"/>
        <w:rPr>
          <w:rFonts w:ascii="Arial" w:hAnsi="Arial" w:cs="Arial"/>
          <w:b/>
          <w:bCs/>
          <w:sz w:val="24"/>
          <w:szCs w:val="24"/>
        </w:rPr>
      </w:pPr>
    </w:p>
    <w:p w14:paraId="1A5CA8FB" w14:textId="77777777" w:rsidR="00FB1F4E" w:rsidRDefault="00FB1F4E" w:rsidP="00B81993">
      <w:pPr>
        <w:jc w:val="both"/>
        <w:rPr>
          <w:rFonts w:ascii="Arial" w:hAnsi="Arial" w:cs="Arial"/>
          <w:b/>
          <w:bCs/>
          <w:sz w:val="24"/>
          <w:szCs w:val="24"/>
        </w:rPr>
      </w:pPr>
    </w:p>
    <w:p w14:paraId="3F58BB98" w14:textId="06378101"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Data Collection</w:t>
      </w:r>
    </w:p>
    <w:p w14:paraId="4A217B4D"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 xml:space="preserve">The study draws on an extensive array of secondary data sources, including peer-reviewed journal articles, theoretical texts, and case studies. Key databases such as PubMed, JSTOR, and Google Scholar were utilized to locate relevant literature. Search terms included “experiential learning,” “mindfulness education,” “hands-on learning in mindfulness,” and “active learning strategies.” To ensure the inclusion of high-quality and recent studies, preference was given to sources published within the </w:t>
      </w:r>
      <w:r w:rsidRPr="00B81993">
        <w:rPr>
          <w:rFonts w:ascii="Arial" w:hAnsi="Arial" w:cs="Arial"/>
          <w:sz w:val="24"/>
          <w:szCs w:val="24"/>
        </w:rPr>
        <w:lastRenderedPageBreak/>
        <w:t>last two decades, while seminal works were also incorporated to provide historical and theoretical context.</w:t>
      </w:r>
    </w:p>
    <w:p w14:paraId="018424F3"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The data collection process also involved reviewing literature across disciplines such as psychology, education, and neuroscience to capture a holistic view of how experiential learning intersects with mindfulness practices. By encompassing a variety of perspectives, the study ensures a well-rounded analysis that reflects the interdisciplinary nature of the topic.</w:t>
      </w:r>
    </w:p>
    <w:p w14:paraId="021F2774" w14:textId="77777777" w:rsidR="00E15E17" w:rsidRDefault="00E15E17" w:rsidP="00B81993">
      <w:pPr>
        <w:jc w:val="both"/>
        <w:rPr>
          <w:rFonts w:ascii="Arial" w:hAnsi="Arial" w:cs="Arial"/>
          <w:b/>
          <w:bCs/>
          <w:sz w:val="24"/>
          <w:szCs w:val="24"/>
        </w:rPr>
      </w:pPr>
    </w:p>
    <w:p w14:paraId="458A27F0" w14:textId="79746A4E"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Data Analysis</w:t>
      </w:r>
    </w:p>
    <w:p w14:paraId="602AFBBA"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A thematic analysis was conducted to identify recurring patterns and trends in the literature. This involved systematically organizing the data into four key themes:</w:t>
      </w:r>
    </w:p>
    <w:p w14:paraId="6C07F632" w14:textId="77777777" w:rsidR="00B81993" w:rsidRPr="00B81993" w:rsidRDefault="00B81993" w:rsidP="00B81993">
      <w:pPr>
        <w:numPr>
          <w:ilvl w:val="0"/>
          <w:numId w:val="13"/>
        </w:numPr>
        <w:jc w:val="both"/>
        <w:rPr>
          <w:rFonts w:ascii="Arial" w:hAnsi="Arial" w:cs="Arial"/>
          <w:sz w:val="24"/>
          <w:szCs w:val="24"/>
        </w:rPr>
      </w:pPr>
      <w:r w:rsidRPr="00B81993">
        <w:rPr>
          <w:rFonts w:ascii="Arial" w:hAnsi="Arial" w:cs="Arial"/>
          <w:b/>
          <w:bCs/>
          <w:sz w:val="24"/>
          <w:szCs w:val="24"/>
        </w:rPr>
        <w:t>Theoretical Foundations of Experiential Learning:</w:t>
      </w:r>
      <w:r w:rsidRPr="00B81993">
        <w:rPr>
          <w:rFonts w:ascii="Arial" w:hAnsi="Arial" w:cs="Arial"/>
          <w:sz w:val="24"/>
          <w:szCs w:val="24"/>
        </w:rPr>
        <w:t xml:space="preserve"> Examining the conceptual frameworks and models that underpin experiential learning, such as Kolb’s learning cycle and Dewey’s theory of experience.</w:t>
      </w:r>
    </w:p>
    <w:p w14:paraId="087CBE06" w14:textId="77777777" w:rsidR="00B81993" w:rsidRPr="00B81993" w:rsidRDefault="00B81993" w:rsidP="00B81993">
      <w:pPr>
        <w:numPr>
          <w:ilvl w:val="0"/>
          <w:numId w:val="13"/>
        </w:numPr>
        <w:jc w:val="both"/>
        <w:rPr>
          <w:rFonts w:ascii="Arial" w:hAnsi="Arial" w:cs="Arial"/>
          <w:sz w:val="24"/>
          <w:szCs w:val="24"/>
        </w:rPr>
      </w:pPr>
      <w:r w:rsidRPr="00B81993">
        <w:rPr>
          <w:rFonts w:ascii="Arial" w:hAnsi="Arial" w:cs="Arial"/>
          <w:b/>
          <w:bCs/>
          <w:sz w:val="24"/>
          <w:szCs w:val="24"/>
        </w:rPr>
        <w:t>Applications of Experiential Learning in Mindfulness Education:</w:t>
      </w:r>
      <w:r w:rsidRPr="00B81993">
        <w:rPr>
          <w:rFonts w:ascii="Arial" w:hAnsi="Arial" w:cs="Arial"/>
          <w:sz w:val="24"/>
          <w:szCs w:val="24"/>
        </w:rPr>
        <w:t xml:space="preserve"> </w:t>
      </w:r>
      <w:proofErr w:type="spellStart"/>
      <w:r w:rsidRPr="00B81993">
        <w:rPr>
          <w:rFonts w:ascii="Arial" w:hAnsi="Arial" w:cs="Arial"/>
          <w:sz w:val="24"/>
          <w:szCs w:val="24"/>
        </w:rPr>
        <w:t>Analyzing</w:t>
      </w:r>
      <w:proofErr w:type="spellEnd"/>
      <w:r w:rsidRPr="00B81993">
        <w:rPr>
          <w:rFonts w:ascii="Arial" w:hAnsi="Arial" w:cs="Arial"/>
          <w:sz w:val="24"/>
          <w:szCs w:val="24"/>
        </w:rPr>
        <w:t xml:space="preserve"> how experiential methods, such as guided meditations and reflective journaling, are implemented in mindfulness courses.</w:t>
      </w:r>
    </w:p>
    <w:p w14:paraId="3492A859" w14:textId="77777777" w:rsidR="00B81993" w:rsidRPr="00B81993" w:rsidRDefault="00B81993" w:rsidP="00B81993">
      <w:pPr>
        <w:numPr>
          <w:ilvl w:val="0"/>
          <w:numId w:val="13"/>
        </w:numPr>
        <w:jc w:val="both"/>
        <w:rPr>
          <w:rFonts w:ascii="Arial" w:hAnsi="Arial" w:cs="Arial"/>
          <w:sz w:val="24"/>
          <w:szCs w:val="24"/>
        </w:rPr>
      </w:pPr>
      <w:r w:rsidRPr="00B81993">
        <w:rPr>
          <w:rFonts w:ascii="Arial" w:hAnsi="Arial" w:cs="Arial"/>
          <w:b/>
          <w:bCs/>
          <w:sz w:val="24"/>
          <w:szCs w:val="24"/>
        </w:rPr>
        <w:t>Benefits and Challenges of Experiential Methods:</w:t>
      </w:r>
      <w:r w:rsidRPr="00B81993">
        <w:rPr>
          <w:rFonts w:ascii="Arial" w:hAnsi="Arial" w:cs="Arial"/>
          <w:sz w:val="24"/>
          <w:szCs w:val="24"/>
        </w:rPr>
        <w:t xml:space="preserve"> Highlighting the advantages of experiential learning, including increased engagement and deeper understanding, alongside potential obstacles such as resistance and logistical constraints.</w:t>
      </w:r>
    </w:p>
    <w:p w14:paraId="795132B3" w14:textId="77777777" w:rsidR="00B81993" w:rsidRPr="00B81993" w:rsidRDefault="00B81993" w:rsidP="00B81993">
      <w:pPr>
        <w:numPr>
          <w:ilvl w:val="0"/>
          <w:numId w:val="13"/>
        </w:numPr>
        <w:jc w:val="both"/>
        <w:rPr>
          <w:rFonts w:ascii="Arial" w:hAnsi="Arial" w:cs="Arial"/>
          <w:sz w:val="24"/>
          <w:szCs w:val="24"/>
        </w:rPr>
      </w:pPr>
      <w:r w:rsidRPr="00B81993">
        <w:rPr>
          <w:rFonts w:ascii="Arial" w:hAnsi="Arial" w:cs="Arial"/>
          <w:b/>
          <w:bCs/>
          <w:sz w:val="24"/>
          <w:szCs w:val="24"/>
        </w:rPr>
        <w:t>Best Practices for Integrating Experiential Learning:</w:t>
      </w:r>
      <w:r w:rsidRPr="00B81993">
        <w:rPr>
          <w:rFonts w:ascii="Arial" w:hAnsi="Arial" w:cs="Arial"/>
          <w:sz w:val="24"/>
          <w:szCs w:val="24"/>
        </w:rPr>
        <w:t xml:space="preserve"> Identifying effective strategies for designing and delivering experiential mindfulness courses, including scaffolding activities and fostering reflection.</w:t>
      </w:r>
    </w:p>
    <w:p w14:paraId="682350E8" w14:textId="77777777" w:rsidR="00FB1F4E" w:rsidRDefault="00FB1F4E" w:rsidP="00B81993">
      <w:pPr>
        <w:jc w:val="both"/>
        <w:rPr>
          <w:rFonts w:ascii="Arial" w:hAnsi="Arial" w:cs="Arial"/>
          <w:b/>
          <w:bCs/>
          <w:sz w:val="24"/>
          <w:szCs w:val="24"/>
        </w:rPr>
      </w:pPr>
    </w:p>
    <w:p w14:paraId="17BA71F7" w14:textId="77777777" w:rsidR="00FB1F4E" w:rsidRDefault="00FB1F4E" w:rsidP="00B81993">
      <w:pPr>
        <w:jc w:val="both"/>
        <w:rPr>
          <w:rFonts w:ascii="Arial" w:hAnsi="Arial" w:cs="Arial"/>
          <w:b/>
          <w:bCs/>
          <w:sz w:val="24"/>
          <w:szCs w:val="24"/>
        </w:rPr>
      </w:pPr>
    </w:p>
    <w:p w14:paraId="3B12EB19" w14:textId="2DE3D04A"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Limitations of the Methodology</w:t>
      </w:r>
    </w:p>
    <w:p w14:paraId="5FD1F17A" w14:textId="77777777" w:rsidR="00B81993" w:rsidRPr="00B81993" w:rsidRDefault="00B81993" w:rsidP="00B81993">
      <w:pPr>
        <w:jc w:val="both"/>
        <w:rPr>
          <w:rFonts w:ascii="Arial" w:hAnsi="Arial" w:cs="Arial"/>
          <w:sz w:val="24"/>
          <w:szCs w:val="24"/>
        </w:rPr>
      </w:pPr>
      <w:r w:rsidRPr="00B81993">
        <w:rPr>
          <w:rFonts w:ascii="Arial" w:hAnsi="Arial" w:cs="Arial"/>
          <w:sz w:val="24"/>
          <w:szCs w:val="24"/>
        </w:rPr>
        <w:t>While the reliance on secondary data allows for a broad and efficient analysis, it also presents certain limitations. The findings are inherently constrained by the scope and quality of the available literature, which may not fully capture the nuances of real-world applications. Additionally, the absence of primary data means that the study cannot account for contextual factors or firsthand experiences that might enrich the analysis.</w:t>
      </w:r>
    </w:p>
    <w:p w14:paraId="1429B588" w14:textId="2EE6C548" w:rsidR="00B81993" w:rsidRPr="00B81993" w:rsidRDefault="00B81993" w:rsidP="00B81993">
      <w:pPr>
        <w:jc w:val="both"/>
        <w:rPr>
          <w:rFonts w:ascii="Arial" w:hAnsi="Arial" w:cs="Arial"/>
          <w:sz w:val="24"/>
          <w:szCs w:val="24"/>
        </w:rPr>
      </w:pPr>
      <w:r w:rsidRPr="00B81993">
        <w:rPr>
          <w:rFonts w:ascii="Arial" w:hAnsi="Arial" w:cs="Arial"/>
          <w:sz w:val="24"/>
          <w:szCs w:val="24"/>
        </w:rPr>
        <w:t xml:space="preserve">Furthermore, the qualitative nature of the study limits its generalizability, as the insights derived from specific contexts may not be directly applicable to all settings. Future research could address these limitations by incorporating empirical studies and </w:t>
      </w:r>
      <w:r w:rsidR="00E15E17" w:rsidRPr="00B81993">
        <w:rPr>
          <w:rFonts w:ascii="Arial" w:hAnsi="Arial" w:cs="Arial"/>
          <w:sz w:val="24"/>
          <w:szCs w:val="24"/>
        </w:rPr>
        <w:t>mixed method</w:t>
      </w:r>
      <w:r w:rsidRPr="00B81993">
        <w:rPr>
          <w:rFonts w:ascii="Arial" w:hAnsi="Arial" w:cs="Arial"/>
          <w:sz w:val="24"/>
          <w:szCs w:val="24"/>
        </w:rPr>
        <w:t xml:space="preserve"> approaches to validate and expand upon the conclusions drawn in this analysis. Despite these constraints, the study provides valuable insights into the potential of experiential learning to transform mindfulness education, offering a foundation for further exploration and innovation in this field.</w:t>
      </w:r>
    </w:p>
    <w:p w14:paraId="2AFD878E" w14:textId="1805BE81" w:rsidR="008526B8" w:rsidRPr="008526B8" w:rsidRDefault="008526B8" w:rsidP="008526B8">
      <w:pPr>
        <w:jc w:val="both"/>
        <w:rPr>
          <w:rFonts w:ascii="Arial" w:hAnsi="Arial" w:cs="Arial"/>
          <w:sz w:val="24"/>
          <w:szCs w:val="24"/>
        </w:rPr>
      </w:pPr>
    </w:p>
    <w:p w14:paraId="35E54D75" w14:textId="77777777" w:rsidR="006355DC" w:rsidRPr="006355DC" w:rsidRDefault="006355DC" w:rsidP="006355DC">
      <w:pPr>
        <w:jc w:val="both"/>
        <w:rPr>
          <w:rFonts w:ascii="Arial" w:hAnsi="Arial" w:cs="Arial"/>
          <w:b/>
          <w:bCs/>
          <w:sz w:val="24"/>
          <w:szCs w:val="24"/>
        </w:rPr>
      </w:pPr>
      <w:r w:rsidRPr="006355DC">
        <w:rPr>
          <w:rFonts w:ascii="Arial" w:hAnsi="Arial" w:cs="Arial"/>
          <w:b/>
          <w:bCs/>
          <w:sz w:val="24"/>
          <w:szCs w:val="24"/>
        </w:rPr>
        <w:t>Results/Discussion</w:t>
      </w:r>
    </w:p>
    <w:p w14:paraId="38D95606" w14:textId="77777777" w:rsidR="006355DC" w:rsidRPr="006355DC" w:rsidRDefault="006355DC" w:rsidP="006355DC">
      <w:pPr>
        <w:jc w:val="both"/>
        <w:rPr>
          <w:rFonts w:ascii="Arial" w:hAnsi="Arial" w:cs="Arial"/>
          <w:b/>
          <w:bCs/>
          <w:sz w:val="24"/>
          <w:szCs w:val="24"/>
        </w:rPr>
      </w:pPr>
      <w:r w:rsidRPr="006355DC">
        <w:rPr>
          <w:rFonts w:ascii="Arial" w:hAnsi="Arial" w:cs="Arial"/>
          <w:b/>
          <w:bCs/>
          <w:sz w:val="24"/>
          <w:szCs w:val="24"/>
        </w:rPr>
        <w:t>Enhanced Engagement Through Experiential Learning</w:t>
      </w:r>
    </w:p>
    <w:p w14:paraId="04C5F9D4"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The literature consistently highlights the ability of experiential learning to enhance student engagement in mindfulness courses. Active participation in activities such as guided meditations, mindfulness walks, and reflective journaling allows students to connect with mindfulness principles on a personal level. This active engagement fosters a sense of curiosity and investment in the learning process, which is often lacking in traditional lecture-based approaches. Guided meditations, for instance, provide structured and supportive environments where learners can practice mindfulness techniques, such as breath awareness or body scanning. These practices encourage students to engage actively rather than passively absorb information.</w:t>
      </w:r>
    </w:p>
    <w:p w14:paraId="3A0DDEBB"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 xml:space="preserve">Mindfulness walks represent another innovative method of experiential learning. By taking mindfulness into dynamic environments, students can directly experience the principles of presence and non-judgment. Engaging with their surroundings through heightened sensory awareness helps them connect theoretical concepts to tangible experiences. Similarly, reflective journaling offers students a private space to document their thoughts, </w:t>
      </w:r>
      <w:proofErr w:type="spellStart"/>
      <w:r w:rsidRPr="006355DC">
        <w:rPr>
          <w:rFonts w:ascii="Arial" w:hAnsi="Arial" w:cs="Arial"/>
          <w:sz w:val="24"/>
          <w:szCs w:val="24"/>
        </w:rPr>
        <w:t>analyze</w:t>
      </w:r>
      <w:proofErr w:type="spellEnd"/>
      <w:r w:rsidRPr="006355DC">
        <w:rPr>
          <w:rFonts w:ascii="Arial" w:hAnsi="Arial" w:cs="Arial"/>
          <w:sz w:val="24"/>
          <w:szCs w:val="24"/>
        </w:rPr>
        <w:t xml:space="preserve"> their progress, and identify personal insights, further deepening their engagement with the material.</w:t>
      </w:r>
    </w:p>
    <w:p w14:paraId="412685EC"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Research supports the impact of such approaches on engagement. For example, Hölzel et al. (2011) demonstrated that students who participated in experiential mindfulness activities reported higher levels of connection and engagement with the material. This increased engagement translates into a greater likelihood of students continuing mindfulness practices beyond the classroom, amplifying the long-term benefits of the course.</w:t>
      </w:r>
    </w:p>
    <w:p w14:paraId="7323B6AA" w14:textId="77777777" w:rsidR="00FB1F4E" w:rsidRDefault="00FB1F4E" w:rsidP="006355DC">
      <w:pPr>
        <w:jc w:val="both"/>
        <w:rPr>
          <w:rFonts w:ascii="Arial" w:hAnsi="Arial" w:cs="Arial"/>
          <w:b/>
          <w:bCs/>
          <w:sz w:val="24"/>
          <w:szCs w:val="24"/>
        </w:rPr>
      </w:pPr>
    </w:p>
    <w:p w14:paraId="3B3C191E" w14:textId="77777777" w:rsidR="00FB1F4E" w:rsidRDefault="00FB1F4E" w:rsidP="006355DC">
      <w:pPr>
        <w:jc w:val="both"/>
        <w:rPr>
          <w:rFonts w:ascii="Arial" w:hAnsi="Arial" w:cs="Arial"/>
          <w:b/>
          <w:bCs/>
          <w:sz w:val="24"/>
          <w:szCs w:val="24"/>
        </w:rPr>
      </w:pPr>
    </w:p>
    <w:p w14:paraId="7DEC8E57" w14:textId="3C238F45" w:rsidR="006355DC" w:rsidRPr="006355DC" w:rsidRDefault="006355DC" w:rsidP="006355DC">
      <w:pPr>
        <w:jc w:val="both"/>
        <w:rPr>
          <w:rFonts w:ascii="Arial" w:hAnsi="Arial" w:cs="Arial"/>
          <w:b/>
          <w:bCs/>
          <w:sz w:val="24"/>
          <w:szCs w:val="24"/>
        </w:rPr>
      </w:pPr>
      <w:r w:rsidRPr="006355DC">
        <w:rPr>
          <w:rFonts w:ascii="Arial" w:hAnsi="Arial" w:cs="Arial"/>
          <w:b/>
          <w:bCs/>
          <w:sz w:val="24"/>
          <w:szCs w:val="24"/>
        </w:rPr>
        <w:t>Bridging Theory and Practice</w:t>
      </w:r>
    </w:p>
    <w:p w14:paraId="771D971D"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One of the key strengths of experiential learning is its ability to bridge the gap between theoretical concepts and practical application. Activities like mindfulness walks enable students to embody abstract principles such as presence and non-judgment, making these concepts more tangible and relatable. Dewey (1938) argued that learning is most effective when it connects to real-life experiences, and this principle is evident in the success of experiential methods in mindfulness education.</w:t>
      </w:r>
    </w:p>
    <w:p w14:paraId="453B28F3"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 xml:space="preserve">The integration of experiential methods in mindfulness education addresses a common challenge in traditional teaching approaches: the disconnect between theory and practice. While lectures and readings provide foundational knowledge, they often fail to translate into practical skills that students can apply in their daily lives. Experiential activities close this gap by immersing students in the direct application of mindfulness principles. For instance, guided meditations not only teach the concept of </w:t>
      </w:r>
      <w:r w:rsidRPr="006355DC">
        <w:rPr>
          <w:rFonts w:ascii="Arial" w:hAnsi="Arial" w:cs="Arial"/>
          <w:sz w:val="24"/>
          <w:szCs w:val="24"/>
        </w:rPr>
        <w:lastRenderedPageBreak/>
        <w:t>mindfulness but also allow students to practice it in a controlled setting, fostering a deeper understanding.</w:t>
      </w:r>
    </w:p>
    <w:p w14:paraId="099EBE09"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Experiential learning also encourages students to explore their unique interpretations of mindfulness concepts. By engaging in activities that require personal involvement and reflection, students develop individualized connections to the material. This personalized approach enhances their ability to apply mindfulness principles in diverse contexts, from managing stress to improving interpersonal relationships.</w:t>
      </w:r>
    </w:p>
    <w:p w14:paraId="090B75C7" w14:textId="77777777" w:rsidR="00FB1F4E" w:rsidRDefault="00FB1F4E" w:rsidP="006355DC">
      <w:pPr>
        <w:jc w:val="both"/>
        <w:rPr>
          <w:rFonts w:ascii="Arial" w:hAnsi="Arial" w:cs="Arial"/>
          <w:b/>
          <w:bCs/>
          <w:sz w:val="24"/>
          <w:szCs w:val="24"/>
        </w:rPr>
      </w:pPr>
    </w:p>
    <w:p w14:paraId="2566D1F8" w14:textId="77777777" w:rsidR="00FB1F4E" w:rsidRDefault="00FB1F4E" w:rsidP="006355DC">
      <w:pPr>
        <w:jc w:val="both"/>
        <w:rPr>
          <w:rFonts w:ascii="Arial" w:hAnsi="Arial" w:cs="Arial"/>
          <w:b/>
          <w:bCs/>
          <w:sz w:val="24"/>
          <w:szCs w:val="24"/>
        </w:rPr>
      </w:pPr>
    </w:p>
    <w:p w14:paraId="29ED04E3" w14:textId="17B211F0" w:rsidR="006355DC" w:rsidRPr="006355DC" w:rsidRDefault="006355DC" w:rsidP="006355DC">
      <w:pPr>
        <w:jc w:val="both"/>
        <w:rPr>
          <w:rFonts w:ascii="Arial" w:hAnsi="Arial" w:cs="Arial"/>
          <w:b/>
          <w:bCs/>
          <w:sz w:val="24"/>
          <w:szCs w:val="24"/>
        </w:rPr>
      </w:pPr>
      <w:r w:rsidRPr="006355DC">
        <w:rPr>
          <w:rFonts w:ascii="Arial" w:hAnsi="Arial" w:cs="Arial"/>
          <w:b/>
          <w:bCs/>
          <w:sz w:val="24"/>
          <w:szCs w:val="24"/>
        </w:rPr>
        <w:t>The Role of Reflection</w:t>
      </w:r>
    </w:p>
    <w:p w14:paraId="04E132FD"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Reflection is a vital component of experiential learning, allowing students to process their experiences and derive meaningful insights. Structured opportunities for reflection, such as journaling and group discussions, help students articulate their understanding of mindfulness principles and integrate them into their daily lives. The literature emphasizes the importance of skilled facilitation in guiding these reflective processes to ensure they are meaningful and impactful.</w:t>
      </w:r>
    </w:p>
    <w:p w14:paraId="4E6DC211"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Journaling serves as a powerful reflective tool, enabling students to document their thoughts and emotions in response to mindfulness practices. This process fosters self-awareness and encourages students to examine their experiences critically. For example, students might reflect on their challenges in maintaining focus during a meditation session, leading them to identify strategies for improvement.</w:t>
      </w:r>
    </w:p>
    <w:p w14:paraId="63BADBD1"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Group discussions, on the other hand, provide a collaborative platform for reflection. By sharing their experiences and insights with peers, students gain diverse perspectives that enrich their understanding of mindfulness principles. Facilitators play a crucial role in these discussions, guiding the conversation to ensure it remains focused and constructive.</w:t>
      </w:r>
    </w:p>
    <w:p w14:paraId="128FD25F"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Guided reflections, often integrated into experiential activities, help students explore specific aspects of their mindfulness practice. For instance, after a mindfulness walk, a facilitator might ask students to reflect on the sensations they noticed, the thoughts that arose, and how these experiences connect to the concept of presence. This guided process deepens students’ engagement and helps them internalize key concepts.</w:t>
      </w:r>
    </w:p>
    <w:p w14:paraId="1DBAF3AA" w14:textId="77777777" w:rsidR="00FB1F4E" w:rsidRDefault="00FB1F4E" w:rsidP="006355DC">
      <w:pPr>
        <w:jc w:val="both"/>
        <w:rPr>
          <w:rFonts w:ascii="Arial" w:hAnsi="Arial" w:cs="Arial"/>
          <w:b/>
          <w:bCs/>
          <w:sz w:val="24"/>
          <w:szCs w:val="24"/>
        </w:rPr>
      </w:pPr>
    </w:p>
    <w:p w14:paraId="4C92B650" w14:textId="77777777" w:rsidR="00FB1F4E" w:rsidRDefault="00FB1F4E" w:rsidP="006355DC">
      <w:pPr>
        <w:jc w:val="both"/>
        <w:rPr>
          <w:rFonts w:ascii="Arial" w:hAnsi="Arial" w:cs="Arial"/>
          <w:b/>
          <w:bCs/>
          <w:sz w:val="24"/>
          <w:szCs w:val="24"/>
        </w:rPr>
      </w:pPr>
    </w:p>
    <w:p w14:paraId="32863A23" w14:textId="28227296" w:rsidR="006355DC" w:rsidRPr="006355DC" w:rsidRDefault="006355DC" w:rsidP="006355DC">
      <w:pPr>
        <w:jc w:val="both"/>
        <w:rPr>
          <w:rFonts w:ascii="Arial" w:hAnsi="Arial" w:cs="Arial"/>
          <w:b/>
          <w:bCs/>
          <w:sz w:val="24"/>
          <w:szCs w:val="24"/>
        </w:rPr>
      </w:pPr>
      <w:r w:rsidRPr="006355DC">
        <w:rPr>
          <w:rFonts w:ascii="Arial" w:hAnsi="Arial" w:cs="Arial"/>
          <w:b/>
          <w:bCs/>
          <w:sz w:val="24"/>
          <w:szCs w:val="24"/>
        </w:rPr>
        <w:t>Challenges and Opportunities</w:t>
      </w:r>
    </w:p>
    <w:p w14:paraId="62713052"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While experiential learning offers significant benefits, it also presents challenges. Resistance from students, logistical constraints, and the need for skilled facilitation are common obstacles. However, these challenges also present opportunities for innovation.</w:t>
      </w:r>
    </w:p>
    <w:p w14:paraId="2B57B14D"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lastRenderedPageBreak/>
        <w:t>Resistance from students often stems from unfamiliarity with experiential methods or discomfort with mindfulness practices. Educators can address this by providing clear explanations of the benefits and gradually introducing experiential activities. For example, starting with simple exercises like breath awareness can help students build confidence before progressing to more complex practices.</w:t>
      </w:r>
    </w:p>
    <w:p w14:paraId="5E39A5F2"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Logistical constraints, such as limited class time and large student groups, can also complicate the integration of experiential activities. Educators can overcome these challenges by adopting creative strategies, such as incorporating brief mindfulness exercises into existing lesson plans or utilizing technology to supplement in-person activities. Mindfulness apps and online platforms, for instance, allow students to practice mindfulness at their own pace, expanding access to experiential learning opportunities. Emerging tools like virtual reality (VR) also hold promise for creating immersive mindfulness experiences. Riva et al. (2016) highlight how VR can transport users into calming environments, enhancing their ability to engage deeply with mindfulness practices.</w:t>
      </w:r>
    </w:p>
    <w:p w14:paraId="64A01FFC"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The need for skilled facilitation is another critical challenge. Effective facilitators must possess a deep understanding of mindfulness principles and the ability to create a supportive learning environment. Professional development programs and peer support networks can help educators build the necessary skills to implement experiential learning effectively.</w:t>
      </w:r>
    </w:p>
    <w:p w14:paraId="6DF7F60A"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Despite these challenges, experiential learning also presents numerous opportunities for innovation. For example, incorporating technology into mindfulness courses can enhance engagement and accessibility. Virtual reality (VR) experiences, as noted by Riva et al. (2016), offer immersive environments where students can practice mindfulness in novel and engaging ways. Similarly, Howells et al. (2016) demonstrate how mindfulness apps provide users with structured practices and feedback, allowing for personalized learning experiences.</w:t>
      </w:r>
    </w:p>
    <w:p w14:paraId="5E8D7C4F" w14:textId="77777777" w:rsidR="00FB1F4E" w:rsidRDefault="00FB1F4E" w:rsidP="006355DC">
      <w:pPr>
        <w:jc w:val="both"/>
        <w:rPr>
          <w:rFonts w:ascii="Arial" w:hAnsi="Arial" w:cs="Arial"/>
          <w:b/>
          <w:bCs/>
          <w:sz w:val="24"/>
          <w:szCs w:val="24"/>
        </w:rPr>
      </w:pPr>
    </w:p>
    <w:p w14:paraId="569BE09C" w14:textId="77777777" w:rsidR="00FB1F4E" w:rsidRDefault="00FB1F4E" w:rsidP="006355DC">
      <w:pPr>
        <w:jc w:val="both"/>
        <w:rPr>
          <w:rFonts w:ascii="Arial" w:hAnsi="Arial" w:cs="Arial"/>
          <w:b/>
          <w:bCs/>
          <w:sz w:val="24"/>
          <w:szCs w:val="24"/>
        </w:rPr>
      </w:pPr>
    </w:p>
    <w:p w14:paraId="5CA6C243" w14:textId="74E6D590" w:rsidR="006355DC" w:rsidRPr="006355DC" w:rsidRDefault="006355DC" w:rsidP="006355DC">
      <w:pPr>
        <w:jc w:val="both"/>
        <w:rPr>
          <w:rFonts w:ascii="Arial" w:hAnsi="Arial" w:cs="Arial"/>
          <w:b/>
          <w:bCs/>
          <w:sz w:val="24"/>
          <w:szCs w:val="24"/>
        </w:rPr>
      </w:pPr>
      <w:r w:rsidRPr="006355DC">
        <w:rPr>
          <w:rFonts w:ascii="Arial" w:hAnsi="Arial" w:cs="Arial"/>
          <w:b/>
          <w:bCs/>
          <w:sz w:val="24"/>
          <w:szCs w:val="24"/>
        </w:rPr>
        <w:t>Best Practices for Implementation</w:t>
      </w:r>
    </w:p>
    <w:p w14:paraId="04775C16"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The findings suggest several best practices for implementing experiential learning in mindfulness courses. These include:</w:t>
      </w:r>
    </w:p>
    <w:p w14:paraId="72146000" w14:textId="77777777" w:rsidR="006355DC" w:rsidRPr="006355DC" w:rsidRDefault="006355DC" w:rsidP="006355DC">
      <w:pPr>
        <w:numPr>
          <w:ilvl w:val="0"/>
          <w:numId w:val="14"/>
        </w:numPr>
        <w:jc w:val="both"/>
        <w:rPr>
          <w:rFonts w:ascii="Arial" w:hAnsi="Arial" w:cs="Arial"/>
          <w:sz w:val="24"/>
          <w:szCs w:val="24"/>
        </w:rPr>
      </w:pPr>
      <w:r w:rsidRPr="006355DC">
        <w:rPr>
          <w:rFonts w:ascii="Arial" w:hAnsi="Arial" w:cs="Arial"/>
          <w:b/>
          <w:bCs/>
          <w:sz w:val="24"/>
          <w:szCs w:val="24"/>
        </w:rPr>
        <w:t>Gradual Introduction of Practices:</w:t>
      </w:r>
      <w:r w:rsidRPr="006355DC">
        <w:rPr>
          <w:rFonts w:ascii="Arial" w:hAnsi="Arial" w:cs="Arial"/>
          <w:sz w:val="24"/>
          <w:szCs w:val="24"/>
        </w:rPr>
        <w:t xml:space="preserve"> Scaffolding experiential activities ensures that students build confidence and familiarity with mindfulness concepts over time. Starting with simple exercises, such as focusing on the breath, allows learners to develop a foundation before progressing to more complex practices.</w:t>
      </w:r>
    </w:p>
    <w:p w14:paraId="12B3E00E" w14:textId="77777777" w:rsidR="006355DC" w:rsidRPr="006355DC" w:rsidRDefault="006355DC" w:rsidP="006355DC">
      <w:pPr>
        <w:numPr>
          <w:ilvl w:val="0"/>
          <w:numId w:val="14"/>
        </w:numPr>
        <w:jc w:val="both"/>
        <w:rPr>
          <w:rFonts w:ascii="Arial" w:hAnsi="Arial" w:cs="Arial"/>
          <w:sz w:val="24"/>
          <w:szCs w:val="24"/>
        </w:rPr>
      </w:pPr>
      <w:r w:rsidRPr="006355DC">
        <w:rPr>
          <w:rFonts w:ascii="Arial" w:hAnsi="Arial" w:cs="Arial"/>
          <w:b/>
          <w:bCs/>
          <w:sz w:val="24"/>
          <w:szCs w:val="24"/>
        </w:rPr>
        <w:t>Incorporating Diverse Experiential Methods:</w:t>
      </w:r>
      <w:r w:rsidRPr="006355DC">
        <w:rPr>
          <w:rFonts w:ascii="Arial" w:hAnsi="Arial" w:cs="Arial"/>
          <w:sz w:val="24"/>
          <w:szCs w:val="24"/>
        </w:rPr>
        <w:t xml:space="preserve"> Offering a variety of activities, such as guided meditations, mindfulness walks, and reflective journaling, caters to different learning styles and preferences. This diversity helps ensure that all students can engage meaningfully with the material.</w:t>
      </w:r>
    </w:p>
    <w:p w14:paraId="19A73CE6" w14:textId="77777777" w:rsidR="006355DC" w:rsidRPr="006355DC" w:rsidRDefault="006355DC" w:rsidP="006355DC">
      <w:pPr>
        <w:numPr>
          <w:ilvl w:val="0"/>
          <w:numId w:val="14"/>
        </w:numPr>
        <w:jc w:val="both"/>
        <w:rPr>
          <w:rFonts w:ascii="Arial" w:hAnsi="Arial" w:cs="Arial"/>
          <w:sz w:val="24"/>
          <w:szCs w:val="24"/>
        </w:rPr>
      </w:pPr>
      <w:r w:rsidRPr="006355DC">
        <w:rPr>
          <w:rFonts w:ascii="Arial" w:hAnsi="Arial" w:cs="Arial"/>
          <w:b/>
          <w:bCs/>
          <w:sz w:val="24"/>
          <w:szCs w:val="24"/>
        </w:rPr>
        <w:lastRenderedPageBreak/>
        <w:t>Fostering a Culture of Reflection and Dialogue:</w:t>
      </w:r>
      <w:r w:rsidRPr="006355DC">
        <w:rPr>
          <w:rFonts w:ascii="Arial" w:hAnsi="Arial" w:cs="Arial"/>
          <w:sz w:val="24"/>
          <w:szCs w:val="24"/>
        </w:rPr>
        <w:t xml:space="preserve"> Structured opportunities for reflection, such as journaling and group discussions, enhance students’ ability to process and internalize their experiences. These reflective practices help learners make sense of their experiences and integrate mindfulness principles into their daily lives.</w:t>
      </w:r>
    </w:p>
    <w:p w14:paraId="3FD805CB" w14:textId="77777777" w:rsidR="006355DC" w:rsidRPr="006355DC" w:rsidRDefault="006355DC" w:rsidP="006355DC">
      <w:pPr>
        <w:numPr>
          <w:ilvl w:val="0"/>
          <w:numId w:val="14"/>
        </w:numPr>
        <w:jc w:val="both"/>
        <w:rPr>
          <w:rFonts w:ascii="Arial" w:hAnsi="Arial" w:cs="Arial"/>
          <w:sz w:val="24"/>
          <w:szCs w:val="24"/>
        </w:rPr>
      </w:pPr>
      <w:r w:rsidRPr="006355DC">
        <w:rPr>
          <w:rFonts w:ascii="Arial" w:hAnsi="Arial" w:cs="Arial"/>
          <w:b/>
          <w:bCs/>
          <w:sz w:val="24"/>
          <w:szCs w:val="24"/>
        </w:rPr>
        <w:t>Continuously Adapting Teaching Strategies:</w:t>
      </w:r>
      <w:r w:rsidRPr="006355DC">
        <w:rPr>
          <w:rFonts w:ascii="Arial" w:hAnsi="Arial" w:cs="Arial"/>
          <w:sz w:val="24"/>
          <w:szCs w:val="24"/>
        </w:rPr>
        <w:t xml:space="preserve"> Gathering feedback from students and monitoring their progress allows educators to refine their approaches and address any challenges that arise. This iterative process ensures that mindfulness courses remain effective and relevant.</w:t>
      </w:r>
    </w:p>
    <w:p w14:paraId="727FD70A" w14:textId="77777777" w:rsidR="00FB1F4E" w:rsidRDefault="006355DC" w:rsidP="006355DC">
      <w:pPr>
        <w:numPr>
          <w:ilvl w:val="0"/>
          <w:numId w:val="14"/>
        </w:numPr>
        <w:jc w:val="both"/>
        <w:rPr>
          <w:rFonts w:ascii="Arial" w:hAnsi="Arial" w:cs="Arial"/>
          <w:sz w:val="24"/>
          <w:szCs w:val="24"/>
        </w:rPr>
      </w:pPr>
      <w:r w:rsidRPr="006355DC">
        <w:rPr>
          <w:rFonts w:ascii="Arial" w:hAnsi="Arial" w:cs="Arial"/>
          <w:b/>
          <w:bCs/>
          <w:sz w:val="24"/>
          <w:szCs w:val="24"/>
        </w:rPr>
        <w:t>Leveraging Technology:</w:t>
      </w:r>
      <w:r w:rsidRPr="006355DC">
        <w:rPr>
          <w:rFonts w:ascii="Arial" w:hAnsi="Arial" w:cs="Arial"/>
          <w:sz w:val="24"/>
          <w:szCs w:val="24"/>
        </w:rPr>
        <w:t xml:space="preserve"> Utilizing mindfulness apps and online platforms can enhance accessibility and engagement. These tools provide flexible options for practice, allowing students to explore mindfulness at their own pace.</w:t>
      </w:r>
    </w:p>
    <w:p w14:paraId="5D630619" w14:textId="10504550" w:rsidR="006355DC" w:rsidRPr="006355DC" w:rsidRDefault="006355DC" w:rsidP="006355DC">
      <w:pPr>
        <w:numPr>
          <w:ilvl w:val="0"/>
          <w:numId w:val="14"/>
        </w:numPr>
        <w:jc w:val="both"/>
        <w:rPr>
          <w:rFonts w:ascii="Arial" w:hAnsi="Arial" w:cs="Arial"/>
          <w:sz w:val="24"/>
          <w:szCs w:val="24"/>
        </w:rPr>
      </w:pPr>
      <w:r w:rsidRPr="006355DC">
        <w:rPr>
          <w:rFonts w:ascii="Arial" w:hAnsi="Arial" w:cs="Arial"/>
          <w:sz w:val="24"/>
          <w:szCs w:val="24"/>
        </w:rPr>
        <w:t>technologies, as discussed by Riva et al. (2016), add another dimension to experiential learning by creating immersive mindfulness environments.</w:t>
      </w:r>
    </w:p>
    <w:p w14:paraId="3AEDE69E" w14:textId="77777777" w:rsidR="006355DC" w:rsidRPr="006355DC" w:rsidRDefault="006355DC" w:rsidP="006355DC">
      <w:pPr>
        <w:jc w:val="both"/>
        <w:rPr>
          <w:rFonts w:ascii="Arial" w:hAnsi="Arial" w:cs="Arial"/>
          <w:sz w:val="24"/>
          <w:szCs w:val="24"/>
        </w:rPr>
      </w:pPr>
      <w:r w:rsidRPr="006355DC">
        <w:rPr>
          <w:rFonts w:ascii="Arial" w:hAnsi="Arial" w:cs="Arial"/>
          <w:sz w:val="24"/>
          <w:szCs w:val="24"/>
        </w:rPr>
        <w:t>By adopting these best practices, educators can create dynamic and impactful mindfulness courses that leverage the strengths of experiential learning to enhance engagement and understanding.</w:t>
      </w:r>
    </w:p>
    <w:p w14:paraId="46ED1AEC" w14:textId="77777777" w:rsidR="00FB1F4E" w:rsidRDefault="00FB1F4E" w:rsidP="006355DC">
      <w:pPr>
        <w:jc w:val="both"/>
        <w:rPr>
          <w:rFonts w:ascii="Arial" w:hAnsi="Arial" w:cs="Arial"/>
          <w:b/>
          <w:bCs/>
          <w:sz w:val="24"/>
          <w:szCs w:val="24"/>
        </w:rPr>
      </w:pPr>
    </w:p>
    <w:p w14:paraId="6C3DFD15" w14:textId="036845F0" w:rsidR="008526B8" w:rsidRPr="008526B8" w:rsidRDefault="008526B8" w:rsidP="008526B8">
      <w:pPr>
        <w:jc w:val="both"/>
        <w:rPr>
          <w:rFonts w:ascii="Arial" w:hAnsi="Arial" w:cs="Arial"/>
          <w:sz w:val="24"/>
          <w:szCs w:val="24"/>
        </w:rPr>
      </w:pPr>
    </w:p>
    <w:p w14:paraId="2122EE77" w14:textId="77777777" w:rsidR="008526B8" w:rsidRPr="008526B8" w:rsidRDefault="008526B8" w:rsidP="008526B8">
      <w:pPr>
        <w:jc w:val="both"/>
        <w:rPr>
          <w:rFonts w:ascii="Arial" w:hAnsi="Arial" w:cs="Arial"/>
          <w:b/>
          <w:bCs/>
          <w:sz w:val="24"/>
          <w:szCs w:val="24"/>
        </w:rPr>
      </w:pPr>
      <w:r w:rsidRPr="008526B8">
        <w:rPr>
          <w:rFonts w:ascii="Arial" w:hAnsi="Arial" w:cs="Arial"/>
          <w:b/>
          <w:bCs/>
          <w:sz w:val="24"/>
          <w:szCs w:val="24"/>
        </w:rPr>
        <w:t>Conclusion</w:t>
      </w:r>
    </w:p>
    <w:p w14:paraId="54230AFE" w14:textId="77777777" w:rsidR="008526B8" w:rsidRPr="008526B8" w:rsidRDefault="008526B8" w:rsidP="008526B8">
      <w:pPr>
        <w:jc w:val="both"/>
        <w:rPr>
          <w:rFonts w:ascii="Arial" w:hAnsi="Arial" w:cs="Arial"/>
          <w:sz w:val="24"/>
          <w:szCs w:val="24"/>
        </w:rPr>
      </w:pPr>
      <w:r w:rsidRPr="008526B8">
        <w:rPr>
          <w:rFonts w:ascii="Arial" w:hAnsi="Arial" w:cs="Arial"/>
          <w:sz w:val="24"/>
          <w:szCs w:val="24"/>
        </w:rPr>
        <w:t>This study underscores the importance of experiential learning in enhancing engagement and understanding in mindfulness courses. By prioritizing active participation, reflection, and real-world application, experiential methods address the limitations of traditional teaching approaches and create transformative learning experiences.</w:t>
      </w:r>
    </w:p>
    <w:p w14:paraId="5F69A237" w14:textId="77777777" w:rsidR="008526B8" w:rsidRPr="008526B8" w:rsidRDefault="008526B8" w:rsidP="008526B8">
      <w:pPr>
        <w:jc w:val="both"/>
        <w:rPr>
          <w:rFonts w:ascii="Arial" w:hAnsi="Arial" w:cs="Arial"/>
          <w:sz w:val="24"/>
          <w:szCs w:val="24"/>
        </w:rPr>
      </w:pPr>
      <w:r w:rsidRPr="008526B8">
        <w:rPr>
          <w:rFonts w:ascii="Arial" w:hAnsi="Arial" w:cs="Arial"/>
          <w:sz w:val="24"/>
          <w:szCs w:val="24"/>
        </w:rPr>
        <w:t>Future research should focus on empirical studies to validate these findings and explore innovative strategies for integrating experiential learning into mindfulness education. Educators must continue to experiment with new approaches, tailoring their methods to meet the diverse needs of students. By doing so, they can ensure that mindfulness courses remain relevant, engaging, and impactful, fostering a deeper sense of awareness, resilience, and emotional well-being among students.</w:t>
      </w:r>
    </w:p>
    <w:p w14:paraId="2F874115" w14:textId="77777777" w:rsidR="004A10EA" w:rsidRDefault="004A10EA" w:rsidP="004A10EA">
      <w:pPr>
        <w:jc w:val="both"/>
        <w:rPr>
          <w:rFonts w:ascii="Arial" w:hAnsi="Arial" w:cs="Arial"/>
          <w:sz w:val="24"/>
          <w:szCs w:val="24"/>
        </w:rPr>
      </w:pPr>
    </w:p>
    <w:p w14:paraId="72D89486" w14:textId="77777777" w:rsidR="004A10EA" w:rsidRDefault="004A10EA" w:rsidP="004A10EA">
      <w:pPr>
        <w:jc w:val="both"/>
        <w:rPr>
          <w:rFonts w:ascii="Arial" w:hAnsi="Arial" w:cs="Arial"/>
          <w:sz w:val="24"/>
          <w:szCs w:val="24"/>
        </w:rPr>
      </w:pPr>
    </w:p>
    <w:p w14:paraId="79C6C6F9" w14:textId="77777777" w:rsidR="004A10EA" w:rsidRDefault="004A10EA" w:rsidP="004A10EA">
      <w:pPr>
        <w:jc w:val="both"/>
        <w:rPr>
          <w:rFonts w:ascii="Arial" w:hAnsi="Arial" w:cs="Arial"/>
          <w:sz w:val="24"/>
          <w:szCs w:val="24"/>
        </w:rPr>
      </w:pPr>
    </w:p>
    <w:p w14:paraId="59CC26AE" w14:textId="77777777" w:rsidR="004A10EA" w:rsidRDefault="004A10EA" w:rsidP="004A10EA">
      <w:pPr>
        <w:jc w:val="both"/>
        <w:rPr>
          <w:rFonts w:ascii="Arial" w:hAnsi="Arial" w:cs="Arial"/>
          <w:sz w:val="24"/>
          <w:szCs w:val="24"/>
        </w:rPr>
      </w:pPr>
    </w:p>
    <w:p w14:paraId="4457B328" w14:textId="77777777" w:rsidR="00FB1F4E" w:rsidRDefault="00FB1F4E" w:rsidP="00B81993">
      <w:pPr>
        <w:jc w:val="both"/>
        <w:rPr>
          <w:rFonts w:ascii="Arial" w:hAnsi="Arial" w:cs="Arial"/>
          <w:b/>
          <w:bCs/>
          <w:sz w:val="24"/>
          <w:szCs w:val="24"/>
        </w:rPr>
      </w:pPr>
    </w:p>
    <w:p w14:paraId="2F23526C" w14:textId="77777777" w:rsidR="00FB1F4E" w:rsidRDefault="00FB1F4E" w:rsidP="00B81993">
      <w:pPr>
        <w:jc w:val="both"/>
        <w:rPr>
          <w:rFonts w:ascii="Arial" w:hAnsi="Arial" w:cs="Arial"/>
          <w:b/>
          <w:bCs/>
          <w:sz w:val="24"/>
          <w:szCs w:val="24"/>
        </w:rPr>
      </w:pPr>
    </w:p>
    <w:p w14:paraId="05E72C38" w14:textId="77777777" w:rsidR="00FB1F4E" w:rsidRDefault="00FB1F4E" w:rsidP="00B81993">
      <w:pPr>
        <w:jc w:val="both"/>
        <w:rPr>
          <w:rFonts w:ascii="Arial" w:hAnsi="Arial" w:cs="Arial"/>
          <w:b/>
          <w:bCs/>
          <w:sz w:val="24"/>
          <w:szCs w:val="24"/>
        </w:rPr>
      </w:pPr>
    </w:p>
    <w:p w14:paraId="66E2DD92" w14:textId="77777777" w:rsidR="00FB1F4E" w:rsidRDefault="00FB1F4E" w:rsidP="00B81993">
      <w:pPr>
        <w:jc w:val="both"/>
        <w:rPr>
          <w:rFonts w:ascii="Arial" w:hAnsi="Arial" w:cs="Arial"/>
          <w:b/>
          <w:bCs/>
          <w:sz w:val="24"/>
          <w:szCs w:val="24"/>
        </w:rPr>
      </w:pPr>
    </w:p>
    <w:p w14:paraId="4A5C961F" w14:textId="77777777" w:rsidR="00FB1F4E" w:rsidRDefault="00FB1F4E" w:rsidP="00B81993">
      <w:pPr>
        <w:jc w:val="both"/>
        <w:rPr>
          <w:rFonts w:ascii="Arial" w:hAnsi="Arial" w:cs="Arial"/>
          <w:b/>
          <w:bCs/>
          <w:sz w:val="24"/>
          <w:szCs w:val="24"/>
        </w:rPr>
      </w:pPr>
    </w:p>
    <w:p w14:paraId="2FE9894D" w14:textId="77777777" w:rsidR="00FB1F4E" w:rsidRDefault="00FB1F4E" w:rsidP="00B81993">
      <w:pPr>
        <w:jc w:val="both"/>
        <w:rPr>
          <w:rFonts w:ascii="Arial" w:hAnsi="Arial" w:cs="Arial"/>
          <w:b/>
          <w:bCs/>
          <w:sz w:val="24"/>
          <w:szCs w:val="24"/>
        </w:rPr>
      </w:pPr>
    </w:p>
    <w:p w14:paraId="7C79F6EC" w14:textId="5CF7F7C8"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Appendices</w:t>
      </w:r>
    </w:p>
    <w:p w14:paraId="6E02A9A7" w14:textId="77777777"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Appendix A: Experiential Learning Activities in Mindfulness Courses</w:t>
      </w:r>
    </w:p>
    <w:p w14:paraId="7733577D" w14:textId="77777777" w:rsidR="00B81993" w:rsidRPr="00B81993" w:rsidRDefault="00B81993" w:rsidP="00B81993">
      <w:pPr>
        <w:numPr>
          <w:ilvl w:val="0"/>
          <w:numId w:val="8"/>
        </w:numPr>
        <w:jc w:val="both"/>
        <w:rPr>
          <w:rFonts w:ascii="Arial" w:hAnsi="Arial" w:cs="Arial"/>
          <w:sz w:val="24"/>
          <w:szCs w:val="24"/>
        </w:rPr>
      </w:pPr>
      <w:r w:rsidRPr="00B81993">
        <w:rPr>
          <w:rFonts w:ascii="Arial" w:hAnsi="Arial" w:cs="Arial"/>
          <w:b/>
          <w:bCs/>
          <w:sz w:val="24"/>
          <w:szCs w:val="24"/>
        </w:rPr>
        <w:t>Guided Meditations</w:t>
      </w:r>
    </w:p>
    <w:p w14:paraId="07B03EF0" w14:textId="77777777" w:rsidR="00B81993" w:rsidRPr="00B81993" w:rsidRDefault="00B81993" w:rsidP="00B81993">
      <w:pPr>
        <w:numPr>
          <w:ilvl w:val="1"/>
          <w:numId w:val="8"/>
        </w:numPr>
        <w:jc w:val="both"/>
        <w:rPr>
          <w:rFonts w:ascii="Arial" w:hAnsi="Arial" w:cs="Arial"/>
          <w:sz w:val="24"/>
          <w:szCs w:val="24"/>
        </w:rPr>
      </w:pPr>
      <w:r w:rsidRPr="00B81993">
        <w:rPr>
          <w:rFonts w:ascii="Arial" w:hAnsi="Arial" w:cs="Arial"/>
          <w:sz w:val="24"/>
          <w:szCs w:val="24"/>
        </w:rPr>
        <w:t>Description: Step-by-step guided exercises focusing on breath, body awareness, and presence.</w:t>
      </w:r>
    </w:p>
    <w:p w14:paraId="0F6B3FA7" w14:textId="77777777" w:rsidR="00B81993" w:rsidRPr="00B81993" w:rsidRDefault="00B81993" w:rsidP="00B81993">
      <w:pPr>
        <w:numPr>
          <w:ilvl w:val="1"/>
          <w:numId w:val="8"/>
        </w:numPr>
        <w:jc w:val="both"/>
        <w:rPr>
          <w:rFonts w:ascii="Arial" w:hAnsi="Arial" w:cs="Arial"/>
          <w:sz w:val="24"/>
          <w:szCs w:val="24"/>
        </w:rPr>
      </w:pPr>
      <w:r w:rsidRPr="00B81993">
        <w:rPr>
          <w:rFonts w:ascii="Arial" w:hAnsi="Arial" w:cs="Arial"/>
          <w:sz w:val="24"/>
          <w:szCs w:val="24"/>
        </w:rPr>
        <w:t>Purpose: To immerse students in mindfulness practice and develop foundational skills.</w:t>
      </w:r>
    </w:p>
    <w:p w14:paraId="2075A191" w14:textId="77777777" w:rsidR="00B81993" w:rsidRPr="00B81993" w:rsidRDefault="00B81993" w:rsidP="00B81993">
      <w:pPr>
        <w:numPr>
          <w:ilvl w:val="0"/>
          <w:numId w:val="8"/>
        </w:numPr>
        <w:jc w:val="both"/>
        <w:rPr>
          <w:rFonts w:ascii="Arial" w:hAnsi="Arial" w:cs="Arial"/>
          <w:sz w:val="24"/>
          <w:szCs w:val="24"/>
        </w:rPr>
      </w:pPr>
      <w:r w:rsidRPr="00B81993">
        <w:rPr>
          <w:rFonts w:ascii="Arial" w:hAnsi="Arial" w:cs="Arial"/>
          <w:b/>
          <w:bCs/>
          <w:sz w:val="24"/>
          <w:szCs w:val="24"/>
        </w:rPr>
        <w:t>Mindfulness Walks</w:t>
      </w:r>
    </w:p>
    <w:p w14:paraId="5BC3FE7B" w14:textId="77777777" w:rsidR="00B81993" w:rsidRPr="00B81993" w:rsidRDefault="00B81993" w:rsidP="00B81993">
      <w:pPr>
        <w:numPr>
          <w:ilvl w:val="1"/>
          <w:numId w:val="8"/>
        </w:numPr>
        <w:jc w:val="both"/>
        <w:rPr>
          <w:rFonts w:ascii="Arial" w:hAnsi="Arial" w:cs="Arial"/>
          <w:sz w:val="24"/>
          <w:szCs w:val="24"/>
        </w:rPr>
      </w:pPr>
      <w:r w:rsidRPr="00B81993">
        <w:rPr>
          <w:rFonts w:ascii="Arial" w:hAnsi="Arial" w:cs="Arial"/>
          <w:sz w:val="24"/>
          <w:szCs w:val="24"/>
        </w:rPr>
        <w:t>Description: Silent walks emphasizing sensory awareness and connection with the environment.</w:t>
      </w:r>
    </w:p>
    <w:p w14:paraId="0906A77A" w14:textId="77777777" w:rsidR="00B81993" w:rsidRPr="00B81993" w:rsidRDefault="00B81993" w:rsidP="00B81993">
      <w:pPr>
        <w:numPr>
          <w:ilvl w:val="1"/>
          <w:numId w:val="8"/>
        </w:numPr>
        <w:jc w:val="both"/>
        <w:rPr>
          <w:rFonts w:ascii="Arial" w:hAnsi="Arial" w:cs="Arial"/>
          <w:sz w:val="24"/>
          <w:szCs w:val="24"/>
        </w:rPr>
      </w:pPr>
      <w:r w:rsidRPr="00B81993">
        <w:rPr>
          <w:rFonts w:ascii="Arial" w:hAnsi="Arial" w:cs="Arial"/>
          <w:sz w:val="24"/>
          <w:szCs w:val="24"/>
        </w:rPr>
        <w:t>Purpose: To translate mindfulness concepts into physical experiences.</w:t>
      </w:r>
    </w:p>
    <w:p w14:paraId="5F53B149" w14:textId="77777777" w:rsidR="00B81993" w:rsidRPr="00B81993" w:rsidRDefault="00B81993" w:rsidP="00B81993">
      <w:pPr>
        <w:numPr>
          <w:ilvl w:val="0"/>
          <w:numId w:val="8"/>
        </w:numPr>
        <w:jc w:val="both"/>
        <w:rPr>
          <w:rFonts w:ascii="Arial" w:hAnsi="Arial" w:cs="Arial"/>
          <w:sz w:val="24"/>
          <w:szCs w:val="24"/>
        </w:rPr>
      </w:pPr>
      <w:r w:rsidRPr="00B81993">
        <w:rPr>
          <w:rFonts w:ascii="Arial" w:hAnsi="Arial" w:cs="Arial"/>
          <w:b/>
          <w:bCs/>
          <w:sz w:val="24"/>
          <w:szCs w:val="24"/>
        </w:rPr>
        <w:t>Reflective Journaling</w:t>
      </w:r>
    </w:p>
    <w:p w14:paraId="28C51FAD" w14:textId="77777777" w:rsidR="00B81993" w:rsidRPr="00B81993" w:rsidRDefault="00B81993" w:rsidP="00B81993">
      <w:pPr>
        <w:numPr>
          <w:ilvl w:val="1"/>
          <w:numId w:val="8"/>
        </w:numPr>
        <w:jc w:val="both"/>
        <w:rPr>
          <w:rFonts w:ascii="Arial" w:hAnsi="Arial" w:cs="Arial"/>
          <w:sz w:val="24"/>
          <w:szCs w:val="24"/>
        </w:rPr>
      </w:pPr>
      <w:r w:rsidRPr="00B81993">
        <w:rPr>
          <w:rFonts w:ascii="Arial" w:hAnsi="Arial" w:cs="Arial"/>
          <w:sz w:val="24"/>
          <w:szCs w:val="24"/>
        </w:rPr>
        <w:t xml:space="preserve">Description: Structured prompts encouraging students to document and </w:t>
      </w:r>
      <w:proofErr w:type="spellStart"/>
      <w:r w:rsidRPr="00B81993">
        <w:rPr>
          <w:rFonts w:ascii="Arial" w:hAnsi="Arial" w:cs="Arial"/>
          <w:sz w:val="24"/>
          <w:szCs w:val="24"/>
        </w:rPr>
        <w:t>analyze</w:t>
      </w:r>
      <w:proofErr w:type="spellEnd"/>
      <w:r w:rsidRPr="00B81993">
        <w:rPr>
          <w:rFonts w:ascii="Arial" w:hAnsi="Arial" w:cs="Arial"/>
          <w:sz w:val="24"/>
          <w:szCs w:val="24"/>
        </w:rPr>
        <w:t xml:space="preserve"> their mindfulness experiences.</w:t>
      </w:r>
    </w:p>
    <w:p w14:paraId="2D5D07BD" w14:textId="77777777" w:rsidR="00B81993" w:rsidRPr="00B81993" w:rsidRDefault="00B81993" w:rsidP="00B81993">
      <w:pPr>
        <w:numPr>
          <w:ilvl w:val="1"/>
          <w:numId w:val="8"/>
        </w:numPr>
        <w:jc w:val="both"/>
        <w:rPr>
          <w:rFonts w:ascii="Arial" w:hAnsi="Arial" w:cs="Arial"/>
          <w:sz w:val="24"/>
          <w:szCs w:val="24"/>
        </w:rPr>
      </w:pPr>
      <w:r w:rsidRPr="00B81993">
        <w:rPr>
          <w:rFonts w:ascii="Arial" w:hAnsi="Arial" w:cs="Arial"/>
          <w:sz w:val="24"/>
          <w:szCs w:val="24"/>
        </w:rPr>
        <w:t>Purpose: To facilitate deeper understanding and self-reflection.</w:t>
      </w:r>
    </w:p>
    <w:p w14:paraId="64FEB9F8" w14:textId="77777777" w:rsidR="00B81993" w:rsidRPr="00B81993" w:rsidRDefault="00B81993" w:rsidP="00B81993">
      <w:pPr>
        <w:numPr>
          <w:ilvl w:val="0"/>
          <w:numId w:val="8"/>
        </w:numPr>
        <w:jc w:val="both"/>
        <w:rPr>
          <w:rFonts w:ascii="Arial" w:hAnsi="Arial" w:cs="Arial"/>
          <w:sz w:val="24"/>
          <w:szCs w:val="24"/>
        </w:rPr>
      </w:pPr>
      <w:r w:rsidRPr="00B81993">
        <w:rPr>
          <w:rFonts w:ascii="Arial" w:hAnsi="Arial" w:cs="Arial"/>
          <w:b/>
          <w:bCs/>
          <w:sz w:val="24"/>
          <w:szCs w:val="24"/>
        </w:rPr>
        <w:t>Group Discussions</w:t>
      </w:r>
    </w:p>
    <w:p w14:paraId="1B3156E8" w14:textId="77777777" w:rsidR="00B81993" w:rsidRPr="00B81993" w:rsidRDefault="00B81993" w:rsidP="00B81993">
      <w:pPr>
        <w:numPr>
          <w:ilvl w:val="1"/>
          <w:numId w:val="8"/>
        </w:numPr>
        <w:jc w:val="both"/>
        <w:rPr>
          <w:rFonts w:ascii="Arial" w:hAnsi="Arial" w:cs="Arial"/>
          <w:sz w:val="24"/>
          <w:szCs w:val="24"/>
        </w:rPr>
      </w:pPr>
      <w:r w:rsidRPr="00B81993">
        <w:rPr>
          <w:rFonts w:ascii="Arial" w:hAnsi="Arial" w:cs="Arial"/>
          <w:sz w:val="24"/>
          <w:szCs w:val="24"/>
        </w:rPr>
        <w:t>Description: Peer-led or instructor-facilitated discussions on mindfulness concepts and personal experiences.</w:t>
      </w:r>
    </w:p>
    <w:p w14:paraId="4EDFC6C4" w14:textId="77777777" w:rsidR="00B81993" w:rsidRPr="00B81993" w:rsidRDefault="00B81993" w:rsidP="00B81993">
      <w:pPr>
        <w:numPr>
          <w:ilvl w:val="1"/>
          <w:numId w:val="8"/>
        </w:numPr>
        <w:jc w:val="both"/>
        <w:rPr>
          <w:rFonts w:ascii="Arial" w:hAnsi="Arial" w:cs="Arial"/>
          <w:sz w:val="24"/>
          <w:szCs w:val="24"/>
        </w:rPr>
      </w:pPr>
      <w:r w:rsidRPr="00B81993">
        <w:rPr>
          <w:rFonts w:ascii="Arial" w:hAnsi="Arial" w:cs="Arial"/>
          <w:sz w:val="24"/>
          <w:szCs w:val="24"/>
        </w:rPr>
        <w:t>Purpose: To promote collaborative learning and shared insights.</w:t>
      </w:r>
    </w:p>
    <w:p w14:paraId="79D927CA" w14:textId="77777777"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Appendix B: Challenges in Implementing Experiential Learning</w:t>
      </w:r>
    </w:p>
    <w:p w14:paraId="1AD86161" w14:textId="77777777" w:rsidR="00B81993" w:rsidRPr="00B81993" w:rsidRDefault="00B81993" w:rsidP="00B81993">
      <w:pPr>
        <w:numPr>
          <w:ilvl w:val="0"/>
          <w:numId w:val="9"/>
        </w:numPr>
        <w:jc w:val="both"/>
        <w:rPr>
          <w:rFonts w:ascii="Arial" w:hAnsi="Arial" w:cs="Arial"/>
          <w:sz w:val="24"/>
          <w:szCs w:val="24"/>
        </w:rPr>
      </w:pPr>
      <w:r w:rsidRPr="00B81993">
        <w:rPr>
          <w:rFonts w:ascii="Arial" w:hAnsi="Arial" w:cs="Arial"/>
          <w:b/>
          <w:bCs/>
          <w:sz w:val="24"/>
          <w:szCs w:val="24"/>
        </w:rPr>
        <w:t>Student Resistance</w:t>
      </w:r>
    </w:p>
    <w:p w14:paraId="7A1C766A" w14:textId="77777777" w:rsidR="00B81993" w:rsidRPr="00B81993" w:rsidRDefault="00B81993" w:rsidP="00B81993">
      <w:pPr>
        <w:numPr>
          <w:ilvl w:val="1"/>
          <w:numId w:val="9"/>
        </w:numPr>
        <w:jc w:val="both"/>
        <w:rPr>
          <w:rFonts w:ascii="Arial" w:hAnsi="Arial" w:cs="Arial"/>
          <w:sz w:val="24"/>
          <w:szCs w:val="24"/>
        </w:rPr>
      </w:pPr>
      <w:r w:rsidRPr="00B81993">
        <w:rPr>
          <w:rFonts w:ascii="Arial" w:hAnsi="Arial" w:cs="Arial"/>
          <w:sz w:val="24"/>
          <w:szCs w:val="24"/>
        </w:rPr>
        <w:t>Cause: Unfamiliarity or discomfort with mindfulness practices.</w:t>
      </w:r>
    </w:p>
    <w:p w14:paraId="30F7B8D8" w14:textId="77777777" w:rsidR="00B81993" w:rsidRPr="00B81993" w:rsidRDefault="00B81993" w:rsidP="00B81993">
      <w:pPr>
        <w:numPr>
          <w:ilvl w:val="1"/>
          <w:numId w:val="9"/>
        </w:numPr>
        <w:jc w:val="both"/>
        <w:rPr>
          <w:rFonts w:ascii="Arial" w:hAnsi="Arial" w:cs="Arial"/>
          <w:sz w:val="24"/>
          <w:szCs w:val="24"/>
        </w:rPr>
      </w:pPr>
      <w:r w:rsidRPr="00B81993">
        <w:rPr>
          <w:rFonts w:ascii="Arial" w:hAnsi="Arial" w:cs="Arial"/>
          <w:sz w:val="24"/>
          <w:szCs w:val="24"/>
        </w:rPr>
        <w:t>Solution: Gradual introduction of activities and clear explanations of their benefits.</w:t>
      </w:r>
    </w:p>
    <w:p w14:paraId="2A7B0585" w14:textId="77777777" w:rsidR="00B81993" w:rsidRPr="00B81993" w:rsidRDefault="00B81993" w:rsidP="00B81993">
      <w:pPr>
        <w:numPr>
          <w:ilvl w:val="0"/>
          <w:numId w:val="9"/>
        </w:numPr>
        <w:jc w:val="both"/>
        <w:rPr>
          <w:rFonts w:ascii="Arial" w:hAnsi="Arial" w:cs="Arial"/>
          <w:sz w:val="24"/>
          <w:szCs w:val="24"/>
        </w:rPr>
      </w:pPr>
      <w:r w:rsidRPr="00B81993">
        <w:rPr>
          <w:rFonts w:ascii="Arial" w:hAnsi="Arial" w:cs="Arial"/>
          <w:b/>
          <w:bCs/>
          <w:sz w:val="24"/>
          <w:szCs w:val="24"/>
        </w:rPr>
        <w:t>Logistical Constraints</w:t>
      </w:r>
    </w:p>
    <w:p w14:paraId="4C8F8AFE" w14:textId="77777777" w:rsidR="00B81993" w:rsidRPr="00B81993" w:rsidRDefault="00B81993" w:rsidP="00B81993">
      <w:pPr>
        <w:numPr>
          <w:ilvl w:val="1"/>
          <w:numId w:val="9"/>
        </w:numPr>
        <w:jc w:val="both"/>
        <w:rPr>
          <w:rFonts w:ascii="Arial" w:hAnsi="Arial" w:cs="Arial"/>
          <w:sz w:val="24"/>
          <w:szCs w:val="24"/>
        </w:rPr>
      </w:pPr>
      <w:r w:rsidRPr="00B81993">
        <w:rPr>
          <w:rFonts w:ascii="Arial" w:hAnsi="Arial" w:cs="Arial"/>
          <w:sz w:val="24"/>
          <w:szCs w:val="24"/>
        </w:rPr>
        <w:t>Cause: Limited class time or large student groups.</w:t>
      </w:r>
    </w:p>
    <w:p w14:paraId="39D41DA5" w14:textId="77777777" w:rsidR="00B81993" w:rsidRPr="00B81993" w:rsidRDefault="00B81993" w:rsidP="00B81993">
      <w:pPr>
        <w:numPr>
          <w:ilvl w:val="1"/>
          <w:numId w:val="9"/>
        </w:numPr>
        <w:jc w:val="both"/>
        <w:rPr>
          <w:rFonts w:ascii="Arial" w:hAnsi="Arial" w:cs="Arial"/>
          <w:sz w:val="24"/>
          <w:szCs w:val="24"/>
        </w:rPr>
      </w:pPr>
      <w:r w:rsidRPr="00B81993">
        <w:rPr>
          <w:rFonts w:ascii="Arial" w:hAnsi="Arial" w:cs="Arial"/>
          <w:sz w:val="24"/>
          <w:szCs w:val="24"/>
        </w:rPr>
        <w:t>Solution: Adaptation of activities to fit classroom dynamics.</w:t>
      </w:r>
    </w:p>
    <w:p w14:paraId="198227F3" w14:textId="77777777" w:rsidR="00B81993" w:rsidRPr="00B81993" w:rsidRDefault="00B81993" w:rsidP="00B81993">
      <w:pPr>
        <w:numPr>
          <w:ilvl w:val="0"/>
          <w:numId w:val="9"/>
        </w:numPr>
        <w:jc w:val="both"/>
        <w:rPr>
          <w:rFonts w:ascii="Arial" w:hAnsi="Arial" w:cs="Arial"/>
          <w:sz w:val="24"/>
          <w:szCs w:val="24"/>
        </w:rPr>
      </w:pPr>
      <w:r w:rsidRPr="00B81993">
        <w:rPr>
          <w:rFonts w:ascii="Arial" w:hAnsi="Arial" w:cs="Arial"/>
          <w:b/>
          <w:bCs/>
          <w:sz w:val="24"/>
          <w:szCs w:val="24"/>
        </w:rPr>
        <w:t>Facilitation Skills</w:t>
      </w:r>
    </w:p>
    <w:p w14:paraId="3143430F" w14:textId="77777777" w:rsidR="00B81993" w:rsidRPr="00B81993" w:rsidRDefault="00B81993" w:rsidP="00B81993">
      <w:pPr>
        <w:numPr>
          <w:ilvl w:val="1"/>
          <w:numId w:val="9"/>
        </w:numPr>
        <w:jc w:val="both"/>
        <w:rPr>
          <w:rFonts w:ascii="Arial" w:hAnsi="Arial" w:cs="Arial"/>
          <w:sz w:val="24"/>
          <w:szCs w:val="24"/>
        </w:rPr>
      </w:pPr>
      <w:r w:rsidRPr="00B81993">
        <w:rPr>
          <w:rFonts w:ascii="Arial" w:hAnsi="Arial" w:cs="Arial"/>
          <w:sz w:val="24"/>
          <w:szCs w:val="24"/>
        </w:rPr>
        <w:t>Cause: Educators’ lack of training in experiential methods.</w:t>
      </w:r>
    </w:p>
    <w:p w14:paraId="7C706F9C" w14:textId="77777777" w:rsidR="00B81993" w:rsidRPr="00B81993" w:rsidRDefault="00B81993" w:rsidP="00B81993">
      <w:pPr>
        <w:numPr>
          <w:ilvl w:val="1"/>
          <w:numId w:val="9"/>
        </w:numPr>
        <w:jc w:val="both"/>
        <w:rPr>
          <w:rFonts w:ascii="Arial" w:hAnsi="Arial" w:cs="Arial"/>
          <w:sz w:val="24"/>
          <w:szCs w:val="24"/>
        </w:rPr>
      </w:pPr>
      <w:r w:rsidRPr="00B81993">
        <w:rPr>
          <w:rFonts w:ascii="Arial" w:hAnsi="Arial" w:cs="Arial"/>
          <w:sz w:val="24"/>
          <w:szCs w:val="24"/>
        </w:rPr>
        <w:lastRenderedPageBreak/>
        <w:t>Solution: Professional development and training programs for instructors.</w:t>
      </w:r>
    </w:p>
    <w:p w14:paraId="4F053EB6" w14:textId="77777777" w:rsidR="00FB1F4E" w:rsidRDefault="00FB1F4E" w:rsidP="00B81993">
      <w:pPr>
        <w:jc w:val="both"/>
        <w:rPr>
          <w:rFonts w:ascii="Arial" w:hAnsi="Arial" w:cs="Arial"/>
          <w:b/>
          <w:bCs/>
          <w:sz w:val="24"/>
          <w:szCs w:val="24"/>
        </w:rPr>
      </w:pPr>
    </w:p>
    <w:p w14:paraId="0076B9B9" w14:textId="2D451A0D"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Appendix C: Research Questions</w:t>
      </w:r>
    </w:p>
    <w:p w14:paraId="65BFA008" w14:textId="77777777" w:rsidR="00B81993" w:rsidRPr="00B81993" w:rsidRDefault="00B81993" w:rsidP="00B81993">
      <w:pPr>
        <w:numPr>
          <w:ilvl w:val="0"/>
          <w:numId w:val="10"/>
        </w:numPr>
        <w:jc w:val="both"/>
        <w:rPr>
          <w:rFonts w:ascii="Arial" w:hAnsi="Arial" w:cs="Arial"/>
          <w:sz w:val="24"/>
          <w:szCs w:val="24"/>
        </w:rPr>
      </w:pPr>
      <w:r w:rsidRPr="00B81993">
        <w:rPr>
          <w:rFonts w:ascii="Arial" w:hAnsi="Arial" w:cs="Arial"/>
          <w:sz w:val="24"/>
          <w:szCs w:val="24"/>
        </w:rPr>
        <w:t>How does experiential learning influence student engagement in mindfulness courses?</w:t>
      </w:r>
    </w:p>
    <w:p w14:paraId="036B4B19" w14:textId="77777777" w:rsidR="00B81993" w:rsidRPr="00B81993" w:rsidRDefault="00B81993" w:rsidP="00B81993">
      <w:pPr>
        <w:numPr>
          <w:ilvl w:val="0"/>
          <w:numId w:val="10"/>
        </w:numPr>
        <w:jc w:val="both"/>
        <w:rPr>
          <w:rFonts w:ascii="Arial" w:hAnsi="Arial" w:cs="Arial"/>
          <w:sz w:val="24"/>
          <w:szCs w:val="24"/>
        </w:rPr>
      </w:pPr>
      <w:r w:rsidRPr="00B81993">
        <w:rPr>
          <w:rFonts w:ascii="Arial" w:hAnsi="Arial" w:cs="Arial"/>
          <w:sz w:val="24"/>
          <w:szCs w:val="24"/>
        </w:rPr>
        <w:t>What are the most effective experiential strategies for teaching mindfulness?</w:t>
      </w:r>
    </w:p>
    <w:p w14:paraId="462CA425" w14:textId="77777777" w:rsidR="00B81993" w:rsidRDefault="00B81993" w:rsidP="00B81993">
      <w:pPr>
        <w:numPr>
          <w:ilvl w:val="0"/>
          <w:numId w:val="10"/>
        </w:numPr>
        <w:jc w:val="both"/>
        <w:rPr>
          <w:rFonts w:ascii="Arial" w:hAnsi="Arial" w:cs="Arial"/>
          <w:sz w:val="24"/>
          <w:szCs w:val="24"/>
        </w:rPr>
      </w:pPr>
      <w:r w:rsidRPr="00B81993">
        <w:rPr>
          <w:rFonts w:ascii="Arial" w:hAnsi="Arial" w:cs="Arial"/>
          <w:sz w:val="24"/>
          <w:szCs w:val="24"/>
        </w:rPr>
        <w:t>What challenges and opportunities are associated with implementing experiential learning in mindfulness education?</w:t>
      </w:r>
    </w:p>
    <w:p w14:paraId="5A39F916" w14:textId="77777777" w:rsidR="00E15E17" w:rsidRPr="00B81993" w:rsidRDefault="00E15E17" w:rsidP="00E15E17">
      <w:pPr>
        <w:ind w:left="720"/>
        <w:jc w:val="both"/>
        <w:rPr>
          <w:rFonts w:ascii="Arial" w:hAnsi="Arial" w:cs="Arial"/>
          <w:sz w:val="24"/>
          <w:szCs w:val="24"/>
        </w:rPr>
      </w:pPr>
    </w:p>
    <w:p w14:paraId="39A203C5" w14:textId="77777777" w:rsidR="00B81993" w:rsidRPr="00B81993" w:rsidRDefault="00B81993" w:rsidP="00B81993">
      <w:pPr>
        <w:jc w:val="both"/>
        <w:rPr>
          <w:rFonts w:ascii="Arial" w:hAnsi="Arial" w:cs="Arial"/>
          <w:b/>
          <w:bCs/>
          <w:sz w:val="24"/>
          <w:szCs w:val="24"/>
        </w:rPr>
      </w:pPr>
      <w:r w:rsidRPr="00B81993">
        <w:rPr>
          <w:rFonts w:ascii="Arial" w:hAnsi="Arial" w:cs="Arial"/>
          <w:b/>
          <w:bCs/>
          <w:sz w:val="24"/>
          <w:szCs w:val="24"/>
        </w:rPr>
        <w:t>Appendix D: Key Theories and Models</w:t>
      </w:r>
    </w:p>
    <w:p w14:paraId="17777EBA" w14:textId="77777777" w:rsidR="00B81993" w:rsidRPr="00B81993" w:rsidRDefault="00B81993" w:rsidP="00B81993">
      <w:pPr>
        <w:numPr>
          <w:ilvl w:val="0"/>
          <w:numId w:val="11"/>
        </w:numPr>
        <w:jc w:val="both"/>
        <w:rPr>
          <w:rFonts w:ascii="Arial" w:hAnsi="Arial" w:cs="Arial"/>
          <w:sz w:val="24"/>
          <w:szCs w:val="24"/>
        </w:rPr>
      </w:pPr>
      <w:r w:rsidRPr="00B81993">
        <w:rPr>
          <w:rFonts w:ascii="Arial" w:hAnsi="Arial" w:cs="Arial"/>
          <w:b/>
          <w:bCs/>
          <w:sz w:val="24"/>
          <w:szCs w:val="24"/>
        </w:rPr>
        <w:t>Kolb’s Experiential Learning Cycle</w:t>
      </w:r>
    </w:p>
    <w:p w14:paraId="5E455719" w14:textId="77777777" w:rsidR="00B81993" w:rsidRPr="00B81993" w:rsidRDefault="00B81993" w:rsidP="00B81993">
      <w:pPr>
        <w:numPr>
          <w:ilvl w:val="1"/>
          <w:numId w:val="11"/>
        </w:numPr>
        <w:jc w:val="both"/>
        <w:rPr>
          <w:rFonts w:ascii="Arial" w:hAnsi="Arial" w:cs="Arial"/>
          <w:sz w:val="24"/>
          <w:szCs w:val="24"/>
        </w:rPr>
      </w:pPr>
      <w:r w:rsidRPr="00B81993">
        <w:rPr>
          <w:rFonts w:ascii="Arial" w:hAnsi="Arial" w:cs="Arial"/>
          <w:sz w:val="24"/>
          <w:szCs w:val="24"/>
        </w:rPr>
        <w:t>Stages: Concrete Experience, Reflective Observation, Abstract Conceptualization, Active Experimentation.</w:t>
      </w:r>
    </w:p>
    <w:p w14:paraId="252B3665" w14:textId="77777777" w:rsidR="00B81993" w:rsidRPr="00B81993" w:rsidRDefault="00B81993" w:rsidP="00B81993">
      <w:pPr>
        <w:numPr>
          <w:ilvl w:val="0"/>
          <w:numId w:val="11"/>
        </w:numPr>
        <w:jc w:val="both"/>
        <w:rPr>
          <w:rFonts w:ascii="Arial" w:hAnsi="Arial" w:cs="Arial"/>
          <w:sz w:val="24"/>
          <w:szCs w:val="24"/>
        </w:rPr>
      </w:pPr>
      <w:r w:rsidRPr="00B81993">
        <w:rPr>
          <w:rFonts w:ascii="Arial" w:hAnsi="Arial" w:cs="Arial"/>
          <w:b/>
          <w:bCs/>
          <w:sz w:val="24"/>
          <w:szCs w:val="24"/>
        </w:rPr>
        <w:t>Dewey’s Theory of Experience</w:t>
      </w:r>
    </w:p>
    <w:p w14:paraId="05D29224" w14:textId="77777777" w:rsidR="00B81993" w:rsidRPr="00B81993" w:rsidRDefault="00B81993" w:rsidP="00B81993">
      <w:pPr>
        <w:numPr>
          <w:ilvl w:val="1"/>
          <w:numId w:val="11"/>
        </w:numPr>
        <w:jc w:val="both"/>
        <w:rPr>
          <w:rFonts w:ascii="Arial" w:hAnsi="Arial" w:cs="Arial"/>
          <w:sz w:val="24"/>
          <w:szCs w:val="24"/>
        </w:rPr>
      </w:pPr>
      <w:r w:rsidRPr="00B81993">
        <w:rPr>
          <w:rFonts w:ascii="Arial" w:hAnsi="Arial" w:cs="Arial"/>
          <w:sz w:val="24"/>
          <w:szCs w:val="24"/>
        </w:rPr>
        <w:t>Focus: The interconnectedness of education and experience.</w:t>
      </w:r>
    </w:p>
    <w:p w14:paraId="7A3D338F" w14:textId="77777777" w:rsidR="00B81993" w:rsidRPr="00B81993" w:rsidRDefault="00B81993" w:rsidP="00B81993">
      <w:pPr>
        <w:numPr>
          <w:ilvl w:val="0"/>
          <w:numId w:val="11"/>
        </w:numPr>
        <w:jc w:val="both"/>
        <w:rPr>
          <w:rFonts w:ascii="Arial" w:hAnsi="Arial" w:cs="Arial"/>
          <w:sz w:val="24"/>
          <w:szCs w:val="24"/>
        </w:rPr>
      </w:pPr>
      <w:r w:rsidRPr="00B81993">
        <w:rPr>
          <w:rFonts w:ascii="Arial" w:hAnsi="Arial" w:cs="Arial"/>
          <w:b/>
          <w:bCs/>
          <w:sz w:val="24"/>
          <w:szCs w:val="24"/>
        </w:rPr>
        <w:t>Schön’s Reflective Practitioner Model</w:t>
      </w:r>
    </w:p>
    <w:p w14:paraId="18EFF5E7" w14:textId="77777777" w:rsidR="00B81993" w:rsidRPr="00B81993" w:rsidRDefault="00B81993" w:rsidP="00B81993">
      <w:pPr>
        <w:numPr>
          <w:ilvl w:val="1"/>
          <w:numId w:val="11"/>
        </w:numPr>
        <w:jc w:val="both"/>
        <w:rPr>
          <w:rFonts w:ascii="Arial" w:hAnsi="Arial" w:cs="Arial"/>
          <w:sz w:val="24"/>
          <w:szCs w:val="24"/>
        </w:rPr>
      </w:pPr>
      <w:r w:rsidRPr="00B81993">
        <w:rPr>
          <w:rFonts w:ascii="Arial" w:hAnsi="Arial" w:cs="Arial"/>
          <w:sz w:val="24"/>
          <w:szCs w:val="24"/>
        </w:rPr>
        <w:t>Emphasis: The role of reflection in professional practice and learning.</w:t>
      </w:r>
    </w:p>
    <w:p w14:paraId="3CA90E92" w14:textId="77777777" w:rsidR="008526B8" w:rsidRDefault="008526B8" w:rsidP="004A10EA">
      <w:pPr>
        <w:jc w:val="both"/>
        <w:rPr>
          <w:rFonts w:ascii="Arial" w:hAnsi="Arial" w:cs="Arial"/>
          <w:sz w:val="24"/>
          <w:szCs w:val="24"/>
        </w:rPr>
      </w:pPr>
    </w:p>
    <w:p w14:paraId="00D05589" w14:textId="77777777" w:rsidR="008526B8" w:rsidRDefault="008526B8" w:rsidP="004A10EA">
      <w:pPr>
        <w:jc w:val="both"/>
        <w:rPr>
          <w:rFonts w:ascii="Arial" w:hAnsi="Arial" w:cs="Arial"/>
          <w:sz w:val="24"/>
          <w:szCs w:val="24"/>
        </w:rPr>
      </w:pPr>
    </w:p>
    <w:p w14:paraId="40E57E14" w14:textId="77777777" w:rsidR="008526B8" w:rsidRDefault="008526B8" w:rsidP="004A10EA">
      <w:pPr>
        <w:jc w:val="both"/>
        <w:rPr>
          <w:rFonts w:ascii="Arial" w:hAnsi="Arial" w:cs="Arial"/>
          <w:sz w:val="24"/>
          <w:szCs w:val="24"/>
        </w:rPr>
      </w:pPr>
    </w:p>
    <w:p w14:paraId="0E425BCA" w14:textId="77777777" w:rsidR="00E15E17" w:rsidRDefault="00E15E17" w:rsidP="004A10EA">
      <w:pPr>
        <w:jc w:val="both"/>
        <w:rPr>
          <w:rFonts w:ascii="Arial" w:hAnsi="Arial" w:cs="Arial"/>
          <w:sz w:val="24"/>
          <w:szCs w:val="24"/>
        </w:rPr>
      </w:pPr>
    </w:p>
    <w:p w14:paraId="6ECB55A0" w14:textId="77777777" w:rsidR="00E15E17" w:rsidRDefault="00E15E17" w:rsidP="004A10EA">
      <w:pPr>
        <w:jc w:val="both"/>
        <w:rPr>
          <w:rFonts w:ascii="Arial" w:hAnsi="Arial" w:cs="Arial"/>
          <w:sz w:val="24"/>
          <w:szCs w:val="24"/>
        </w:rPr>
      </w:pPr>
    </w:p>
    <w:p w14:paraId="7A2AC159" w14:textId="77777777" w:rsidR="00E15E17" w:rsidRDefault="00E15E17" w:rsidP="004A10EA">
      <w:pPr>
        <w:jc w:val="both"/>
        <w:rPr>
          <w:rFonts w:ascii="Arial" w:hAnsi="Arial" w:cs="Arial"/>
          <w:sz w:val="24"/>
          <w:szCs w:val="24"/>
        </w:rPr>
      </w:pPr>
    </w:p>
    <w:p w14:paraId="54ED1E51" w14:textId="77777777" w:rsidR="00E15E17" w:rsidRDefault="00E15E17" w:rsidP="004A10EA">
      <w:pPr>
        <w:jc w:val="both"/>
        <w:rPr>
          <w:rFonts w:ascii="Arial" w:hAnsi="Arial" w:cs="Arial"/>
          <w:sz w:val="24"/>
          <w:szCs w:val="24"/>
        </w:rPr>
      </w:pPr>
    </w:p>
    <w:p w14:paraId="212426A1" w14:textId="77777777" w:rsidR="00E15E17" w:rsidRDefault="00E15E17" w:rsidP="004A10EA">
      <w:pPr>
        <w:jc w:val="both"/>
        <w:rPr>
          <w:rFonts w:ascii="Arial" w:hAnsi="Arial" w:cs="Arial"/>
          <w:sz w:val="24"/>
          <w:szCs w:val="24"/>
        </w:rPr>
      </w:pPr>
    </w:p>
    <w:p w14:paraId="0208E7BB" w14:textId="77777777" w:rsidR="00E15E17" w:rsidRDefault="00E15E17" w:rsidP="004A10EA">
      <w:pPr>
        <w:jc w:val="both"/>
        <w:rPr>
          <w:rFonts w:ascii="Arial" w:hAnsi="Arial" w:cs="Arial"/>
          <w:sz w:val="24"/>
          <w:szCs w:val="24"/>
        </w:rPr>
      </w:pPr>
    </w:p>
    <w:p w14:paraId="063FD757" w14:textId="77777777" w:rsidR="00E15E17" w:rsidRDefault="00E15E17" w:rsidP="004A10EA">
      <w:pPr>
        <w:jc w:val="both"/>
        <w:rPr>
          <w:rFonts w:ascii="Arial" w:hAnsi="Arial" w:cs="Arial"/>
          <w:sz w:val="24"/>
          <w:szCs w:val="24"/>
        </w:rPr>
      </w:pPr>
    </w:p>
    <w:p w14:paraId="37C595A3" w14:textId="77777777" w:rsidR="00E15E17" w:rsidRDefault="00E15E17" w:rsidP="004A10EA">
      <w:pPr>
        <w:jc w:val="both"/>
        <w:rPr>
          <w:rFonts w:ascii="Arial" w:hAnsi="Arial" w:cs="Arial"/>
          <w:sz w:val="24"/>
          <w:szCs w:val="24"/>
        </w:rPr>
      </w:pPr>
    </w:p>
    <w:p w14:paraId="55B98213" w14:textId="77777777" w:rsidR="00E15E17" w:rsidRDefault="00E15E17" w:rsidP="004A10EA">
      <w:pPr>
        <w:jc w:val="both"/>
        <w:rPr>
          <w:rFonts w:ascii="Arial" w:hAnsi="Arial" w:cs="Arial"/>
          <w:sz w:val="24"/>
          <w:szCs w:val="24"/>
        </w:rPr>
      </w:pPr>
    </w:p>
    <w:p w14:paraId="06AA9E09" w14:textId="77777777" w:rsidR="00E15E17" w:rsidRDefault="00E15E17" w:rsidP="004A10EA">
      <w:pPr>
        <w:jc w:val="both"/>
        <w:rPr>
          <w:rFonts w:ascii="Arial" w:hAnsi="Arial" w:cs="Arial"/>
          <w:sz w:val="24"/>
          <w:szCs w:val="24"/>
        </w:rPr>
      </w:pPr>
    </w:p>
    <w:p w14:paraId="187448E6" w14:textId="77777777" w:rsidR="00E15E17" w:rsidRDefault="00E15E17" w:rsidP="004A10EA">
      <w:pPr>
        <w:jc w:val="both"/>
        <w:rPr>
          <w:rFonts w:ascii="Arial" w:hAnsi="Arial" w:cs="Arial"/>
          <w:sz w:val="24"/>
          <w:szCs w:val="24"/>
        </w:rPr>
      </w:pPr>
    </w:p>
    <w:p w14:paraId="42CD2BA2" w14:textId="77777777" w:rsidR="00E15E17" w:rsidRDefault="00E15E17" w:rsidP="004A10EA">
      <w:pPr>
        <w:jc w:val="both"/>
        <w:rPr>
          <w:rFonts w:ascii="Arial" w:hAnsi="Arial" w:cs="Arial"/>
          <w:sz w:val="24"/>
          <w:szCs w:val="24"/>
        </w:rPr>
      </w:pPr>
    </w:p>
    <w:p w14:paraId="2F4434B7" w14:textId="401D658A" w:rsidR="008526B8" w:rsidRDefault="008526B8" w:rsidP="004A10EA">
      <w:pPr>
        <w:jc w:val="both"/>
        <w:rPr>
          <w:rFonts w:ascii="Arial" w:hAnsi="Arial" w:cs="Arial"/>
          <w:sz w:val="24"/>
          <w:szCs w:val="24"/>
        </w:rPr>
      </w:pPr>
      <w:r>
        <w:rPr>
          <w:rFonts w:ascii="Arial" w:hAnsi="Arial" w:cs="Arial"/>
          <w:sz w:val="24"/>
          <w:szCs w:val="24"/>
        </w:rPr>
        <w:t xml:space="preserve">Reference list </w:t>
      </w:r>
    </w:p>
    <w:p w14:paraId="7F549DC4" w14:textId="0A79D306" w:rsidR="008526B8" w:rsidRPr="008526B8" w:rsidRDefault="008526B8" w:rsidP="008526B8">
      <w:pPr>
        <w:jc w:val="both"/>
        <w:rPr>
          <w:rFonts w:ascii="Arial" w:hAnsi="Arial" w:cs="Arial"/>
          <w:b/>
          <w:bCs/>
          <w:sz w:val="24"/>
          <w:szCs w:val="24"/>
        </w:rPr>
      </w:pPr>
    </w:p>
    <w:p w14:paraId="03FC4556"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Baer, R. A. (2003). Mindfulness Training as a Clinical Intervention: A Conceptual and Empirical Review. </w:t>
      </w:r>
      <w:r w:rsidRPr="006355DC">
        <w:rPr>
          <w:rFonts w:ascii="Arial" w:hAnsi="Arial" w:cs="Arial"/>
          <w:i/>
          <w:iCs/>
          <w:sz w:val="24"/>
          <w:szCs w:val="24"/>
        </w:rPr>
        <w:t>Clinical Psychology: Science and Practice, 10</w:t>
      </w:r>
      <w:r w:rsidRPr="006355DC">
        <w:rPr>
          <w:rFonts w:ascii="Arial" w:hAnsi="Arial" w:cs="Arial"/>
          <w:sz w:val="24"/>
          <w:szCs w:val="24"/>
        </w:rPr>
        <w:t>(2), 125–143.</w:t>
      </w:r>
    </w:p>
    <w:p w14:paraId="7FFCAA69"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Beard, C., &amp; Wilson, J. P. (2013). </w:t>
      </w:r>
      <w:r w:rsidRPr="006355DC">
        <w:rPr>
          <w:rFonts w:ascii="Arial" w:hAnsi="Arial" w:cs="Arial"/>
          <w:i/>
          <w:iCs/>
          <w:sz w:val="24"/>
          <w:szCs w:val="24"/>
        </w:rPr>
        <w:t>Experiential Learning: A Handbook for Education, Training and Coaching.</w:t>
      </w:r>
      <w:r w:rsidRPr="006355DC">
        <w:rPr>
          <w:rFonts w:ascii="Arial" w:hAnsi="Arial" w:cs="Arial"/>
          <w:sz w:val="24"/>
          <w:szCs w:val="24"/>
        </w:rPr>
        <w:t xml:space="preserve"> Kogan Page.</w:t>
      </w:r>
    </w:p>
    <w:p w14:paraId="1B228ADD"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Bishop, S. R., Lau, M., Shapiro, S., Carlson, L., Anderson, N. D., &amp; Carmody, J. (2004). Mindfulness: A Proposed Operational Definition. </w:t>
      </w:r>
      <w:r w:rsidRPr="006355DC">
        <w:rPr>
          <w:rFonts w:ascii="Arial" w:hAnsi="Arial" w:cs="Arial"/>
          <w:i/>
          <w:iCs/>
          <w:sz w:val="24"/>
          <w:szCs w:val="24"/>
        </w:rPr>
        <w:t>Clinical Psychology: Science and Practice, 11</w:t>
      </w:r>
      <w:r w:rsidRPr="006355DC">
        <w:rPr>
          <w:rFonts w:ascii="Arial" w:hAnsi="Arial" w:cs="Arial"/>
          <w:sz w:val="24"/>
          <w:szCs w:val="24"/>
        </w:rPr>
        <w:t>(3), 230–241.</w:t>
      </w:r>
    </w:p>
    <w:p w14:paraId="1735F88F"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Brown, K. W., Ryan, R. M., &amp; Creswell, J. D. (2007). Mindfulness: Theoretical Foundations and Evidence for Its Salutary Effects. </w:t>
      </w:r>
      <w:r w:rsidRPr="006355DC">
        <w:rPr>
          <w:rFonts w:ascii="Arial" w:hAnsi="Arial" w:cs="Arial"/>
          <w:i/>
          <w:iCs/>
          <w:sz w:val="24"/>
          <w:szCs w:val="24"/>
        </w:rPr>
        <w:t>Psychological Inquiry, 18</w:t>
      </w:r>
      <w:r w:rsidRPr="006355DC">
        <w:rPr>
          <w:rFonts w:ascii="Arial" w:hAnsi="Arial" w:cs="Arial"/>
          <w:sz w:val="24"/>
          <w:szCs w:val="24"/>
        </w:rPr>
        <w:t>(4), 211–237.</w:t>
      </w:r>
    </w:p>
    <w:p w14:paraId="0C8D493D"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Davidson, R. J., &amp; </w:t>
      </w:r>
      <w:proofErr w:type="spellStart"/>
      <w:r w:rsidRPr="006355DC">
        <w:rPr>
          <w:rFonts w:ascii="Arial" w:hAnsi="Arial" w:cs="Arial"/>
          <w:sz w:val="24"/>
          <w:szCs w:val="24"/>
        </w:rPr>
        <w:t>Kaszniak</w:t>
      </w:r>
      <w:proofErr w:type="spellEnd"/>
      <w:r w:rsidRPr="006355DC">
        <w:rPr>
          <w:rFonts w:ascii="Arial" w:hAnsi="Arial" w:cs="Arial"/>
          <w:sz w:val="24"/>
          <w:szCs w:val="24"/>
        </w:rPr>
        <w:t xml:space="preserve">, A. W. (2015). Conceptual and Methodological Issues in Research on Mindfulness and Meditation. </w:t>
      </w:r>
      <w:r w:rsidRPr="006355DC">
        <w:rPr>
          <w:rFonts w:ascii="Arial" w:hAnsi="Arial" w:cs="Arial"/>
          <w:i/>
          <w:iCs/>
          <w:sz w:val="24"/>
          <w:szCs w:val="24"/>
        </w:rPr>
        <w:t>American Psychologist, 70</w:t>
      </w:r>
      <w:r w:rsidRPr="006355DC">
        <w:rPr>
          <w:rFonts w:ascii="Arial" w:hAnsi="Arial" w:cs="Arial"/>
          <w:sz w:val="24"/>
          <w:szCs w:val="24"/>
        </w:rPr>
        <w:t>(7), 581–592.</w:t>
      </w:r>
    </w:p>
    <w:p w14:paraId="233F60FC"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Dewey, J. (1938). </w:t>
      </w:r>
      <w:r w:rsidRPr="006355DC">
        <w:rPr>
          <w:rFonts w:ascii="Arial" w:hAnsi="Arial" w:cs="Arial"/>
          <w:i/>
          <w:iCs/>
          <w:sz w:val="24"/>
          <w:szCs w:val="24"/>
        </w:rPr>
        <w:t>Experience and Education.</w:t>
      </w:r>
      <w:r w:rsidRPr="006355DC">
        <w:rPr>
          <w:rFonts w:ascii="Arial" w:hAnsi="Arial" w:cs="Arial"/>
          <w:sz w:val="24"/>
          <w:szCs w:val="24"/>
        </w:rPr>
        <w:t xml:space="preserve"> Macmillan.</w:t>
      </w:r>
    </w:p>
    <w:p w14:paraId="51786363"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Hölzel, B. K., Carmody, J., Evans, K. C., Hoge, E. A., Dusek, J. A., Morgan, L., &amp; Lazar, S. W. (2011). Stress Reduction Correlates with Structural Changes in the Amygdala. </w:t>
      </w:r>
      <w:r w:rsidRPr="006355DC">
        <w:rPr>
          <w:rFonts w:ascii="Arial" w:hAnsi="Arial" w:cs="Arial"/>
          <w:i/>
          <w:iCs/>
          <w:sz w:val="24"/>
          <w:szCs w:val="24"/>
        </w:rPr>
        <w:t>Social Cognitive and Affective Neuroscience, 5</w:t>
      </w:r>
      <w:r w:rsidRPr="006355DC">
        <w:rPr>
          <w:rFonts w:ascii="Arial" w:hAnsi="Arial" w:cs="Arial"/>
          <w:sz w:val="24"/>
          <w:szCs w:val="24"/>
        </w:rPr>
        <w:t>(1), 11–17.</w:t>
      </w:r>
    </w:p>
    <w:p w14:paraId="12899D84"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Howells, A., </w:t>
      </w:r>
      <w:proofErr w:type="spellStart"/>
      <w:r w:rsidRPr="006355DC">
        <w:rPr>
          <w:rFonts w:ascii="Arial" w:hAnsi="Arial" w:cs="Arial"/>
          <w:sz w:val="24"/>
          <w:szCs w:val="24"/>
        </w:rPr>
        <w:t>Ivtzan</w:t>
      </w:r>
      <w:proofErr w:type="spellEnd"/>
      <w:r w:rsidRPr="006355DC">
        <w:rPr>
          <w:rFonts w:ascii="Arial" w:hAnsi="Arial" w:cs="Arial"/>
          <w:sz w:val="24"/>
          <w:szCs w:val="24"/>
        </w:rPr>
        <w:t xml:space="preserve">, I., &amp; Eiroa-Orosa, F. J. (2016). Putting the ‘App’ in Happiness: A Randomised Controlled Trial of a Smartphone-Based Mindfulness Intervention to Enhance Well-Being. </w:t>
      </w:r>
      <w:r w:rsidRPr="006355DC">
        <w:rPr>
          <w:rFonts w:ascii="Arial" w:hAnsi="Arial" w:cs="Arial"/>
          <w:i/>
          <w:iCs/>
          <w:sz w:val="24"/>
          <w:szCs w:val="24"/>
        </w:rPr>
        <w:t>Journal of Happiness Studies, 17</w:t>
      </w:r>
      <w:r w:rsidRPr="006355DC">
        <w:rPr>
          <w:rFonts w:ascii="Arial" w:hAnsi="Arial" w:cs="Arial"/>
          <w:sz w:val="24"/>
          <w:szCs w:val="24"/>
        </w:rPr>
        <w:t>(1), 163–185. https://doi.org/10.1007/s10902-014-9589-1</w:t>
      </w:r>
    </w:p>
    <w:p w14:paraId="446C8E8B"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Jennings, P. A., Frank, J. L., </w:t>
      </w:r>
      <w:proofErr w:type="spellStart"/>
      <w:r w:rsidRPr="006355DC">
        <w:rPr>
          <w:rFonts w:ascii="Arial" w:hAnsi="Arial" w:cs="Arial"/>
          <w:sz w:val="24"/>
          <w:szCs w:val="24"/>
        </w:rPr>
        <w:t>Snowberg</w:t>
      </w:r>
      <w:proofErr w:type="spellEnd"/>
      <w:r w:rsidRPr="006355DC">
        <w:rPr>
          <w:rFonts w:ascii="Arial" w:hAnsi="Arial" w:cs="Arial"/>
          <w:sz w:val="24"/>
          <w:szCs w:val="24"/>
        </w:rPr>
        <w:t xml:space="preserve">, K. E., Coccia, M. A., &amp; Greenberg, M. T. (2013). Improving Classroom Learning Environments by Cultivating Awareness and Resilience in Education (CARE): Results of a Randomized Controlled Trial. </w:t>
      </w:r>
      <w:r w:rsidRPr="006355DC">
        <w:rPr>
          <w:rFonts w:ascii="Arial" w:hAnsi="Arial" w:cs="Arial"/>
          <w:i/>
          <w:iCs/>
          <w:sz w:val="24"/>
          <w:szCs w:val="24"/>
        </w:rPr>
        <w:t>School Psychology Quarterly, 28</w:t>
      </w:r>
      <w:r w:rsidRPr="006355DC">
        <w:rPr>
          <w:rFonts w:ascii="Arial" w:hAnsi="Arial" w:cs="Arial"/>
          <w:sz w:val="24"/>
          <w:szCs w:val="24"/>
        </w:rPr>
        <w:t>(4), 374–390.</w:t>
      </w:r>
    </w:p>
    <w:p w14:paraId="13A5502D"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Kabat-Zinn, J. (2003). Mindfulness-Based Interventions in Context: Past, Present, and Future. </w:t>
      </w:r>
      <w:r w:rsidRPr="006355DC">
        <w:rPr>
          <w:rFonts w:ascii="Arial" w:hAnsi="Arial" w:cs="Arial"/>
          <w:i/>
          <w:iCs/>
          <w:sz w:val="24"/>
          <w:szCs w:val="24"/>
        </w:rPr>
        <w:t>Clinical Psychology: Science and Practice, 10</w:t>
      </w:r>
      <w:r w:rsidRPr="006355DC">
        <w:rPr>
          <w:rFonts w:ascii="Arial" w:hAnsi="Arial" w:cs="Arial"/>
          <w:sz w:val="24"/>
          <w:szCs w:val="24"/>
        </w:rPr>
        <w:t>(2), 144–156.</w:t>
      </w:r>
    </w:p>
    <w:p w14:paraId="4801947B"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Kolb, D. A. (1984). </w:t>
      </w:r>
      <w:r w:rsidRPr="006355DC">
        <w:rPr>
          <w:rFonts w:ascii="Arial" w:hAnsi="Arial" w:cs="Arial"/>
          <w:i/>
          <w:iCs/>
          <w:sz w:val="24"/>
          <w:szCs w:val="24"/>
        </w:rPr>
        <w:t>Experiential Learning: Experience as the Source of Learning and Development.</w:t>
      </w:r>
      <w:r w:rsidRPr="006355DC">
        <w:rPr>
          <w:rFonts w:ascii="Arial" w:hAnsi="Arial" w:cs="Arial"/>
          <w:sz w:val="24"/>
          <w:szCs w:val="24"/>
        </w:rPr>
        <w:t xml:space="preserve"> Prentice Hall.</w:t>
      </w:r>
    </w:p>
    <w:p w14:paraId="7FAA0D1E"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Moon, J. (1999). </w:t>
      </w:r>
      <w:r w:rsidRPr="006355DC">
        <w:rPr>
          <w:rFonts w:ascii="Arial" w:hAnsi="Arial" w:cs="Arial"/>
          <w:i/>
          <w:iCs/>
          <w:sz w:val="24"/>
          <w:szCs w:val="24"/>
        </w:rPr>
        <w:t>Reflection in Learning and Professional Development: Theory and Practice.</w:t>
      </w:r>
      <w:r w:rsidRPr="006355DC">
        <w:rPr>
          <w:rFonts w:ascii="Arial" w:hAnsi="Arial" w:cs="Arial"/>
          <w:sz w:val="24"/>
          <w:szCs w:val="24"/>
        </w:rPr>
        <w:t xml:space="preserve"> Routledge.</w:t>
      </w:r>
    </w:p>
    <w:p w14:paraId="39C64151"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Riva, G., Baños, R. M., Botella, C., Wiederhold, B. K., &amp; </w:t>
      </w:r>
      <w:proofErr w:type="spellStart"/>
      <w:r w:rsidRPr="006355DC">
        <w:rPr>
          <w:rFonts w:ascii="Arial" w:hAnsi="Arial" w:cs="Arial"/>
          <w:sz w:val="24"/>
          <w:szCs w:val="24"/>
        </w:rPr>
        <w:t>Gaggioli</w:t>
      </w:r>
      <w:proofErr w:type="spellEnd"/>
      <w:r w:rsidRPr="006355DC">
        <w:rPr>
          <w:rFonts w:ascii="Arial" w:hAnsi="Arial" w:cs="Arial"/>
          <w:sz w:val="24"/>
          <w:szCs w:val="24"/>
        </w:rPr>
        <w:t xml:space="preserve">, A. (2016). Virtual Reality in the Assessment and Treatment of Clinical Disorders: A Review </w:t>
      </w:r>
      <w:r w:rsidRPr="006355DC">
        <w:rPr>
          <w:rFonts w:ascii="Arial" w:hAnsi="Arial" w:cs="Arial"/>
          <w:sz w:val="24"/>
          <w:szCs w:val="24"/>
        </w:rPr>
        <w:lastRenderedPageBreak/>
        <w:t xml:space="preserve">of Its Current Status and Future Directions. </w:t>
      </w:r>
      <w:r w:rsidRPr="006355DC">
        <w:rPr>
          <w:rFonts w:ascii="Arial" w:hAnsi="Arial" w:cs="Arial"/>
          <w:i/>
          <w:iCs/>
          <w:sz w:val="24"/>
          <w:szCs w:val="24"/>
        </w:rPr>
        <w:t>Clinical Psychology Review, 44</w:t>
      </w:r>
      <w:r w:rsidRPr="006355DC">
        <w:rPr>
          <w:rFonts w:ascii="Arial" w:hAnsi="Arial" w:cs="Arial"/>
          <w:sz w:val="24"/>
          <w:szCs w:val="24"/>
        </w:rPr>
        <w:t>, 33–48. https://doi.org/10.1016/j.cpr.2015.12.004</w:t>
      </w:r>
    </w:p>
    <w:p w14:paraId="05C49F5D"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Schön, D. A. (1983). </w:t>
      </w:r>
      <w:r w:rsidRPr="006355DC">
        <w:rPr>
          <w:rFonts w:ascii="Arial" w:hAnsi="Arial" w:cs="Arial"/>
          <w:i/>
          <w:iCs/>
          <w:sz w:val="24"/>
          <w:szCs w:val="24"/>
        </w:rPr>
        <w:t>The Reflective Practitioner: How Professionals Think in Action.</w:t>
      </w:r>
      <w:r w:rsidRPr="006355DC">
        <w:rPr>
          <w:rFonts w:ascii="Arial" w:hAnsi="Arial" w:cs="Arial"/>
          <w:sz w:val="24"/>
          <w:szCs w:val="24"/>
        </w:rPr>
        <w:t xml:space="preserve"> Basic Books.</w:t>
      </w:r>
    </w:p>
    <w:p w14:paraId="63226B94"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Segal, Z. V., Williams, J. M. G., &amp; Teasdale, J. D. (2002). </w:t>
      </w:r>
      <w:r w:rsidRPr="006355DC">
        <w:rPr>
          <w:rFonts w:ascii="Arial" w:hAnsi="Arial" w:cs="Arial"/>
          <w:i/>
          <w:iCs/>
          <w:sz w:val="24"/>
          <w:szCs w:val="24"/>
        </w:rPr>
        <w:t>Mindfulness-Based Cognitive Therapy for Depression: A New Approach to Preventing Relapse.</w:t>
      </w:r>
      <w:r w:rsidRPr="006355DC">
        <w:rPr>
          <w:rFonts w:ascii="Arial" w:hAnsi="Arial" w:cs="Arial"/>
          <w:sz w:val="24"/>
          <w:szCs w:val="24"/>
        </w:rPr>
        <w:t xml:space="preserve"> Guilford Press.</w:t>
      </w:r>
    </w:p>
    <w:p w14:paraId="3A8600D5" w14:textId="77777777" w:rsidR="006355DC" w:rsidRPr="006355DC" w:rsidRDefault="006355DC" w:rsidP="006355DC">
      <w:pPr>
        <w:numPr>
          <w:ilvl w:val="0"/>
          <w:numId w:val="15"/>
        </w:numPr>
        <w:jc w:val="both"/>
        <w:rPr>
          <w:rFonts w:ascii="Arial" w:hAnsi="Arial" w:cs="Arial"/>
          <w:sz w:val="24"/>
          <w:szCs w:val="24"/>
        </w:rPr>
      </w:pPr>
      <w:r w:rsidRPr="006355DC">
        <w:rPr>
          <w:rFonts w:ascii="Arial" w:hAnsi="Arial" w:cs="Arial"/>
          <w:sz w:val="24"/>
          <w:szCs w:val="24"/>
        </w:rPr>
        <w:t xml:space="preserve">Shapiro, S. L., Carlson, L. E., Astin, J. A., &amp; Freedman, B. (2006). Mechanisms of Mindfulness. </w:t>
      </w:r>
      <w:r w:rsidRPr="006355DC">
        <w:rPr>
          <w:rFonts w:ascii="Arial" w:hAnsi="Arial" w:cs="Arial"/>
          <w:i/>
          <w:iCs/>
          <w:sz w:val="24"/>
          <w:szCs w:val="24"/>
        </w:rPr>
        <w:t>Journal of Clinical Psychology, 62</w:t>
      </w:r>
      <w:r w:rsidRPr="006355DC">
        <w:rPr>
          <w:rFonts w:ascii="Arial" w:hAnsi="Arial" w:cs="Arial"/>
          <w:sz w:val="24"/>
          <w:szCs w:val="24"/>
        </w:rPr>
        <w:t>(3), 373–386.</w:t>
      </w:r>
    </w:p>
    <w:p w14:paraId="6AA57E4A" w14:textId="77777777" w:rsidR="006355DC" w:rsidRPr="008526B8" w:rsidRDefault="006355DC" w:rsidP="008526B8">
      <w:pPr>
        <w:jc w:val="both"/>
        <w:rPr>
          <w:rFonts w:ascii="Arial" w:hAnsi="Arial" w:cs="Arial"/>
          <w:sz w:val="24"/>
          <w:szCs w:val="24"/>
        </w:rPr>
      </w:pPr>
    </w:p>
    <w:p w14:paraId="73DFA035" w14:textId="77777777" w:rsidR="008526B8" w:rsidRDefault="008526B8" w:rsidP="004A10EA">
      <w:pPr>
        <w:jc w:val="both"/>
        <w:rPr>
          <w:rFonts w:ascii="Arial" w:hAnsi="Arial" w:cs="Arial"/>
          <w:sz w:val="24"/>
          <w:szCs w:val="24"/>
        </w:rPr>
      </w:pPr>
    </w:p>
    <w:p w14:paraId="614A13AF" w14:textId="77777777" w:rsidR="004A10EA" w:rsidRDefault="004A10EA"/>
    <w:sectPr w:rsidR="004A10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1756F"/>
    <w:multiLevelType w:val="multilevel"/>
    <w:tmpl w:val="D5024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1C44C5"/>
    <w:multiLevelType w:val="multilevel"/>
    <w:tmpl w:val="FC641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7773A6"/>
    <w:multiLevelType w:val="multilevel"/>
    <w:tmpl w:val="CB287A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D43A90"/>
    <w:multiLevelType w:val="multilevel"/>
    <w:tmpl w:val="BD0AB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6C2A5F"/>
    <w:multiLevelType w:val="multilevel"/>
    <w:tmpl w:val="683E8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9F4DE2"/>
    <w:multiLevelType w:val="multilevel"/>
    <w:tmpl w:val="5B66F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532428"/>
    <w:multiLevelType w:val="multilevel"/>
    <w:tmpl w:val="ABC425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497E2F"/>
    <w:multiLevelType w:val="multilevel"/>
    <w:tmpl w:val="5FE8B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3A14C0"/>
    <w:multiLevelType w:val="multilevel"/>
    <w:tmpl w:val="58147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C8366C"/>
    <w:multiLevelType w:val="multilevel"/>
    <w:tmpl w:val="FAF298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050CD3"/>
    <w:multiLevelType w:val="hybridMultilevel"/>
    <w:tmpl w:val="6304F2A8"/>
    <w:lvl w:ilvl="0" w:tplc="C8B8D7AC">
      <w:start w:val="1"/>
      <w:numFmt w:val="bullet"/>
      <w:lvlText w:val=""/>
      <w:lvlJc w:val="left"/>
      <w:pPr>
        <w:ind w:left="720" w:hanging="360"/>
      </w:pPr>
      <w:rPr>
        <w:rFonts w:ascii="Symbol" w:hAnsi="Symbol" w:hint="default"/>
      </w:rPr>
    </w:lvl>
    <w:lvl w:ilvl="1" w:tplc="70586312">
      <w:start w:val="1"/>
      <w:numFmt w:val="bullet"/>
      <w:lvlText w:val="o"/>
      <w:lvlJc w:val="left"/>
      <w:pPr>
        <w:ind w:left="1440" w:hanging="360"/>
      </w:pPr>
      <w:rPr>
        <w:rFonts w:ascii="Courier New" w:hAnsi="Courier New" w:hint="default"/>
      </w:rPr>
    </w:lvl>
    <w:lvl w:ilvl="2" w:tplc="2A52EA02">
      <w:start w:val="1"/>
      <w:numFmt w:val="bullet"/>
      <w:lvlText w:val=""/>
      <w:lvlJc w:val="left"/>
      <w:pPr>
        <w:ind w:left="2160" w:hanging="360"/>
      </w:pPr>
      <w:rPr>
        <w:rFonts w:ascii="Wingdings" w:hAnsi="Wingdings" w:hint="default"/>
      </w:rPr>
    </w:lvl>
    <w:lvl w:ilvl="3" w:tplc="FB6E6428">
      <w:start w:val="1"/>
      <w:numFmt w:val="bullet"/>
      <w:lvlText w:val=""/>
      <w:lvlJc w:val="left"/>
      <w:pPr>
        <w:ind w:left="2880" w:hanging="360"/>
      </w:pPr>
      <w:rPr>
        <w:rFonts w:ascii="Symbol" w:hAnsi="Symbol" w:hint="default"/>
      </w:rPr>
    </w:lvl>
    <w:lvl w:ilvl="4" w:tplc="BEA0B86A">
      <w:start w:val="1"/>
      <w:numFmt w:val="bullet"/>
      <w:lvlText w:val="o"/>
      <w:lvlJc w:val="left"/>
      <w:pPr>
        <w:ind w:left="3600" w:hanging="360"/>
      </w:pPr>
      <w:rPr>
        <w:rFonts w:ascii="Courier New" w:hAnsi="Courier New" w:hint="default"/>
      </w:rPr>
    </w:lvl>
    <w:lvl w:ilvl="5" w:tplc="56AED0A0">
      <w:start w:val="1"/>
      <w:numFmt w:val="bullet"/>
      <w:lvlText w:val=""/>
      <w:lvlJc w:val="left"/>
      <w:pPr>
        <w:ind w:left="4320" w:hanging="360"/>
      </w:pPr>
      <w:rPr>
        <w:rFonts w:ascii="Wingdings" w:hAnsi="Wingdings" w:hint="default"/>
      </w:rPr>
    </w:lvl>
    <w:lvl w:ilvl="6" w:tplc="39CEF146">
      <w:start w:val="1"/>
      <w:numFmt w:val="bullet"/>
      <w:lvlText w:val=""/>
      <w:lvlJc w:val="left"/>
      <w:pPr>
        <w:ind w:left="5040" w:hanging="360"/>
      </w:pPr>
      <w:rPr>
        <w:rFonts w:ascii="Symbol" w:hAnsi="Symbol" w:hint="default"/>
      </w:rPr>
    </w:lvl>
    <w:lvl w:ilvl="7" w:tplc="A3660CA4">
      <w:start w:val="1"/>
      <w:numFmt w:val="bullet"/>
      <w:lvlText w:val="o"/>
      <w:lvlJc w:val="left"/>
      <w:pPr>
        <w:ind w:left="5760" w:hanging="360"/>
      </w:pPr>
      <w:rPr>
        <w:rFonts w:ascii="Courier New" w:hAnsi="Courier New" w:hint="default"/>
      </w:rPr>
    </w:lvl>
    <w:lvl w:ilvl="8" w:tplc="47F61DA4">
      <w:start w:val="1"/>
      <w:numFmt w:val="bullet"/>
      <w:lvlText w:val=""/>
      <w:lvlJc w:val="left"/>
      <w:pPr>
        <w:ind w:left="6480" w:hanging="360"/>
      </w:pPr>
      <w:rPr>
        <w:rFonts w:ascii="Wingdings" w:hAnsi="Wingdings" w:hint="default"/>
      </w:rPr>
    </w:lvl>
  </w:abstractNum>
  <w:abstractNum w:abstractNumId="11" w15:restartNumberingAfterBreak="0">
    <w:nsid w:val="6AF92DA1"/>
    <w:multiLevelType w:val="multilevel"/>
    <w:tmpl w:val="48600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A919EF"/>
    <w:multiLevelType w:val="multilevel"/>
    <w:tmpl w:val="58865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4" w15:restartNumberingAfterBreak="0">
    <w:nsid w:val="7A6B3C41"/>
    <w:multiLevelType w:val="multilevel"/>
    <w:tmpl w:val="9EA49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9402158">
    <w:abstractNumId w:val="10"/>
  </w:num>
  <w:num w:numId="2" w16cid:durableId="899557018">
    <w:abstractNumId w:val="13"/>
  </w:num>
  <w:num w:numId="3" w16cid:durableId="1242452268">
    <w:abstractNumId w:val="11"/>
  </w:num>
  <w:num w:numId="4" w16cid:durableId="757143393">
    <w:abstractNumId w:val="7"/>
  </w:num>
  <w:num w:numId="5" w16cid:durableId="1171987175">
    <w:abstractNumId w:val="1"/>
  </w:num>
  <w:num w:numId="6" w16cid:durableId="1799906870">
    <w:abstractNumId w:val="5"/>
  </w:num>
  <w:num w:numId="7" w16cid:durableId="1540627542">
    <w:abstractNumId w:val="0"/>
  </w:num>
  <w:num w:numId="8" w16cid:durableId="1447113432">
    <w:abstractNumId w:val="9"/>
  </w:num>
  <w:num w:numId="9" w16cid:durableId="633564898">
    <w:abstractNumId w:val="6"/>
  </w:num>
  <w:num w:numId="10" w16cid:durableId="1751152064">
    <w:abstractNumId w:val="3"/>
  </w:num>
  <w:num w:numId="11" w16cid:durableId="1828667688">
    <w:abstractNumId w:val="2"/>
  </w:num>
  <w:num w:numId="12" w16cid:durableId="1601718254">
    <w:abstractNumId w:val="14"/>
  </w:num>
  <w:num w:numId="13" w16cid:durableId="1583879542">
    <w:abstractNumId w:val="12"/>
  </w:num>
  <w:num w:numId="14" w16cid:durableId="149516380">
    <w:abstractNumId w:val="8"/>
  </w:num>
  <w:num w:numId="15" w16cid:durableId="20853004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0EA"/>
    <w:rsid w:val="002A6512"/>
    <w:rsid w:val="004A10EA"/>
    <w:rsid w:val="006355DC"/>
    <w:rsid w:val="008526B8"/>
    <w:rsid w:val="00AB3032"/>
    <w:rsid w:val="00B81993"/>
    <w:rsid w:val="00E15E17"/>
    <w:rsid w:val="00EE64F5"/>
    <w:rsid w:val="00FB1F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2B8D5"/>
  <w15:chartTrackingRefBased/>
  <w15:docId w15:val="{E84048D7-2D99-4B0E-849F-481FBAEAE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0EA"/>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4A10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10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10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10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10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10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0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0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0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0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10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10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10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10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10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10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10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10EA"/>
    <w:rPr>
      <w:rFonts w:eastAsiaTheme="majorEastAsia" w:cstheme="majorBidi"/>
      <w:color w:val="272727" w:themeColor="text1" w:themeTint="D8"/>
    </w:rPr>
  </w:style>
  <w:style w:type="paragraph" w:styleId="Title">
    <w:name w:val="Title"/>
    <w:basedOn w:val="Normal"/>
    <w:next w:val="Normal"/>
    <w:link w:val="TitleChar"/>
    <w:uiPriority w:val="10"/>
    <w:qFormat/>
    <w:rsid w:val="004A10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0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10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0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10EA"/>
    <w:pPr>
      <w:spacing w:before="160"/>
      <w:jc w:val="center"/>
    </w:pPr>
    <w:rPr>
      <w:i/>
      <w:iCs/>
      <w:color w:val="404040" w:themeColor="text1" w:themeTint="BF"/>
    </w:rPr>
  </w:style>
  <w:style w:type="character" w:customStyle="1" w:styleId="QuoteChar">
    <w:name w:val="Quote Char"/>
    <w:basedOn w:val="DefaultParagraphFont"/>
    <w:link w:val="Quote"/>
    <w:uiPriority w:val="29"/>
    <w:rsid w:val="004A10EA"/>
    <w:rPr>
      <w:i/>
      <w:iCs/>
      <w:color w:val="404040" w:themeColor="text1" w:themeTint="BF"/>
    </w:rPr>
  </w:style>
  <w:style w:type="paragraph" w:styleId="ListParagraph">
    <w:name w:val="List Paragraph"/>
    <w:basedOn w:val="Normal"/>
    <w:uiPriority w:val="34"/>
    <w:qFormat/>
    <w:rsid w:val="004A10EA"/>
    <w:pPr>
      <w:ind w:left="720"/>
      <w:contextualSpacing/>
    </w:pPr>
  </w:style>
  <w:style w:type="character" w:styleId="IntenseEmphasis">
    <w:name w:val="Intense Emphasis"/>
    <w:basedOn w:val="DefaultParagraphFont"/>
    <w:uiPriority w:val="21"/>
    <w:qFormat/>
    <w:rsid w:val="004A10EA"/>
    <w:rPr>
      <w:i/>
      <w:iCs/>
      <w:color w:val="0F4761" w:themeColor="accent1" w:themeShade="BF"/>
    </w:rPr>
  </w:style>
  <w:style w:type="paragraph" w:styleId="IntenseQuote">
    <w:name w:val="Intense Quote"/>
    <w:basedOn w:val="Normal"/>
    <w:next w:val="Normal"/>
    <w:link w:val="IntenseQuoteChar"/>
    <w:uiPriority w:val="30"/>
    <w:qFormat/>
    <w:rsid w:val="004A10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10EA"/>
    <w:rPr>
      <w:i/>
      <w:iCs/>
      <w:color w:val="0F4761" w:themeColor="accent1" w:themeShade="BF"/>
    </w:rPr>
  </w:style>
  <w:style w:type="character" w:styleId="IntenseReference">
    <w:name w:val="Intense Reference"/>
    <w:basedOn w:val="DefaultParagraphFont"/>
    <w:uiPriority w:val="32"/>
    <w:qFormat/>
    <w:rsid w:val="004A10EA"/>
    <w:rPr>
      <w:b/>
      <w:bCs/>
      <w:smallCaps/>
      <w:color w:val="0F4761" w:themeColor="accent1" w:themeShade="BF"/>
      <w:spacing w:val="5"/>
    </w:rPr>
  </w:style>
  <w:style w:type="paragraph" w:customStyle="1" w:styleId="bullet">
    <w:name w:val="bullet"/>
    <w:link w:val="bulletChar"/>
    <w:rsid w:val="004A10E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4A10EA"/>
    <w:rPr>
      <w:rFonts w:ascii="Times New Roman" w:eastAsia="Times New Roman" w:hAnsi="Times New Roman" w:cs="Times New Roman"/>
      <w:kern w:val="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98433">
      <w:bodyDiv w:val="1"/>
      <w:marLeft w:val="0"/>
      <w:marRight w:val="0"/>
      <w:marTop w:val="0"/>
      <w:marBottom w:val="0"/>
      <w:divBdr>
        <w:top w:val="none" w:sz="0" w:space="0" w:color="auto"/>
        <w:left w:val="none" w:sz="0" w:space="0" w:color="auto"/>
        <w:bottom w:val="none" w:sz="0" w:space="0" w:color="auto"/>
        <w:right w:val="none" w:sz="0" w:space="0" w:color="auto"/>
      </w:divBdr>
    </w:div>
    <w:div w:id="159472246">
      <w:bodyDiv w:val="1"/>
      <w:marLeft w:val="0"/>
      <w:marRight w:val="0"/>
      <w:marTop w:val="0"/>
      <w:marBottom w:val="0"/>
      <w:divBdr>
        <w:top w:val="none" w:sz="0" w:space="0" w:color="auto"/>
        <w:left w:val="none" w:sz="0" w:space="0" w:color="auto"/>
        <w:bottom w:val="none" w:sz="0" w:space="0" w:color="auto"/>
        <w:right w:val="none" w:sz="0" w:space="0" w:color="auto"/>
      </w:divBdr>
    </w:div>
    <w:div w:id="399404199">
      <w:bodyDiv w:val="1"/>
      <w:marLeft w:val="0"/>
      <w:marRight w:val="0"/>
      <w:marTop w:val="0"/>
      <w:marBottom w:val="0"/>
      <w:divBdr>
        <w:top w:val="none" w:sz="0" w:space="0" w:color="auto"/>
        <w:left w:val="none" w:sz="0" w:space="0" w:color="auto"/>
        <w:bottom w:val="none" w:sz="0" w:space="0" w:color="auto"/>
        <w:right w:val="none" w:sz="0" w:space="0" w:color="auto"/>
      </w:divBdr>
    </w:div>
    <w:div w:id="654266250">
      <w:bodyDiv w:val="1"/>
      <w:marLeft w:val="0"/>
      <w:marRight w:val="0"/>
      <w:marTop w:val="0"/>
      <w:marBottom w:val="0"/>
      <w:divBdr>
        <w:top w:val="none" w:sz="0" w:space="0" w:color="auto"/>
        <w:left w:val="none" w:sz="0" w:space="0" w:color="auto"/>
        <w:bottom w:val="none" w:sz="0" w:space="0" w:color="auto"/>
        <w:right w:val="none" w:sz="0" w:space="0" w:color="auto"/>
      </w:divBdr>
    </w:div>
    <w:div w:id="1039742272">
      <w:bodyDiv w:val="1"/>
      <w:marLeft w:val="0"/>
      <w:marRight w:val="0"/>
      <w:marTop w:val="0"/>
      <w:marBottom w:val="0"/>
      <w:divBdr>
        <w:top w:val="none" w:sz="0" w:space="0" w:color="auto"/>
        <w:left w:val="none" w:sz="0" w:space="0" w:color="auto"/>
        <w:bottom w:val="none" w:sz="0" w:space="0" w:color="auto"/>
        <w:right w:val="none" w:sz="0" w:space="0" w:color="auto"/>
      </w:divBdr>
    </w:div>
    <w:div w:id="1123963230">
      <w:bodyDiv w:val="1"/>
      <w:marLeft w:val="0"/>
      <w:marRight w:val="0"/>
      <w:marTop w:val="0"/>
      <w:marBottom w:val="0"/>
      <w:divBdr>
        <w:top w:val="none" w:sz="0" w:space="0" w:color="auto"/>
        <w:left w:val="none" w:sz="0" w:space="0" w:color="auto"/>
        <w:bottom w:val="none" w:sz="0" w:space="0" w:color="auto"/>
        <w:right w:val="none" w:sz="0" w:space="0" w:color="auto"/>
      </w:divBdr>
    </w:div>
    <w:div w:id="1336422506">
      <w:bodyDiv w:val="1"/>
      <w:marLeft w:val="0"/>
      <w:marRight w:val="0"/>
      <w:marTop w:val="0"/>
      <w:marBottom w:val="0"/>
      <w:divBdr>
        <w:top w:val="none" w:sz="0" w:space="0" w:color="auto"/>
        <w:left w:val="none" w:sz="0" w:space="0" w:color="auto"/>
        <w:bottom w:val="none" w:sz="0" w:space="0" w:color="auto"/>
        <w:right w:val="none" w:sz="0" w:space="0" w:color="auto"/>
      </w:divBdr>
    </w:div>
    <w:div w:id="1495296398">
      <w:bodyDiv w:val="1"/>
      <w:marLeft w:val="0"/>
      <w:marRight w:val="0"/>
      <w:marTop w:val="0"/>
      <w:marBottom w:val="0"/>
      <w:divBdr>
        <w:top w:val="none" w:sz="0" w:space="0" w:color="auto"/>
        <w:left w:val="none" w:sz="0" w:space="0" w:color="auto"/>
        <w:bottom w:val="none" w:sz="0" w:space="0" w:color="auto"/>
        <w:right w:val="none" w:sz="0" w:space="0" w:color="auto"/>
      </w:divBdr>
    </w:div>
    <w:div w:id="1524594932">
      <w:bodyDiv w:val="1"/>
      <w:marLeft w:val="0"/>
      <w:marRight w:val="0"/>
      <w:marTop w:val="0"/>
      <w:marBottom w:val="0"/>
      <w:divBdr>
        <w:top w:val="none" w:sz="0" w:space="0" w:color="auto"/>
        <w:left w:val="none" w:sz="0" w:space="0" w:color="auto"/>
        <w:bottom w:val="none" w:sz="0" w:space="0" w:color="auto"/>
        <w:right w:val="none" w:sz="0" w:space="0" w:color="auto"/>
      </w:divBdr>
    </w:div>
    <w:div w:id="1772622293">
      <w:bodyDiv w:val="1"/>
      <w:marLeft w:val="0"/>
      <w:marRight w:val="0"/>
      <w:marTop w:val="0"/>
      <w:marBottom w:val="0"/>
      <w:divBdr>
        <w:top w:val="none" w:sz="0" w:space="0" w:color="auto"/>
        <w:left w:val="none" w:sz="0" w:space="0" w:color="auto"/>
        <w:bottom w:val="none" w:sz="0" w:space="0" w:color="auto"/>
        <w:right w:val="none" w:sz="0" w:space="0" w:color="auto"/>
      </w:divBdr>
    </w:div>
    <w:div w:id="1804540042">
      <w:bodyDiv w:val="1"/>
      <w:marLeft w:val="0"/>
      <w:marRight w:val="0"/>
      <w:marTop w:val="0"/>
      <w:marBottom w:val="0"/>
      <w:divBdr>
        <w:top w:val="none" w:sz="0" w:space="0" w:color="auto"/>
        <w:left w:val="none" w:sz="0" w:space="0" w:color="auto"/>
        <w:bottom w:val="none" w:sz="0" w:space="0" w:color="auto"/>
        <w:right w:val="none" w:sz="0" w:space="0" w:color="auto"/>
      </w:divBdr>
    </w:div>
    <w:div w:id="1917278497">
      <w:bodyDiv w:val="1"/>
      <w:marLeft w:val="0"/>
      <w:marRight w:val="0"/>
      <w:marTop w:val="0"/>
      <w:marBottom w:val="0"/>
      <w:divBdr>
        <w:top w:val="none" w:sz="0" w:space="0" w:color="auto"/>
        <w:left w:val="none" w:sz="0" w:space="0" w:color="auto"/>
        <w:bottom w:val="none" w:sz="0" w:space="0" w:color="auto"/>
        <w:right w:val="none" w:sz="0" w:space="0" w:color="auto"/>
      </w:divBdr>
    </w:div>
    <w:div w:id="2040468532">
      <w:bodyDiv w:val="1"/>
      <w:marLeft w:val="0"/>
      <w:marRight w:val="0"/>
      <w:marTop w:val="0"/>
      <w:marBottom w:val="0"/>
      <w:divBdr>
        <w:top w:val="none" w:sz="0" w:space="0" w:color="auto"/>
        <w:left w:val="none" w:sz="0" w:space="0" w:color="auto"/>
        <w:bottom w:val="none" w:sz="0" w:space="0" w:color="auto"/>
        <w:right w:val="none" w:sz="0" w:space="0" w:color="auto"/>
      </w:divBdr>
    </w:div>
    <w:div w:id="2046904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3eb33a0-f383-4069-9f53-0e79fd56955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4" ma:contentTypeDescription="Create a new document." ma:contentTypeScope="" ma:versionID="24befc64a39988d2e8b862310d4fd62b">
  <xsd:schema xmlns:xsd="http://www.w3.org/2001/XMLSchema" xmlns:xs="http://www.w3.org/2001/XMLSchema" xmlns:p="http://schemas.microsoft.com/office/2006/metadata/properties" xmlns:ns3="53eb33a0-f383-4069-9f53-0e79fd56955c" xmlns:ns4="18e00798-69c8-4d73-a841-5247a1895ee0" targetNamespace="http://schemas.microsoft.com/office/2006/metadata/properties" ma:root="true" ma:fieldsID="15163cf503ee1d203a0001632a4a5ad8" ns3:_="" ns4:_="">
    <xsd:import namespace="53eb33a0-f383-4069-9f53-0e79fd56955c"/>
    <xsd:import namespace="18e00798-69c8-4d73-a841-5247a1895ee0"/>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467C23-C0E1-4A84-9928-146F700634EC}">
  <ds:schemaRefs>
    <ds:schemaRef ds:uri="http://schemas.microsoft.com/office/2006/metadata/properties"/>
    <ds:schemaRef ds:uri="http://schemas.microsoft.com/office/infopath/2007/PartnerControls"/>
    <ds:schemaRef ds:uri="53eb33a0-f383-4069-9f53-0e79fd56955c"/>
  </ds:schemaRefs>
</ds:datastoreItem>
</file>

<file path=customXml/itemProps2.xml><?xml version="1.0" encoding="utf-8"?>
<ds:datastoreItem xmlns:ds="http://schemas.openxmlformats.org/officeDocument/2006/customXml" ds:itemID="{E50C7747-1A99-4DD8-8D14-FA69802F8F4D}">
  <ds:schemaRefs>
    <ds:schemaRef ds:uri="http://schemas.microsoft.com/sharepoint/v3/contenttype/forms"/>
  </ds:schemaRefs>
</ds:datastoreItem>
</file>

<file path=customXml/itemProps3.xml><?xml version="1.0" encoding="utf-8"?>
<ds:datastoreItem xmlns:ds="http://schemas.openxmlformats.org/officeDocument/2006/customXml" ds:itemID="{E473F281-97F7-4440-A06B-8498372E36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eb33a0-f383-4069-9f53-0e79fd56955c"/>
    <ds:schemaRef ds:uri="18e00798-69c8-4d73-a841-5247a1895e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4386</Words>
  <Characters>28691</Characters>
  <Application>Microsoft Office Word</Application>
  <DocSecurity>0</DocSecurity>
  <Lines>512</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Phillips (P148040)</dc:creator>
  <cp:keywords/>
  <dc:description/>
  <cp:lastModifiedBy>ben phillips</cp:lastModifiedBy>
  <cp:revision>2</cp:revision>
  <dcterms:created xsi:type="dcterms:W3CDTF">2025-04-02T18:12:00Z</dcterms:created>
  <dcterms:modified xsi:type="dcterms:W3CDTF">2025-04-02T18:12:00Z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