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53346332"/>
        <w:docPartObj>
          <w:docPartGallery w:val="Cover Pages"/>
          <w:docPartUnique/>
        </w:docPartObj>
      </w:sdtPr>
      <w:sdtEndPr>
        <w:rPr>
          <w:rFonts w:ascii="Times New Roman" w:hAnsi="Times New Roman" w:cs="Times New Roman"/>
          <w:b/>
          <w:bCs/>
          <w:u w:val="single"/>
        </w:rPr>
      </w:sdtEndPr>
      <w:sdtContent>
        <w:p w14:paraId="452E131C" w14:textId="6F107CD3" w:rsidR="003173C5" w:rsidRDefault="003173C5"/>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3173C5" w14:paraId="79D3106A" w14:textId="77777777">
            <w:tc>
              <w:tcPr>
                <w:tcW w:w="7672" w:type="dxa"/>
                <w:tcMar>
                  <w:top w:w="216" w:type="dxa"/>
                  <w:left w:w="115" w:type="dxa"/>
                  <w:bottom w:w="216" w:type="dxa"/>
                  <w:right w:w="115" w:type="dxa"/>
                </w:tcMar>
              </w:tcPr>
              <w:p w14:paraId="139FF051" w14:textId="1F1D1CD6" w:rsidR="003173C5" w:rsidRDefault="003173C5">
                <w:pPr>
                  <w:pStyle w:val="NoSpacing"/>
                  <w:rPr>
                    <w:color w:val="0F4761" w:themeColor="accent1" w:themeShade="BF"/>
                    <w:sz w:val="24"/>
                  </w:rPr>
                </w:pPr>
              </w:p>
            </w:tc>
          </w:tr>
          <w:tr w:rsidR="003173C5" w14:paraId="26E50B70" w14:textId="77777777">
            <w:tc>
              <w:tcPr>
                <w:tcW w:w="7672" w:type="dxa"/>
              </w:tcPr>
              <w:sdt>
                <w:sdtPr>
                  <w:rPr>
                    <w:rFonts w:ascii="Times New Roman" w:eastAsiaTheme="majorEastAsia" w:hAnsi="Times New Roman" w:cs="Times New Roman"/>
                    <w:b/>
                    <w:bCs/>
                    <w:color w:val="156082" w:themeColor="accent1"/>
                    <w:sz w:val="88"/>
                    <w:szCs w:val="88"/>
                    <w:u w:val="single"/>
                  </w:rPr>
                  <w:alias w:val="Title"/>
                  <w:id w:val="13406919"/>
                  <w:placeholder>
                    <w:docPart w:val="C7878C861EFB4FBB9D88CFE0FC5822FB"/>
                  </w:placeholder>
                  <w:dataBinding w:prefixMappings="xmlns:ns0='http://schemas.openxmlformats.org/package/2006/metadata/core-properties' xmlns:ns1='http://purl.org/dc/elements/1.1/'" w:xpath="/ns0:coreProperties[1]/ns1:title[1]" w:storeItemID="{6C3C8BC8-F283-45AE-878A-BAB7291924A1}"/>
                  <w:text/>
                </w:sdtPr>
                <w:sdtContent>
                  <w:p w14:paraId="3129AD2B" w14:textId="43D19113" w:rsidR="003173C5" w:rsidRPr="003173C5" w:rsidRDefault="003173C5">
                    <w:pPr>
                      <w:pStyle w:val="NoSpacing"/>
                      <w:spacing w:line="216" w:lineRule="auto"/>
                      <w:rPr>
                        <w:rFonts w:ascii="Times New Roman" w:eastAsiaTheme="majorEastAsia" w:hAnsi="Times New Roman" w:cs="Times New Roman"/>
                        <w:b/>
                        <w:bCs/>
                        <w:color w:val="156082" w:themeColor="accent1"/>
                        <w:sz w:val="88"/>
                        <w:szCs w:val="88"/>
                        <w:u w:val="single"/>
                      </w:rPr>
                    </w:pPr>
                    <w:r w:rsidRPr="003173C5">
                      <w:rPr>
                        <w:rFonts w:ascii="Times New Roman" w:eastAsiaTheme="majorEastAsia" w:hAnsi="Times New Roman" w:cs="Times New Roman"/>
                        <w:b/>
                        <w:bCs/>
                        <w:color w:val="156082" w:themeColor="accent1"/>
                        <w:sz w:val="88"/>
                        <w:szCs w:val="88"/>
                        <w:u w:val="single"/>
                      </w:rPr>
                      <w:t>Opportunities and Threats to Social Enterprise</w:t>
                    </w:r>
                  </w:p>
                </w:sdtContent>
              </w:sdt>
            </w:tc>
          </w:tr>
          <w:tr w:rsidR="003173C5" w14:paraId="2DD5240B" w14:textId="77777777">
            <w:tc>
              <w:tcPr>
                <w:tcW w:w="7672" w:type="dxa"/>
                <w:tcMar>
                  <w:top w:w="216" w:type="dxa"/>
                  <w:left w:w="115" w:type="dxa"/>
                  <w:bottom w:w="216" w:type="dxa"/>
                  <w:right w:w="115" w:type="dxa"/>
                </w:tcMar>
              </w:tcPr>
              <w:p w14:paraId="3BF47FBC" w14:textId="1CA71870" w:rsidR="003173C5" w:rsidRDefault="003173C5">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3173C5" w14:paraId="0A0EC42F" w14:textId="77777777">
            <w:tc>
              <w:tcPr>
                <w:tcW w:w="7221" w:type="dxa"/>
                <w:tcMar>
                  <w:top w:w="216" w:type="dxa"/>
                  <w:left w:w="115" w:type="dxa"/>
                  <w:bottom w:w="216" w:type="dxa"/>
                  <w:right w:w="115" w:type="dxa"/>
                </w:tcMar>
              </w:tcPr>
              <w:sdt>
                <w:sdtPr>
                  <w:rPr>
                    <w:rFonts w:ascii="Times New Roman" w:hAnsi="Times New Roman" w:cs="Times New Roman"/>
                    <w:b/>
                    <w:bCs/>
                    <w:color w:val="156082" w:themeColor="accent1"/>
                    <w:sz w:val="32"/>
                    <w:szCs w:val="32"/>
                    <w:u w:val="single"/>
                  </w:rPr>
                  <w:alias w:val="Author"/>
                  <w:id w:val="13406928"/>
                  <w:placeholder>
                    <w:docPart w:val="A1EC30AE82CF45828FF2C5C1985C8A30"/>
                  </w:placeholder>
                  <w:dataBinding w:prefixMappings="xmlns:ns0='http://schemas.openxmlformats.org/package/2006/metadata/core-properties' xmlns:ns1='http://purl.org/dc/elements/1.1/'" w:xpath="/ns0:coreProperties[1]/ns1:creator[1]" w:storeItemID="{6C3C8BC8-F283-45AE-878A-BAB7291924A1}"/>
                  <w:text/>
                </w:sdtPr>
                <w:sdtContent>
                  <w:p w14:paraId="64D47E2E" w14:textId="6BE11925" w:rsidR="003173C5" w:rsidRPr="003173C5" w:rsidRDefault="003173C5">
                    <w:pPr>
                      <w:pStyle w:val="NoSpacing"/>
                      <w:rPr>
                        <w:rFonts w:ascii="Times New Roman" w:hAnsi="Times New Roman" w:cs="Times New Roman"/>
                        <w:b/>
                        <w:bCs/>
                        <w:color w:val="156082" w:themeColor="accent1"/>
                        <w:sz w:val="32"/>
                        <w:szCs w:val="32"/>
                        <w:u w:val="single"/>
                      </w:rPr>
                    </w:pPr>
                    <w:r w:rsidRPr="003173C5">
                      <w:rPr>
                        <w:rFonts w:ascii="Times New Roman" w:hAnsi="Times New Roman" w:cs="Times New Roman"/>
                        <w:b/>
                        <w:bCs/>
                        <w:color w:val="156082" w:themeColor="accent1"/>
                        <w:sz w:val="32"/>
                        <w:szCs w:val="32"/>
                        <w:u w:val="single"/>
                      </w:rPr>
                      <w:t>STUDENT NAME: CORINA DUMITRU</w:t>
                    </w:r>
                  </w:p>
                </w:sdtContent>
              </w:sdt>
              <w:sdt>
                <w:sdtPr>
                  <w:rPr>
                    <w:rFonts w:ascii="Times New Roman" w:hAnsi="Times New Roman" w:cs="Times New Roman"/>
                    <w:b/>
                    <w:bCs/>
                    <w:color w:val="156082" w:themeColor="accent1"/>
                    <w:sz w:val="32"/>
                    <w:szCs w:val="32"/>
                    <w:u w:val="single"/>
                  </w:rPr>
                  <w:alias w:val="Date"/>
                  <w:tag w:val="Date"/>
                  <w:id w:val="13406932"/>
                  <w:placeholder>
                    <w:docPart w:val="A26C0DE7084044E8BC892D0F18962D7F"/>
                  </w:placeholder>
                  <w:dataBinding w:prefixMappings="xmlns:ns0='http://schemas.microsoft.com/office/2006/coverPageProps'" w:xpath="/ns0:CoverPageProperties[1]/ns0:PublishDate[1]" w:storeItemID="{55AF091B-3C7A-41E3-B477-F2FDAA23CFDA}"/>
                  <w:date w:fullDate="2025-10-31T00:00:00Z">
                    <w:dateFormat w:val="M-d-yyyy"/>
                    <w:lid w:val="en-US"/>
                    <w:storeMappedDataAs w:val="dateTime"/>
                    <w:calendar w:val="gregorian"/>
                  </w:date>
                </w:sdtPr>
                <w:sdtContent>
                  <w:p w14:paraId="46F98FCA" w14:textId="2FA3C5C4" w:rsidR="003173C5" w:rsidRPr="003173C5" w:rsidRDefault="003173C5">
                    <w:pPr>
                      <w:pStyle w:val="NoSpacing"/>
                      <w:rPr>
                        <w:rFonts w:ascii="Times New Roman" w:hAnsi="Times New Roman" w:cs="Times New Roman"/>
                        <w:b/>
                        <w:bCs/>
                        <w:color w:val="156082" w:themeColor="accent1"/>
                        <w:sz w:val="32"/>
                        <w:szCs w:val="32"/>
                        <w:u w:val="single"/>
                      </w:rPr>
                    </w:pPr>
                    <w:r w:rsidRPr="003173C5">
                      <w:rPr>
                        <w:rFonts w:ascii="Times New Roman" w:hAnsi="Times New Roman" w:cs="Times New Roman"/>
                        <w:b/>
                        <w:bCs/>
                        <w:color w:val="156082" w:themeColor="accent1"/>
                        <w:sz w:val="32"/>
                        <w:szCs w:val="32"/>
                        <w:u w:val="single"/>
                      </w:rPr>
                      <w:t>10-31-2025</w:t>
                    </w:r>
                  </w:p>
                </w:sdtContent>
              </w:sdt>
              <w:p w14:paraId="6F0E137E" w14:textId="77777777" w:rsidR="003173C5" w:rsidRPr="003173C5" w:rsidRDefault="003173C5">
                <w:pPr>
                  <w:pStyle w:val="NoSpacing"/>
                  <w:rPr>
                    <w:rFonts w:ascii="Times New Roman" w:hAnsi="Times New Roman" w:cs="Times New Roman"/>
                    <w:b/>
                    <w:bCs/>
                    <w:color w:val="156082" w:themeColor="accent1"/>
                    <w:sz w:val="32"/>
                    <w:szCs w:val="32"/>
                    <w:u w:val="single"/>
                  </w:rPr>
                </w:pPr>
              </w:p>
            </w:tc>
          </w:tr>
        </w:tbl>
        <w:p w14:paraId="3BD7142F" w14:textId="6641380F" w:rsidR="003173C5" w:rsidRDefault="003173C5">
          <w:pPr>
            <w:rPr>
              <w:rFonts w:ascii="Times New Roman" w:hAnsi="Times New Roman" w:cs="Times New Roman"/>
              <w:b/>
              <w:bCs/>
              <w:u w:val="single"/>
            </w:rPr>
          </w:pPr>
          <w:r>
            <w:rPr>
              <w:rFonts w:ascii="Times New Roman" w:hAnsi="Times New Roman" w:cs="Times New Roman"/>
              <w:b/>
              <w:bCs/>
              <w:u w:val="single"/>
            </w:rPr>
            <w:br w:type="page"/>
          </w:r>
        </w:p>
      </w:sdtContent>
    </w:sdt>
    <w:p w14:paraId="15F41D5D" w14:textId="456E8452"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lastRenderedPageBreak/>
        <w:t>Introduction</w:t>
      </w:r>
    </w:p>
    <w:p w14:paraId="2A3F3520" w14:textId="0A3E5FF6" w:rsidR="00607BF1" w:rsidRPr="00607BF1" w:rsidRDefault="00607BF1" w:rsidP="00607BF1">
      <w:pPr>
        <w:spacing w:line="480" w:lineRule="auto"/>
        <w:rPr>
          <w:rFonts w:ascii="Times New Roman" w:hAnsi="Times New Roman" w:cs="Times New Roman"/>
        </w:rPr>
      </w:pPr>
      <w:r w:rsidRPr="00607BF1">
        <w:rPr>
          <w:rFonts w:ascii="Times New Roman" w:hAnsi="Times New Roman" w:cs="Times New Roman"/>
        </w:rPr>
        <w:t>Social enterprises form a vital part of Great Britain's economy by fusing commercial activity with a social or environmental mission. Over 131,000 social enterprises within Great Britain turn £78 billion each year and employ over two million people (GOV.UK, 2025). They have the unique appeal of reinvesting any surplus profit to fulfil their social mission, as opposed to traditional businesses that are expected to distribute profits to shareholders. Social enterprises work in keeping with the 'Triple Bottom Line (TBL)' (Edelman, 2023), which upholds the philosophy of responsible outcomes for 'people, planet and profit.' Although social enterprises are contributing to inclusive growth, these social enterprises still experience financial, operational, and market challenges. This essay will explore the SWOT (Strength, Weakness, Opportunity, Threat) context of social enterprises in Great Britain, using contemporary literature and case examples.</w:t>
      </w:r>
    </w:p>
    <w:p w14:paraId="6F5719F2"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Strengths</w:t>
      </w:r>
    </w:p>
    <w:p w14:paraId="11562893"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Mission-led Purpose and Social Value</w:t>
      </w:r>
    </w:p>
    <w:p w14:paraId="45722CF2" w14:textId="77777777" w:rsidR="00607BF1" w:rsidRDefault="00607BF1" w:rsidP="00607BF1">
      <w:pPr>
        <w:spacing w:line="480" w:lineRule="auto"/>
        <w:rPr>
          <w:rFonts w:ascii="Times New Roman" w:hAnsi="Times New Roman" w:cs="Times New Roman"/>
        </w:rPr>
      </w:pPr>
      <w:r w:rsidRPr="00607BF1">
        <w:rPr>
          <w:rFonts w:ascii="Times New Roman" w:hAnsi="Times New Roman" w:cs="Times New Roman"/>
        </w:rPr>
        <w:t xml:space="preserve">A primary strength of social enterprises in Great Britain is their mission-led purpose which yields trust and social legitimacy in stakeholders. Their action models and mission-oriented practice achieve social goals with an economic focus, through the mechanism coined Creating Shared Value (CSV) (Chen, Wang, and </w:t>
      </w:r>
      <w:r w:rsidRPr="00607BF1">
        <w:rPr>
          <w:rFonts w:ascii="Times New Roman" w:hAnsi="Times New Roman" w:cs="Times New Roman"/>
        </w:rPr>
        <w:t>Li,</w:t>
      </w:r>
      <w:r w:rsidRPr="00607BF1">
        <w:rPr>
          <w:rFonts w:ascii="Times New Roman" w:hAnsi="Times New Roman" w:cs="Times New Roman"/>
        </w:rPr>
        <w:t xml:space="preserve"> 2023). For example, Divine Chocolate, which is a co-owned enterprise by Ghanaian cocoa farmers, and The Big Issue, which works to support homeless vendors, illustrate how social purpose adds credibility to brands. Both examples illustrate the Blended Value Proposition (BVP) which balances ethical and the economic (Vázquez-Pacho, &amp; Payaud, 2025) in the social enterprise social space in Great Britain.</w:t>
      </w:r>
    </w:p>
    <w:p w14:paraId="1AF23D67" w14:textId="77777777" w:rsidR="00607BF1" w:rsidRDefault="00607BF1" w:rsidP="00607BF1">
      <w:pPr>
        <w:spacing w:line="480" w:lineRule="auto"/>
        <w:rPr>
          <w:rFonts w:ascii="Times New Roman" w:hAnsi="Times New Roman" w:cs="Times New Roman"/>
        </w:rPr>
      </w:pPr>
      <w:r w:rsidRPr="00607BF1">
        <w:rPr>
          <w:rFonts w:ascii="Times New Roman" w:hAnsi="Times New Roman" w:cs="Times New Roman"/>
        </w:rPr>
        <w:lastRenderedPageBreak/>
        <w:t xml:space="preserve">Social enterprises also exhibit inclusive leadership. Statistically the leadership of social enterprises demonstrate greater diversity than traditional businesses, with more women and minority-led leaders (Social Enterprise UK, 2023). Inclusion creates opportunities to innovate, engage communities and describe work practices that are equipped and ready to tackle a social issue. Social entrepreneurship advocates for equity and sustainability into the social enterprise social sector, as Kamaludin, Xavier &amp; Amin (2024) suggest, which encourages employees, to take part in work that is purpose-driven jobs, even if employees are paid wages that are lower than traditional </w:t>
      </w:r>
      <w:r w:rsidRPr="00607BF1">
        <w:rPr>
          <w:rFonts w:ascii="Times New Roman" w:hAnsi="Times New Roman" w:cs="Times New Roman"/>
        </w:rPr>
        <w:t xml:space="preserve">firms. </w:t>
      </w:r>
    </w:p>
    <w:p w14:paraId="118C9799"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Innovation</w:t>
      </w:r>
      <w:r w:rsidRPr="009F7F66">
        <w:rPr>
          <w:rFonts w:ascii="Times New Roman" w:hAnsi="Times New Roman" w:cs="Times New Roman"/>
          <w:b/>
          <w:bCs/>
          <w:u w:val="single"/>
        </w:rPr>
        <w:t xml:space="preserve"> and Flexibility </w:t>
      </w:r>
    </w:p>
    <w:p w14:paraId="163CBC6F" w14:textId="77777777" w:rsidR="00607BF1" w:rsidRDefault="00607BF1" w:rsidP="00607BF1">
      <w:pPr>
        <w:spacing w:line="480" w:lineRule="auto"/>
        <w:rPr>
          <w:rFonts w:ascii="Times New Roman" w:hAnsi="Times New Roman" w:cs="Times New Roman"/>
        </w:rPr>
      </w:pPr>
      <w:r w:rsidRPr="00607BF1">
        <w:rPr>
          <w:rFonts w:ascii="Times New Roman" w:hAnsi="Times New Roman" w:cs="Times New Roman"/>
        </w:rPr>
        <w:t>Innovation is also a prominent strength. Via open innovation and collaboration, social enterprises co-create solutions with partners and communities (</w:t>
      </w:r>
      <w:proofErr w:type="spellStart"/>
      <w:r w:rsidRPr="00607BF1">
        <w:rPr>
          <w:rFonts w:ascii="Times New Roman" w:hAnsi="Times New Roman" w:cs="Times New Roman"/>
        </w:rPr>
        <w:t>Albats</w:t>
      </w:r>
      <w:proofErr w:type="spellEnd"/>
      <w:r w:rsidRPr="00607BF1">
        <w:rPr>
          <w:rFonts w:ascii="Times New Roman" w:hAnsi="Times New Roman" w:cs="Times New Roman"/>
        </w:rPr>
        <w:t xml:space="preserve">, </w:t>
      </w:r>
      <w:proofErr w:type="spellStart"/>
      <w:r w:rsidRPr="00607BF1">
        <w:rPr>
          <w:rFonts w:ascii="Times New Roman" w:hAnsi="Times New Roman" w:cs="Times New Roman"/>
        </w:rPr>
        <w:t>Podmetina</w:t>
      </w:r>
      <w:proofErr w:type="spellEnd"/>
      <w:r w:rsidRPr="00607BF1">
        <w:rPr>
          <w:rFonts w:ascii="Times New Roman" w:hAnsi="Times New Roman" w:cs="Times New Roman"/>
        </w:rPr>
        <w:t xml:space="preserve"> &amp; Vanhaverbeke, 2023). An example of this is Change Please, an organisation which offers barista training to homeless </w:t>
      </w:r>
      <w:r w:rsidRPr="00607BF1">
        <w:rPr>
          <w:rFonts w:ascii="Times New Roman" w:hAnsi="Times New Roman" w:cs="Times New Roman"/>
        </w:rPr>
        <w:t>people,</w:t>
      </w:r>
      <w:r w:rsidRPr="00607BF1">
        <w:rPr>
          <w:rFonts w:ascii="Times New Roman" w:hAnsi="Times New Roman" w:cs="Times New Roman"/>
        </w:rPr>
        <w:t xml:space="preserve"> and which has scaled nationally through retail partnerships with Sainsbury’s. This is an illustration of what </w:t>
      </w:r>
      <w:proofErr w:type="spellStart"/>
      <w:r w:rsidRPr="00607BF1">
        <w:rPr>
          <w:rFonts w:ascii="Times New Roman" w:hAnsi="Times New Roman" w:cs="Times New Roman"/>
        </w:rPr>
        <w:t>Verwaal</w:t>
      </w:r>
      <w:proofErr w:type="spellEnd"/>
      <w:r w:rsidRPr="00607BF1">
        <w:rPr>
          <w:rFonts w:ascii="Times New Roman" w:hAnsi="Times New Roman" w:cs="Times New Roman"/>
        </w:rPr>
        <w:t xml:space="preserve">, Klein and La Falce (2022) call adaptive capacity, and is a specific strength of social enterprises which enables them to thrive in times of pressure. Their capacity to innovate in their business models, funding and delivery increases their ability to endure and enhance their impact. </w:t>
      </w:r>
    </w:p>
    <w:p w14:paraId="7F293213"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 xml:space="preserve">Weaknesses </w:t>
      </w:r>
    </w:p>
    <w:p w14:paraId="0C2DA212"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 xml:space="preserve">Financial Limitations and Scaling </w:t>
      </w:r>
    </w:p>
    <w:p w14:paraId="07B9DD9D" w14:textId="77777777" w:rsidR="00607BF1" w:rsidRDefault="00607BF1" w:rsidP="00607BF1">
      <w:pPr>
        <w:spacing w:line="480" w:lineRule="auto"/>
        <w:rPr>
          <w:rFonts w:ascii="Times New Roman" w:hAnsi="Times New Roman" w:cs="Times New Roman"/>
        </w:rPr>
      </w:pPr>
      <w:r w:rsidRPr="00607BF1">
        <w:rPr>
          <w:rFonts w:ascii="Times New Roman" w:hAnsi="Times New Roman" w:cs="Times New Roman"/>
        </w:rPr>
        <w:t xml:space="preserve">Financial viability remains a primary weakness. Many social enterprises rely on grants or retained earnings, while investors see them as increasingly risky. (Abedin et al., 2023). Those working in social enterprises have limited access to capital, which discourages growth and long-term planning. The collapse of HCT Group, a transport provider which was once a UK leader in the social enterprise sector, illustrated how increased costs and uncertain funding </w:t>
      </w:r>
      <w:r w:rsidRPr="00607BF1">
        <w:rPr>
          <w:rFonts w:ascii="Times New Roman" w:hAnsi="Times New Roman" w:cs="Times New Roman"/>
        </w:rPr>
        <w:lastRenderedPageBreak/>
        <w:t xml:space="preserve">can destabilise mission-led organisations. Conversely, having a social and commercial focus can result in the divergence of mission, resulting in prioritising profits over social ethics (Bhatt, 2022). </w:t>
      </w:r>
    </w:p>
    <w:p w14:paraId="3B1EE8A7"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 xml:space="preserve">Human Resources &amp; Measuring Outcomes </w:t>
      </w:r>
    </w:p>
    <w:p w14:paraId="5FD75482" w14:textId="77777777" w:rsidR="00607BF1" w:rsidRDefault="00607BF1" w:rsidP="00607BF1">
      <w:pPr>
        <w:spacing w:line="480" w:lineRule="auto"/>
        <w:rPr>
          <w:rFonts w:ascii="Times New Roman" w:hAnsi="Times New Roman" w:cs="Times New Roman"/>
        </w:rPr>
      </w:pPr>
      <w:r w:rsidRPr="00607BF1">
        <w:rPr>
          <w:rFonts w:ascii="Times New Roman" w:hAnsi="Times New Roman" w:cs="Times New Roman"/>
        </w:rPr>
        <w:t xml:space="preserve">Human capital is a further limitation in performance. Social enterprises frequently struggle to attract skilled staff or retain talent, given lower wage structures or career ladder pathways (Abedin et al., 2023). Weaver (2023) identified that the COVID-19 pandemic has increased instability in the social enterprise workforce, as well as reduced their ability to deliver services. Moreover, measuring social impact continues to be a major challenge, as there is no agreed, standardised or reliable method to report outcomes. Edwards (2023) discusses how the TBL model offers a framework for how reporting should be integrated, however, instabilities in reporting continues to make this a </w:t>
      </w:r>
      <w:r w:rsidRPr="00607BF1">
        <w:rPr>
          <w:rFonts w:ascii="Times New Roman" w:hAnsi="Times New Roman" w:cs="Times New Roman"/>
        </w:rPr>
        <w:t>challenge. Bhatt</w:t>
      </w:r>
      <w:r w:rsidRPr="00607BF1">
        <w:rPr>
          <w:rFonts w:ascii="Times New Roman" w:hAnsi="Times New Roman" w:cs="Times New Roman"/>
        </w:rPr>
        <w:t xml:space="preserve"> (2022) points to the fact that balancing complexity in ethical behaviour with the expectations of key stakeholders will require greater sophistication of governance than many small businesses will presently have.</w:t>
      </w:r>
    </w:p>
    <w:p w14:paraId="29F0FD9A" w14:textId="087A889B"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 xml:space="preserve">Opportunities </w:t>
      </w:r>
    </w:p>
    <w:p w14:paraId="1D3DC87A"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Ethical consumerism and corporate partnerships</w:t>
      </w:r>
    </w:p>
    <w:p w14:paraId="73DB6174" w14:textId="77777777" w:rsidR="00607BF1" w:rsidRDefault="00607BF1" w:rsidP="00607BF1">
      <w:pPr>
        <w:spacing w:line="480" w:lineRule="auto"/>
        <w:rPr>
          <w:rFonts w:ascii="Times New Roman" w:hAnsi="Times New Roman" w:cs="Times New Roman"/>
        </w:rPr>
      </w:pPr>
      <w:r w:rsidRPr="00607BF1">
        <w:rPr>
          <w:rFonts w:ascii="Times New Roman" w:hAnsi="Times New Roman" w:cs="Times New Roman"/>
        </w:rPr>
        <w:t>The rise of ethical consumerism offers significant opportunities for social enterprises in the UK. Consumers are increasingly considering sustainability and fairness when making purchasing decisions. Unilever's Sustainable Living Plan shows that when sustainability is routed into the business continuity plan, it adds brand value, and profitability increases simultaneously</w:t>
      </w:r>
      <w:r>
        <w:rPr>
          <w:rFonts w:ascii="Times New Roman" w:hAnsi="Times New Roman" w:cs="Times New Roman"/>
        </w:rPr>
        <w:t xml:space="preserve"> (</w:t>
      </w:r>
      <w:r w:rsidRPr="00607BF1">
        <w:rPr>
          <w:rFonts w:ascii="Times New Roman" w:hAnsi="Times New Roman" w:cs="Times New Roman"/>
        </w:rPr>
        <w:t>Hong</w:t>
      </w:r>
      <w:r>
        <w:rPr>
          <w:rFonts w:ascii="Times New Roman" w:hAnsi="Times New Roman" w:cs="Times New Roman"/>
        </w:rPr>
        <w:t xml:space="preserve">, </w:t>
      </w:r>
      <w:r w:rsidRPr="00607BF1">
        <w:rPr>
          <w:rFonts w:ascii="Times New Roman" w:hAnsi="Times New Roman" w:cs="Times New Roman"/>
        </w:rPr>
        <w:t>2025)</w:t>
      </w:r>
      <w:r>
        <w:rPr>
          <w:rFonts w:ascii="Times New Roman" w:hAnsi="Times New Roman" w:cs="Times New Roman"/>
        </w:rPr>
        <w:t>.</w:t>
      </w:r>
      <w:r w:rsidRPr="00607BF1">
        <w:rPr>
          <w:rFonts w:ascii="Times New Roman" w:hAnsi="Times New Roman" w:cs="Times New Roman"/>
        </w:rPr>
        <w:t xml:space="preserve"> Equally, UK social enterprises such as Hey Girls, which addresses period poverty with a "buy one, give one" model, are receiving significant scale-up opportunities through partnerships with large retailers. These partnerships are examples of </w:t>
      </w:r>
      <w:r w:rsidRPr="00607BF1">
        <w:rPr>
          <w:rFonts w:ascii="Times New Roman" w:hAnsi="Times New Roman" w:cs="Times New Roman"/>
        </w:rPr>
        <w:lastRenderedPageBreak/>
        <w:t>value co-creation in supply chains (Chen, Wang &amp; Li, 2023) using both ethical and commercial priorities.</w:t>
      </w:r>
    </w:p>
    <w:p w14:paraId="35A2D6BB" w14:textId="77777777" w:rsidR="00607BF1" w:rsidRDefault="00607BF1" w:rsidP="00607BF1">
      <w:pPr>
        <w:spacing w:line="480" w:lineRule="auto"/>
        <w:rPr>
          <w:rFonts w:ascii="Times New Roman" w:hAnsi="Times New Roman" w:cs="Times New Roman"/>
        </w:rPr>
      </w:pPr>
      <w:r w:rsidRPr="00607BF1">
        <w:rPr>
          <w:rFonts w:ascii="Times New Roman" w:hAnsi="Times New Roman" w:cs="Times New Roman"/>
        </w:rPr>
        <w:t>These market trends are supported by changing public policy. The UK Social Value Act obliges public organi</w:t>
      </w:r>
      <w:r>
        <w:rPr>
          <w:rFonts w:ascii="Times New Roman" w:hAnsi="Times New Roman" w:cs="Times New Roman"/>
        </w:rPr>
        <w:t>s</w:t>
      </w:r>
      <w:r w:rsidRPr="00607BF1">
        <w:rPr>
          <w:rFonts w:ascii="Times New Roman" w:hAnsi="Times New Roman" w:cs="Times New Roman"/>
        </w:rPr>
        <w:t>ations to consider social impact in public procurement decisions, presenting a potential advantage in winning government contracts over other enterprises. Edelman (2023) states that TBL principles now afford organi</w:t>
      </w:r>
      <w:r>
        <w:rPr>
          <w:rFonts w:ascii="Times New Roman" w:hAnsi="Times New Roman" w:cs="Times New Roman"/>
        </w:rPr>
        <w:t>s</w:t>
      </w:r>
      <w:r w:rsidRPr="00607BF1">
        <w:rPr>
          <w:rFonts w:ascii="Times New Roman" w:hAnsi="Times New Roman" w:cs="Times New Roman"/>
        </w:rPr>
        <w:t>ations a competitive advantage within B2B relationships, where businesses are now proactively seeking suppliers who are aligned to their ethical positions. So, with increasing consumer demand for ethical products and the rise of corporate partnerships, new possibilities for growth and influence are developing yet again.</w:t>
      </w:r>
    </w:p>
    <w:p w14:paraId="6A18CE94" w14:textId="1900254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Policy support and innovation ecosystems</w:t>
      </w:r>
    </w:p>
    <w:p w14:paraId="15291EFF" w14:textId="77777777" w:rsidR="005E27BA" w:rsidRDefault="00607BF1" w:rsidP="00607BF1">
      <w:pPr>
        <w:spacing w:line="480" w:lineRule="auto"/>
        <w:rPr>
          <w:rFonts w:ascii="Times New Roman" w:hAnsi="Times New Roman" w:cs="Times New Roman"/>
        </w:rPr>
      </w:pPr>
      <w:r w:rsidRPr="00607BF1">
        <w:rPr>
          <w:rFonts w:ascii="Times New Roman" w:hAnsi="Times New Roman" w:cs="Times New Roman"/>
        </w:rPr>
        <w:t xml:space="preserve">Part of the government's effort to support social enterprises is the "Social Enterprise Boost Fund" (2023–2025) of £3.3 million in funding that is available for communities with a </w:t>
      </w:r>
      <w:r w:rsidRPr="00607BF1">
        <w:rPr>
          <w:rFonts w:ascii="Times New Roman" w:hAnsi="Times New Roman" w:cs="Times New Roman"/>
        </w:rPr>
        <w:t>high level of deprivation</w:t>
      </w:r>
      <w:r w:rsidRPr="00607BF1">
        <w:rPr>
          <w:rFonts w:ascii="Times New Roman" w:hAnsi="Times New Roman" w:cs="Times New Roman"/>
        </w:rPr>
        <w:t xml:space="preserve"> and offers training, mentorship, and grant funding (GOV.UK, 2025). These types of initiatives are helping financial inclusion and increased scalability to social enterprises. In addition to policy support, collaborative open innovation ecosystems that link universities, corporates and </w:t>
      </w:r>
      <w:r w:rsidR="005E27BA">
        <w:rPr>
          <w:rFonts w:ascii="Times New Roman" w:hAnsi="Times New Roman" w:cs="Times New Roman"/>
        </w:rPr>
        <w:t>p</w:t>
      </w:r>
      <w:r w:rsidRPr="00607BF1">
        <w:rPr>
          <w:rFonts w:ascii="Times New Roman" w:hAnsi="Times New Roman" w:cs="Times New Roman"/>
        </w:rPr>
        <w:t>laces will support improved competitiveness (</w:t>
      </w:r>
      <w:proofErr w:type="spellStart"/>
      <w:r w:rsidRPr="00607BF1">
        <w:rPr>
          <w:rFonts w:ascii="Times New Roman" w:hAnsi="Times New Roman" w:cs="Times New Roman"/>
        </w:rPr>
        <w:t>Albats</w:t>
      </w:r>
      <w:proofErr w:type="spellEnd"/>
      <w:r w:rsidRPr="00607BF1">
        <w:rPr>
          <w:rFonts w:ascii="Times New Roman" w:hAnsi="Times New Roman" w:cs="Times New Roman"/>
        </w:rPr>
        <w:t xml:space="preserve"> et al., 2023). Kamaludin </w:t>
      </w:r>
      <w:r w:rsidRPr="00607BF1">
        <w:rPr>
          <w:rFonts w:ascii="Times New Roman" w:hAnsi="Times New Roman" w:cs="Times New Roman"/>
        </w:rPr>
        <w:t>et al. (</w:t>
      </w:r>
      <w:r w:rsidRPr="00607BF1">
        <w:rPr>
          <w:rFonts w:ascii="Times New Roman" w:hAnsi="Times New Roman" w:cs="Times New Roman"/>
        </w:rPr>
        <w:t>2024) claim that linking sustainability to entrepreneurship encourages regenerative economic systems.</w:t>
      </w:r>
    </w:p>
    <w:p w14:paraId="04E9C61C" w14:textId="4F7D4E13" w:rsidR="00607BF1" w:rsidRPr="00607BF1" w:rsidRDefault="00607BF1" w:rsidP="00607BF1">
      <w:pPr>
        <w:spacing w:line="480" w:lineRule="auto"/>
        <w:rPr>
          <w:rFonts w:ascii="Times New Roman" w:hAnsi="Times New Roman" w:cs="Times New Roman"/>
        </w:rPr>
      </w:pPr>
      <w:r w:rsidRPr="00607BF1">
        <w:rPr>
          <w:rFonts w:ascii="Times New Roman" w:hAnsi="Times New Roman" w:cs="Times New Roman"/>
        </w:rPr>
        <w:t>Frameworks such as BVP, TBL, and CSV (Vázquez-Pacho &amp; Payaud, 2025) also support social enterprises in explaining their different impact dimensions, which attracts socially responsible investors. As standards for ESG become commonplace, those organisations that can measure and communicate whole value will experience strategic advantage.</w:t>
      </w:r>
    </w:p>
    <w:p w14:paraId="1761CDF5" w14:textId="77777777" w:rsidR="00607BF1" w:rsidRPr="00607BF1" w:rsidRDefault="00607BF1" w:rsidP="00607BF1">
      <w:pPr>
        <w:spacing w:line="480" w:lineRule="auto"/>
        <w:rPr>
          <w:rFonts w:ascii="Times New Roman" w:hAnsi="Times New Roman" w:cs="Times New Roman"/>
        </w:rPr>
      </w:pPr>
    </w:p>
    <w:p w14:paraId="1E26E2CF" w14:textId="77777777" w:rsidR="00607BF1"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lastRenderedPageBreak/>
        <w:t>Threats</w:t>
      </w:r>
    </w:p>
    <w:p w14:paraId="3EF1E388" w14:textId="77777777" w:rsidR="005E27BA"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Economic Volatility and financial uncertainty</w:t>
      </w:r>
    </w:p>
    <w:p w14:paraId="0FE1E492" w14:textId="77777777" w:rsidR="005E27BA" w:rsidRDefault="00607BF1" w:rsidP="00607BF1">
      <w:pPr>
        <w:spacing w:line="480" w:lineRule="auto"/>
        <w:rPr>
          <w:rFonts w:ascii="Times New Roman" w:hAnsi="Times New Roman" w:cs="Times New Roman"/>
        </w:rPr>
      </w:pPr>
      <w:r w:rsidRPr="00607BF1">
        <w:rPr>
          <w:rFonts w:ascii="Times New Roman" w:hAnsi="Times New Roman" w:cs="Times New Roman"/>
        </w:rPr>
        <w:t>Economically, the UK’s unstable position presents one of the largest external threats. Inflation and energy pricing, and lower public funding pressures are all pushing already thin margins thinner. Weaver (2023) describes that during COVID-19 many social enterprises lost revenue, especially those reliant on face-to-face trade. The Big Issue reports on a collapse of 80</w:t>
      </w:r>
      <w:r w:rsidR="005E27BA">
        <w:rPr>
          <w:rFonts w:ascii="Times New Roman" w:hAnsi="Times New Roman" w:cs="Times New Roman"/>
        </w:rPr>
        <w:t>%</w:t>
      </w:r>
      <w:r w:rsidRPr="00607BF1">
        <w:rPr>
          <w:rFonts w:ascii="Times New Roman" w:hAnsi="Times New Roman" w:cs="Times New Roman"/>
        </w:rPr>
        <w:t xml:space="preserve"> of income during lockdown, but it survived by quickly moving into a digital space, which highlights a requirement for agility. Many small enterprises are unable to adapt in the same way. Abedin et al. (2023) also warn that dependence on short-term grants leaves organisations vulnerable to policy change and funding cuts. Access to EU funding has been reduced </w:t>
      </w:r>
      <w:r w:rsidR="005E27BA" w:rsidRPr="00607BF1">
        <w:rPr>
          <w:rFonts w:ascii="Times New Roman" w:hAnsi="Times New Roman" w:cs="Times New Roman"/>
        </w:rPr>
        <w:t>because of</w:t>
      </w:r>
      <w:r w:rsidRPr="00607BF1">
        <w:rPr>
          <w:rFonts w:ascii="Times New Roman" w:hAnsi="Times New Roman" w:cs="Times New Roman"/>
        </w:rPr>
        <w:t xml:space="preserve"> Brexit and is limiting regional growth further.</w:t>
      </w:r>
    </w:p>
    <w:p w14:paraId="12600A83" w14:textId="77777777" w:rsidR="005E27BA" w:rsidRDefault="005E27BA" w:rsidP="00607BF1">
      <w:pPr>
        <w:spacing w:line="480" w:lineRule="auto"/>
        <w:rPr>
          <w:rFonts w:ascii="Times New Roman" w:hAnsi="Times New Roman" w:cs="Times New Roman"/>
        </w:rPr>
      </w:pPr>
      <w:r>
        <w:rPr>
          <w:rFonts w:ascii="Times New Roman" w:hAnsi="Times New Roman" w:cs="Times New Roman"/>
        </w:rPr>
        <w:t>S</w:t>
      </w:r>
      <w:r w:rsidR="00607BF1" w:rsidRPr="00607BF1">
        <w:rPr>
          <w:rFonts w:ascii="Times New Roman" w:hAnsi="Times New Roman" w:cs="Times New Roman"/>
        </w:rPr>
        <w:t>upply chain finance and shared value models could address shortages of funding, although less common, helps. Without a more diversified reliance on impact investment or hybrid income streams, many social enterprises may stagnate or collapse in times of economic decline</w:t>
      </w:r>
      <w:r>
        <w:rPr>
          <w:rFonts w:ascii="Times New Roman" w:hAnsi="Times New Roman" w:cs="Times New Roman"/>
        </w:rPr>
        <w:t xml:space="preserve"> (</w:t>
      </w:r>
      <w:r w:rsidRPr="005E27BA">
        <w:rPr>
          <w:rFonts w:ascii="Times New Roman" w:hAnsi="Times New Roman" w:cs="Times New Roman"/>
        </w:rPr>
        <w:t>Chen, Wang and Li</w:t>
      </w:r>
      <w:r>
        <w:rPr>
          <w:rFonts w:ascii="Times New Roman" w:hAnsi="Times New Roman" w:cs="Times New Roman"/>
        </w:rPr>
        <w:t xml:space="preserve">, </w:t>
      </w:r>
      <w:r w:rsidRPr="005E27BA">
        <w:rPr>
          <w:rFonts w:ascii="Times New Roman" w:hAnsi="Times New Roman" w:cs="Times New Roman"/>
        </w:rPr>
        <w:t>2023)</w:t>
      </w:r>
      <w:r>
        <w:rPr>
          <w:rFonts w:ascii="Times New Roman" w:hAnsi="Times New Roman" w:cs="Times New Roman"/>
        </w:rPr>
        <w:t>.</w:t>
      </w:r>
    </w:p>
    <w:p w14:paraId="39D9FC93" w14:textId="77777777" w:rsidR="005E27BA"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Competition and Ethical Pressures</w:t>
      </w:r>
    </w:p>
    <w:p w14:paraId="2A7D56C0" w14:textId="77777777" w:rsidR="005E27BA" w:rsidRDefault="00607BF1" w:rsidP="00607BF1">
      <w:pPr>
        <w:spacing w:line="480" w:lineRule="auto"/>
        <w:rPr>
          <w:rFonts w:ascii="Times New Roman" w:hAnsi="Times New Roman" w:cs="Times New Roman"/>
        </w:rPr>
      </w:pPr>
      <w:r w:rsidRPr="00607BF1">
        <w:rPr>
          <w:rFonts w:ascii="Times New Roman" w:hAnsi="Times New Roman" w:cs="Times New Roman"/>
        </w:rPr>
        <w:t xml:space="preserve">The competition faced by social enterprises is increasing from both corporations and charities. Businesses own the ethics of sustainability </w:t>
      </w:r>
      <w:r w:rsidR="005E27BA" w:rsidRPr="00607BF1">
        <w:rPr>
          <w:rFonts w:ascii="Times New Roman" w:hAnsi="Times New Roman" w:cs="Times New Roman"/>
        </w:rPr>
        <w:t>because of</w:t>
      </w:r>
      <w:r w:rsidRPr="00607BF1">
        <w:rPr>
          <w:rFonts w:ascii="Times New Roman" w:hAnsi="Times New Roman" w:cs="Times New Roman"/>
        </w:rPr>
        <w:t xml:space="preserve"> established sustainability corporate rhetoric. Genuine social enterprises may find themselves competing for visibility with “greenwashed” leading companies (Bhatt, 2022). Authenticity will therefore become increasingly necessary. Corporations are starting to show interest and invest in cooperatives, and in services led or designed by social enterprises but this may come at a cost if the profit-motive collides with a genuine altruistic social mission. </w:t>
      </w:r>
      <w:proofErr w:type="spellStart"/>
      <w:r w:rsidRPr="00607BF1">
        <w:rPr>
          <w:rFonts w:ascii="Times New Roman" w:hAnsi="Times New Roman" w:cs="Times New Roman"/>
        </w:rPr>
        <w:t>Albats</w:t>
      </w:r>
      <w:proofErr w:type="spellEnd"/>
      <w:r w:rsidRPr="00607BF1">
        <w:rPr>
          <w:rFonts w:ascii="Times New Roman" w:hAnsi="Times New Roman" w:cs="Times New Roman"/>
        </w:rPr>
        <w:t xml:space="preserve"> et al. (2023) also raise caution on open innovation possibly exposing social enterprises to potential intellectual property and </w:t>
      </w:r>
      <w:r w:rsidRPr="00607BF1">
        <w:rPr>
          <w:rFonts w:ascii="Times New Roman" w:hAnsi="Times New Roman" w:cs="Times New Roman"/>
        </w:rPr>
        <w:lastRenderedPageBreak/>
        <w:t>hidden resources</w:t>
      </w:r>
      <w:r w:rsidR="005E27BA">
        <w:rPr>
          <w:rFonts w:ascii="Times New Roman" w:hAnsi="Times New Roman" w:cs="Times New Roman"/>
        </w:rPr>
        <w:t xml:space="preserve"> </w:t>
      </w:r>
      <w:r w:rsidRPr="00607BF1">
        <w:rPr>
          <w:rFonts w:ascii="Times New Roman" w:hAnsi="Times New Roman" w:cs="Times New Roman"/>
        </w:rPr>
        <w:t>for smaller enterprises without legal capacity to manage the processes could become costly anyway. Finally, digital transformation requires investment into technology and marketing; resources many social enterprises do not currently have access to. Balancing ethical pressures and operational pressures in relation to competition will ultimately influence long-term sustainability.</w:t>
      </w:r>
    </w:p>
    <w:p w14:paraId="69912FB4" w14:textId="77777777" w:rsidR="005E27BA" w:rsidRPr="009F7F66" w:rsidRDefault="00607BF1"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t>Conclusion</w:t>
      </w:r>
    </w:p>
    <w:p w14:paraId="4043E0B1" w14:textId="77777777" w:rsidR="005E27BA" w:rsidRDefault="00607BF1" w:rsidP="00607BF1">
      <w:pPr>
        <w:spacing w:line="480" w:lineRule="auto"/>
        <w:rPr>
          <w:rFonts w:ascii="Times New Roman" w:hAnsi="Times New Roman" w:cs="Times New Roman"/>
        </w:rPr>
      </w:pPr>
      <w:r w:rsidRPr="00607BF1">
        <w:rPr>
          <w:rFonts w:ascii="Times New Roman" w:hAnsi="Times New Roman" w:cs="Times New Roman"/>
        </w:rPr>
        <w:t>Social enterprises in the UK are extreme instances and operate at the intersection of commerce and compassion. These advantages: mission, inclusion, innovation are wrapped around complexities that create implications for sustainable action, yet are unable to overcome finance, talent and impact capacity. In contrast, complexities create opportunities through ethical consumerism and contributions from policy and sustainability frameworks. Dollar for dollar, despite an extreme level of risk, market demand creates growth opportunities through further investmen</w:t>
      </w:r>
      <w:r w:rsidR="005E27BA">
        <w:rPr>
          <w:rFonts w:ascii="Times New Roman" w:hAnsi="Times New Roman" w:cs="Times New Roman"/>
        </w:rPr>
        <w:t xml:space="preserve">t, </w:t>
      </w:r>
      <w:r w:rsidRPr="00607BF1">
        <w:rPr>
          <w:rFonts w:ascii="Times New Roman" w:hAnsi="Times New Roman" w:cs="Times New Roman"/>
        </w:rPr>
        <w:t>there is potential risk. It is unclear whether for a social enterprise that is impacted by economic volatility, competition will exist, and ethics will prevail.</w:t>
      </w:r>
    </w:p>
    <w:p w14:paraId="22360149" w14:textId="6A258205" w:rsidR="00607BF1" w:rsidRDefault="005E27BA" w:rsidP="00607BF1">
      <w:pPr>
        <w:spacing w:line="480" w:lineRule="auto"/>
        <w:rPr>
          <w:rFonts w:ascii="Times New Roman" w:hAnsi="Times New Roman" w:cs="Times New Roman"/>
        </w:rPr>
      </w:pPr>
      <w:r w:rsidRPr="00607BF1">
        <w:rPr>
          <w:rFonts w:ascii="Times New Roman" w:hAnsi="Times New Roman" w:cs="Times New Roman"/>
        </w:rPr>
        <w:t>To</w:t>
      </w:r>
      <w:r w:rsidR="00607BF1" w:rsidRPr="00607BF1">
        <w:rPr>
          <w:rFonts w:ascii="Times New Roman" w:hAnsi="Times New Roman" w:cs="Times New Roman"/>
        </w:rPr>
        <w:t xml:space="preserve"> thrive, social enterprises across the UK, must diversify funding sources, grow their digital and management capabilities, and develop a social impact measurement framework that works for them. Through frameworks, TBL (Edelman, 2023), Creating Shared Value (Chen, Wang &amp; Li, 2023) or Blended Value Proposition (Vázquez-Pacho &amp; Payaud, 2025), systemic value can hopefully be communicated to investors and policymakers. The case of Unilever (Hong, 2025) provides insight into driving performance and re-establishing underperformance for a corporation in recogni</w:t>
      </w:r>
      <w:r>
        <w:rPr>
          <w:rFonts w:ascii="Times New Roman" w:hAnsi="Times New Roman" w:cs="Times New Roman"/>
        </w:rPr>
        <w:t>s</w:t>
      </w:r>
      <w:r w:rsidR="00607BF1" w:rsidRPr="00607BF1">
        <w:rPr>
          <w:rFonts w:ascii="Times New Roman" w:hAnsi="Times New Roman" w:cs="Times New Roman"/>
        </w:rPr>
        <w:t xml:space="preserve">ing sustainability as part of their corporate strategy. Sharing social mission with business discipline from a process perspective, social </w:t>
      </w:r>
      <w:r w:rsidR="00607BF1" w:rsidRPr="00607BF1">
        <w:rPr>
          <w:rFonts w:ascii="Times New Roman" w:hAnsi="Times New Roman" w:cs="Times New Roman"/>
        </w:rPr>
        <w:lastRenderedPageBreak/>
        <w:t>enterprises will continue to be part of the formula for sustained growth in the UK economy, which ultimately remains the social purpose.</w:t>
      </w:r>
    </w:p>
    <w:p w14:paraId="7D30838F" w14:textId="77777777" w:rsidR="005E27BA" w:rsidRDefault="005E27BA" w:rsidP="00607BF1">
      <w:pPr>
        <w:spacing w:line="480" w:lineRule="auto"/>
        <w:rPr>
          <w:rFonts w:ascii="Times New Roman" w:hAnsi="Times New Roman" w:cs="Times New Roman"/>
        </w:rPr>
      </w:pPr>
    </w:p>
    <w:p w14:paraId="6994537C" w14:textId="77777777" w:rsidR="005E27BA" w:rsidRDefault="005E27BA" w:rsidP="00607BF1">
      <w:pPr>
        <w:spacing w:line="480" w:lineRule="auto"/>
        <w:rPr>
          <w:rFonts w:ascii="Times New Roman" w:hAnsi="Times New Roman" w:cs="Times New Roman"/>
        </w:rPr>
      </w:pPr>
    </w:p>
    <w:p w14:paraId="76FFB0B9" w14:textId="77777777" w:rsidR="005E27BA" w:rsidRDefault="005E27BA" w:rsidP="00607BF1">
      <w:pPr>
        <w:spacing w:line="480" w:lineRule="auto"/>
        <w:rPr>
          <w:rFonts w:ascii="Times New Roman" w:hAnsi="Times New Roman" w:cs="Times New Roman"/>
        </w:rPr>
      </w:pPr>
    </w:p>
    <w:p w14:paraId="088D6D34" w14:textId="77777777" w:rsidR="005E27BA" w:rsidRDefault="005E27BA" w:rsidP="00607BF1">
      <w:pPr>
        <w:spacing w:line="480" w:lineRule="auto"/>
        <w:rPr>
          <w:rFonts w:ascii="Times New Roman" w:hAnsi="Times New Roman" w:cs="Times New Roman"/>
        </w:rPr>
      </w:pPr>
    </w:p>
    <w:p w14:paraId="7250C576" w14:textId="77777777" w:rsidR="005E27BA" w:rsidRDefault="005E27BA" w:rsidP="00607BF1">
      <w:pPr>
        <w:spacing w:line="480" w:lineRule="auto"/>
        <w:rPr>
          <w:rFonts w:ascii="Times New Roman" w:hAnsi="Times New Roman" w:cs="Times New Roman"/>
        </w:rPr>
      </w:pPr>
    </w:p>
    <w:p w14:paraId="5EC33E76" w14:textId="77777777" w:rsidR="005E27BA" w:rsidRDefault="005E27BA" w:rsidP="00607BF1">
      <w:pPr>
        <w:spacing w:line="480" w:lineRule="auto"/>
        <w:rPr>
          <w:rFonts w:ascii="Times New Roman" w:hAnsi="Times New Roman" w:cs="Times New Roman"/>
        </w:rPr>
      </w:pPr>
    </w:p>
    <w:p w14:paraId="5012F2CA" w14:textId="77777777" w:rsidR="005E27BA" w:rsidRDefault="005E27BA" w:rsidP="00607BF1">
      <w:pPr>
        <w:spacing w:line="480" w:lineRule="auto"/>
        <w:rPr>
          <w:rFonts w:ascii="Times New Roman" w:hAnsi="Times New Roman" w:cs="Times New Roman"/>
        </w:rPr>
      </w:pPr>
    </w:p>
    <w:p w14:paraId="4B6D86AA" w14:textId="77777777" w:rsidR="005E27BA" w:rsidRDefault="005E27BA" w:rsidP="00607BF1">
      <w:pPr>
        <w:spacing w:line="480" w:lineRule="auto"/>
        <w:rPr>
          <w:rFonts w:ascii="Times New Roman" w:hAnsi="Times New Roman" w:cs="Times New Roman"/>
        </w:rPr>
      </w:pPr>
    </w:p>
    <w:p w14:paraId="3781F0EE" w14:textId="77777777" w:rsidR="005E27BA" w:rsidRDefault="005E27BA" w:rsidP="00607BF1">
      <w:pPr>
        <w:spacing w:line="480" w:lineRule="auto"/>
        <w:rPr>
          <w:rFonts w:ascii="Times New Roman" w:hAnsi="Times New Roman" w:cs="Times New Roman"/>
        </w:rPr>
      </w:pPr>
    </w:p>
    <w:p w14:paraId="417A6BAC" w14:textId="77777777" w:rsidR="005E27BA" w:rsidRDefault="005E27BA" w:rsidP="00607BF1">
      <w:pPr>
        <w:spacing w:line="480" w:lineRule="auto"/>
        <w:rPr>
          <w:rFonts w:ascii="Times New Roman" w:hAnsi="Times New Roman" w:cs="Times New Roman"/>
        </w:rPr>
      </w:pPr>
    </w:p>
    <w:p w14:paraId="52DEC63F" w14:textId="77777777" w:rsidR="005E27BA" w:rsidRDefault="005E27BA" w:rsidP="00607BF1">
      <w:pPr>
        <w:spacing w:line="480" w:lineRule="auto"/>
        <w:rPr>
          <w:rFonts w:ascii="Times New Roman" w:hAnsi="Times New Roman" w:cs="Times New Roman"/>
        </w:rPr>
      </w:pPr>
    </w:p>
    <w:p w14:paraId="054F1DFF" w14:textId="77777777" w:rsidR="005E27BA" w:rsidRDefault="005E27BA" w:rsidP="00607BF1">
      <w:pPr>
        <w:spacing w:line="480" w:lineRule="auto"/>
        <w:rPr>
          <w:rFonts w:ascii="Times New Roman" w:hAnsi="Times New Roman" w:cs="Times New Roman"/>
        </w:rPr>
      </w:pPr>
    </w:p>
    <w:p w14:paraId="3FC4E8E0" w14:textId="77777777" w:rsidR="005E27BA" w:rsidRDefault="005E27BA" w:rsidP="00607BF1">
      <w:pPr>
        <w:spacing w:line="480" w:lineRule="auto"/>
        <w:rPr>
          <w:rFonts w:ascii="Times New Roman" w:hAnsi="Times New Roman" w:cs="Times New Roman"/>
        </w:rPr>
      </w:pPr>
    </w:p>
    <w:p w14:paraId="65ADCE0F" w14:textId="77777777" w:rsidR="005E27BA" w:rsidRDefault="005E27BA" w:rsidP="00607BF1">
      <w:pPr>
        <w:spacing w:line="480" w:lineRule="auto"/>
        <w:rPr>
          <w:rFonts w:ascii="Times New Roman" w:hAnsi="Times New Roman" w:cs="Times New Roman"/>
        </w:rPr>
      </w:pPr>
    </w:p>
    <w:p w14:paraId="08520D5D" w14:textId="77777777" w:rsidR="005E27BA" w:rsidRDefault="005E27BA" w:rsidP="00607BF1">
      <w:pPr>
        <w:spacing w:line="480" w:lineRule="auto"/>
        <w:rPr>
          <w:rFonts w:ascii="Times New Roman" w:hAnsi="Times New Roman" w:cs="Times New Roman"/>
        </w:rPr>
      </w:pPr>
    </w:p>
    <w:p w14:paraId="37B05FDD" w14:textId="77777777" w:rsidR="005E27BA" w:rsidRDefault="005E27BA" w:rsidP="00607BF1">
      <w:pPr>
        <w:spacing w:line="480" w:lineRule="auto"/>
        <w:rPr>
          <w:rFonts w:ascii="Times New Roman" w:hAnsi="Times New Roman" w:cs="Times New Roman"/>
        </w:rPr>
      </w:pPr>
    </w:p>
    <w:p w14:paraId="1F771DAF" w14:textId="77777777" w:rsidR="005E27BA" w:rsidRDefault="005E27BA" w:rsidP="00607BF1">
      <w:pPr>
        <w:spacing w:line="480" w:lineRule="auto"/>
        <w:rPr>
          <w:rFonts w:ascii="Times New Roman" w:hAnsi="Times New Roman" w:cs="Times New Roman"/>
        </w:rPr>
      </w:pPr>
    </w:p>
    <w:p w14:paraId="0C320A24" w14:textId="77777777" w:rsidR="005E27BA" w:rsidRDefault="005E27BA" w:rsidP="00607BF1">
      <w:pPr>
        <w:spacing w:line="480" w:lineRule="auto"/>
        <w:rPr>
          <w:rFonts w:ascii="Times New Roman" w:hAnsi="Times New Roman" w:cs="Times New Roman"/>
        </w:rPr>
      </w:pPr>
    </w:p>
    <w:p w14:paraId="1C6EFA0F" w14:textId="7650DE2D" w:rsidR="005E27BA" w:rsidRPr="009F7F66" w:rsidRDefault="005E27BA" w:rsidP="00607BF1">
      <w:pPr>
        <w:spacing w:line="480" w:lineRule="auto"/>
        <w:rPr>
          <w:rFonts w:ascii="Times New Roman" w:hAnsi="Times New Roman" w:cs="Times New Roman"/>
          <w:b/>
          <w:bCs/>
          <w:u w:val="single"/>
        </w:rPr>
      </w:pPr>
      <w:r w:rsidRPr="009F7F66">
        <w:rPr>
          <w:rFonts w:ascii="Times New Roman" w:hAnsi="Times New Roman" w:cs="Times New Roman"/>
          <w:b/>
          <w:bCs/>
          <w:u w:val="single"/>
        </w:rPr>
        <w:lastRenderedPageBreak/>
        <w:t xml:space="preserve">References </w:t>
      </w:r>
    </w:p>
    <w:p w14:paraId="5B4CAB1D" w14:textId="77777777" w:rsidR="009F7F66" w:rsidRDefault="009F7F66" w:rsidP="009F7F66">
      <w:pPr>
        <w:spacing w:line="480" w:lineRule="auto"/>
        <w:ind w:left="720" w:hanging="720"/>
        <w:rPr>
          <w:rFonts w:ascii="Times New Roman" w:hAnsi="Times New Roman" w:cs="Times New Roman"/>
        </w:rPr>
      </w:pPr>
      <w:r w:rsidRPr="009F7F66">
        <w:rPr>
          <w:rFonts w:ascii="Times New Roman" w:hAnsi="Times New Roman" w:cs="Times New Roman"/>
        </w:rPr>
        <w:t xml:space="preserve">Abedin, B., Douglas, H., Watson, J., &amp; Bidar, R. (2023). Mitigating challenges of small social enterprises to improve performance. </w:t>
      </w:r>
      <w:r w:rsidRPr="009F7F66">
        <w:rPr>
          <w:rFonts w:ascii="Times New Roman" w:hAnsi="Times New Roman" w:cs="Times New Roman"/>
          <w:i/>
          <w:iCs/>
        </w:rPr>
        <w:t>International Journal of Productivity and Performance Management, 72</w:t>
      </w:r>
      <w:r w:rsidRPr="009F7F66">
        <w:rPr>
          <w:rFonts w:ascii="Times New Roman" w:hAnsi="Times New Roman" w:cs="Times New Roman"/>
        </w:rPr>
        <w:t xml:space="preserve">(1), 226–245. </w:t>
      </w:r>
    </w:p>
    <w:p w14:paraId="1CD1B884" w14:textId="274D556C" w:rsidR="009F7F66" w:rsidRPr="009F7F66" w:rsidRDefault="009F7F66" w:rsidP="009F7F66">
      <w:pPr>
        <w:spacing w:line="480" w:lineRule="auto"/>
        <w:ind w:left="720" w:hanging="720"/>
        <w:rPr>
          <w:rFonts w:ascii="Times New Roman" w:hAnsi="Times New Roman" w:cs="Times New Roman"/>
        </w:rPr>
      </w:pPr>
      <w:proofErr w:type="spellStart"/>
      <w:r w:rsidRPr="009F7F66">
        <w:rPr>
          <w:rFonts w:ascii="Times New Roman" w:hAnsi="Times New Roman" w:cs="Times New Roman"/>
        </w:rPr>
        <w:t>Albats</w:t>
      </w:r>
      <w:proofErr w:type="spellEnd"/>
      <w:r w:rsidRPr="009F7F66">
        <w:rPr>
          <w:rFonts w:ascii="Times New Roman" w:hAnsi="Times New Roman" w:cs="Times New Roman"/>
        </w:rPr>
        <w:t xml:space="preserve">, E., </w:t>
      </w:r>
      <w:proofErr w:type="spellStart"/>
      <w:r w:rsidRPr="009F7F66">
        <w:rPr>
          <w:rFonts w:ascii="Times New Roman" w:hAnsi="Times New Roman" w:cs="Times New Roman"/>
        </w:rPr>
        <w:t>Podmetina</w:t>
      </w:r>
      <w:proofErr w:type="spellEnd"/>
      <w:r w:rsidRPr="009F7F66">
        <w:rPr>
          <w:rFonts w:ascii="Times New Roman" w:hAnsi="Times New Roman" w:cs="Times New Roman"/>
        </w:rPr>
        <w:t>, D., &amp; Vanhaverbeke, W. (2023). Open innovation in SMEs: A process view towards business model innovation</w:t>
      </w:r>
      <w:r w:rsidRPr="009F7F66">
        <w:rPr>
          <w:rFonts w:ascii="Times New Roman" w:hAnsi="Times New Roman" w:cs="Times New Roman"/>
          <w:i/>
          <w:iCs/>
        </w:rPr>
        <w:t>. Journal of Small Business Management, 61</w:t>
      </w:r>
      <w:r w:rsidRPr="009F7F66">
        <w:rPr>
          <w:rFonts w:ascii="Times New Roman" w:hAnsi="Times New Roman" w:cs="Times New Roman"/>
        </w:rPr>
        <w:t xml:space="preserve">(6), 2519–2560. </w:t>
      </w:r>
    </w:p>
    <w:p w14:paraId="34A05228" w14:textId="5CD2DA90" w:rsidR="009F7F66" w:rsidRPr="009F7F66" w:rsidRDefault="009F7F66" w:rsidP="009F7F66">
      <w:pPr>
        <w:spacing w:line="480" w:lineRule="auto"/>
        <w:ind w:left="720" w:hanging="720"/>
        <w:rPr>
          <w:rFonts w:ascii="Times New Roman" w:hAnsi="Times New Roman" w:cs="Times New Roman"/>
        </w:rPr>
      </w:pPr>
      <w:r w:rsidRPr="009F7F66">
        <w:rPr>
          <w:rFonts w:ascii="Times New Roman" w:hAnsi="Times New Roman" w:cs="Times New Roman"/>
        </w:rPr>
        <w:t xml:space="preserve">Bhatt, B. (2022). Ethical complexity of social change: Negotiated actions of a social enterprise. </w:t>
      </w:r>
      <w:r w:rsidRPr="009F7F66">
        <w:rPr>
          <w:rFonts w:ascii="Times New Roman" w:hAnsi="Times New Roman" w:cs="Times New Roman"/>
          <w:i/>
          <w:iCs/>
        </w:rPr>
        <w:t>Journal of Business Ethics, 177</w:t>
      </w:r>
      <w:r w:rsidRPr="009F7F66">
        <w:rPr>
          <w:rFonts w:ascii="Times New Roman" w:hAnsi="Times New Roman" w:cs="Times New Roman"/>
        </w:rPr>
        <w:t xml:space="preserve">(4), 743–762. </w:t>
      </w:r>
    </w:p>
    <w:p w14:paraId="7C84E7D3" w14:textId="77777777" w:rsidR="009F7F66" w:rsidRDefault="009F7F66" w:rsidP="009F7F66">
      <w:pPr>
        <w:spacing w:line="480" w:lineRule="auto"/>
        <w:ind w:left="720" w:hanging="720"/>
        <w:rPr>
          <w:rFonts w:ascii="Times New Roman" w:hAnsi="Times New Roman" w:cs="Times New Roman"/>
        </w:rPr>
      </w:pPr>
      <w:r w:rsidRPr="009F7F66">
        <w:rPr>
          <w:rFonts w:ascii="Times New Roman" w:hAnsi="Times New Roman" w:cs="Times New Roman"/>
        </w:rPr>
        <w:t xml:space="preserve">Chen, X., Wang, C., &amp; Li, S. (2023). The impact of supply chain finance on corporate social responsibility and creating shared value: A case from the emerging economy. Supply Chain Management: </w:t>
      </w:r>
      <w:r w:rsidRPr="009F7F66">
        <w:rPr>
          <w:rFonts w:ascii="Times New Roman" w:hAnsi="Times New Roman" w:cs="Times New Roman"/>
          <w:i/>
          <w:iCs/>
        </w:rPr>
        <w:t>An International Journal, 28</w:t>
      </w:r>
      <w:r w:rsidRPr="009F7F66">
        <w:rPr>
          <w:rFonts w:ascii="Times New Roman" w:hAnsi="Times New Roman" w:cs="Times New Roman"/>
        </w:rPr>
        <w:t xml:space="preserve">(2), 324–346. </w:t>
      </w:r>
    </w:p>
    <w:p w14:paraId="2CF39C1D" w14:textId="77777777" w:rsidR="009F7F66" w:rsidRDefault="009F7F66" w:rsidP="009F7F66">
      <w:pPr>
        <w:spacing w:line="480" w:lineRule="auto"/>
        <w:ind w:left="720" w:hanging="720"/>
        <w:rPr>
          <w:rFonts w:ascii="Times New Roman" w:hAnsi="Times New Roman" w:cs="Times New Roman"/>
          <w:i/>
          <w:iCs/>
        </w:rPr>
      </w:pPr>
      <w:r w:rsidRPr="009F7F66">
        <w:rPr>
          <w:rFonts w:ascii="Times New Roman" w:hAnsi="Times New Roman" w:cs="Times New Roman"/>
        </w:rPr>
        <w:t xml:space="preserve">Edelman, H. (2023). </w:t>
      </w:r>
      <w:r w:rsidRPr="009F7F66">
        <w:rPr>
          <w:rFonts w:ascii="Times New Roman" w:hAnsi="Times New Roman" w:cs="Times New Roman"/>
          <w:i/>
          <w:iCs/>
        </w:rPr>
        <w:t xml:space="preserve">Triple Bottom Line framework as a competitive edge in international B2B environment. </w:t>
      </w:r>
    </w:p>
    <w:p w14:paraId="6709CB5C" w14:textId="0C555226" w:rsidR="009F7F66" w:rsidRPr="009F7F66" w:rsidRDefault="009F7F66" w:rsidP="009F7F66">
      <w:pPr>
        <w:spacing w:line="480" w:lineRule="auto"/>
        <w:ind w:left="720" w:hanging="720"/>
        <w:rPr>
          <w:rFonts w:ascii="Times New Roman" w:hAnsi="Times New Roman" w:cs="Times New Roman"/>
          <w:i/>
          <w:iCs/>
        </w:rPr>
      </w:pPr>
      <w:r w:rsidRPr="009F7F66">
        <w:rPr>
          <w:rFonts w:ascii="Times New Roman" w:hAnsi="Times New Roman" w:cs="Times New Roman"/>
        </w:rPr>
        <w:t>GOV.UK. (2025).</w:t>
      </w:r>
      <w:r w:rsidRPr="009F7F66">
        <w:rPr>
          <w:rFonts w:ascii="Times New Roman" w:hAnsi="Times New Roman" w:cs="Times New Roman"/>
          <w:i/>
          <w:iCs/>
        </w:rPr>
        <w:t xml:space="preserve"> Social Enterprise Boost Fund: Evaluation summary (2023–2025).</w:t>
      </w:r>
      <w:r w:rsidRPr="009F7F66">
        <w:rPr>
          <w:rFonts w:ascii="Times New Roman" w:hAnsi="Times New Roman" w:cs="Times New Roman"/>
        </w:rPr>
        <w:t xml:space="preserve"> HM Government. </w:t>
      </w:r>
      <w:hyperlink r:id="rId7" w:history="1">
        <w:r w:rsidRPr="0041594F">
          <w:rPr>
            <w:rStyle w:val="Hyperlink"/>
            <w:rFonts w:ascii="Times New Roman" w:hAnsi="Times New Roman" w:cs="Times New Roman"/>
          </w:rPr>
          <w:t>https://www.gov.uk</w:t>
        </w:r>
      </w:hyperlink>
      <w:r>
        <w:rPr>
          <w:rFonts w:ascii="Times New Roman" w:hAnsi="Times New Roman" w:cs="Times New Roman"/>
        </w:rPr>
        <w:t xml:space="preserve"> </w:t>
      </w:r>
    </w:p>
    <w:p w14:paraId="018DAB6B" w14:textId="77777777" w:rsidR="009F7F66" w:rsidRDefault="009F7F66" w:rsidP="009F7F66">
      <w:pPr>
        <w:spacing w:line="480" w:lineRule="auto"/>
        <w:ind w:left="720" w:hanging="720"/>
        <w:rPr>
          <w:rFonts w:ascii="Times New Roman" w:hAnsi="Times New Roman" w:cs="Times New Roman"/>
        </w:rPr>
      </w:pPr>
      <w:r w:rsidRPr="009F7F66">
        <w:rPr>
          <w:rFonts w:ascii="Times New Roman" w:hAnsi="Times New Roman" w:cs="Times New Roman"/>
        </w:rPr>
        <w:t xml:space="preserve">Hong, T. K. (2025). </w:t>
      </w:r>
      <w:r w:rsidRPr="009F7F66">
        <w:rPr>
          <w:rFonts w:ascii="Times New Roman" w:hAnsi="Times New Roman" w:cs="Times New Roman"/>
          <w:i/>
          <w:iCs/>
        </w:rPr>
        <w:t>Integrating sustainability into the corporate strategy: A critical analysis of Unilever's Sustainable Living Plan.</w:t>
      </w:r>
      <w:r w:rsidRPr="009F7F66">
        <w:rPr>
          <w:rFonts w:ascii="Times New Roman" w:hAnsi="Times New Roman" w:cs="Times New Roman"/>
        </w:rPr>
        <w:t xml:space="preserve"> </w:t>
      </w:r>
    </w:p>
    <w:p w14:paraId="3283C398" w14:textId="32F5D6C7" w:rsidR="009F7F66" w:rsidRPr="009F7F66" w:rsidRDefault="009F7F66" w:rsidP="009F7F66">
      <w:pPr>
        <w:spacing w:line="480" w:lineRule="auto"/>
        <w:ind w:left="720" w:hanging="720"/>
        <w:rPr>
          <w:rFonts w:ascii="Times New Roman" w:hAnsi="Times New Roman" w:cs="Times New Roman"/>
        </w:rPr>
      </w:pPr>
      <w:r w:rsidRPr="009F7F66">
        <w:rPr>
          <w:rFonts w:ascii="Times New Roman" w:hAnsi="Times New Roman" w:cs="Times New Roman"/>
        </w:rPr>
        <w:t xml:space="preserve">Kamaludin, M. F., Xavier, J. A., &amp; Amin, M. (2024). Social entrepreneurship and sustainability: A conceptual framework. </w:t>
      </w:r>
      <w:r w:rsidRPr="009F7F66">
        <w:rPr>
          <w:rFonts w:ascii="Times New Roman" w:hAnsi="Times New Roman" w:cs="Times New Roman"/>
          <w:i/>
          <w:iCs/>
        </w:rPr>
        <w:t>Journal of Social Entrepreneurship, 15</w:t>
      </w:r>
      <w:r w:rsidRPr="009F7F66">
        <w:rPr>
          <w:rFonts w:ascii="Times New Roman" w:hAnsi="Times New Roman" w:cs="Times New Roman"/>
        </w:rPr>
        <w:t xml:space="preserve">(1), 26–49. </w:t>
      </w:r>
    </w:p>
    <w:p w14:paraId="4173D80A" w14:textId="77777777" w:rsidR="009F7F66" w:rsidRDefault="009F7F66" w:rsidP="009F7F66">
      <w:pPr>
        <w:spacing w:line="480" w:lineRule="auto"/>
        <w:ind w:left="720" w:hanging="720"/>
        <w:rPr>
          <w:rFonts w:ascii="Times New Roman" w:hAnsi="Times New Roman" w:cs="Times New Roman"/>
        </w:rPr>
      </w:pPr>
      <w:r w:rsidRPr="009F7F66">
        <w:rPr>
          <w:rFonts w:ascii="Times New Roman" w:hAnsi="Times New Roman" w:cs="Times New Roman"/>
        </w:rPr>
        <w:t>V</w:t>
      </w:r>
      <w:r>
        <w:rPr>
          <w:rFonts w:ascii="Times New Roman" w:hAnsi="Times New Roman" w:cs="Times New Roman"/>
        </w:rPr>
        <w:t>a</w:t>
      </w:r>
      <w:r w:rsidRPr="009F7F66">
        <w:rPr>
          <w:rFonts w:ascii="Times New Roman" w:hAnsi="Times New Roman" w:cs="Times New Roman"/>
        </w:rPr>
        <w:t>zquez-Pacho, M., &amp; Payaud, M. A. (2025). Blended Value Proposition (BVP), Triple Bottom Line (TBL), Creating Shared Value (CSV) and Bottom of the Pyramid (</w:t>
      </w:r>
      <w:proofErr w:type="spellStart"/>
      <w:r w:rsidRPr="009F7F66">
        <w:rPr>
          <w:rFonts w:ascii="Times New Roman" w:hAnsi="Times New Roman" w:cs="Times New Roman"/>
        </w:rPr>
        <w:t>BoP</w:t>
      </w:r>
      <w:proofErr w:type="spellEnd"/>
      <w:r w:rsidRPr="009F7F66">
        <w:rPr>
          <w:rFonts w:ascii="Times New Roman" w:hAnsi="Times New Roman" w:cs="Times New Roman"/>
        </w:rPr>
        <w:t xml:space="preserve">) </w:t>
      </w:r>
      <w:r w:rsidRPr="009F7F66">
        <w:rPr>
          <w:rFonts w:ascii="Times New Roman" w:hAnsi="Times New Roman" w:cs="Times New Roman"/>
        </w:rPr>
        <w:lastRenderedPageBreak/>
        <w:t xml:space="preserve">concepts: What are the differences? A comparative analysis using Morse’s methodology. In </w:t>
      </w:r>
      <w:r w:rsidRPr="009F7F66">
        <w:rPr>
          <w:rFonts w:ascii="Times New Roman" w:hAnsi="Times New Roman" w:cs="Times New Roman"/>
          <w:i/>
          <w:iCs/>
        </w:rPr>
        <w:t>Values in Contemporary International Business</w:t>
      </w:r>
      <w:r w:rsidRPr="009F7F66">
        <w:rPr>
          <w:rFonts w:ascii="Times New Roman" w:hAnsi="Times New Roman" w:cs="Times New Roman"/>
        </w:rPr>
        <w:t xml:space="preserve"> (pp. 94–129). Routledge.</w:t>
      </w:r>
    </w:p>
    <w:p w14:paraId="3094126A" w14:textId="1433BC7F" w:rsidR="009F7F66" w:rsidRPr="009F7F66" w:rsidRDefault="009F7F66" w:rsidP="009F7F66">
      <w:pPr>
        <w:spacing w:line="480" w:lineRule="auto"/>
        <w:ind w:left="720" w:hanging="720"/>
        <w:rPr>
          <w:rFonts w:ascii="Times New Roman" w:hAnsi="Times New Roman" w:cs="Times New Roman"/>
        </w:rPr>
      </w:pPr>
      <w:proofErr w:type="spellStart"/>
      <w:r w:rsidRPr="009F7F66">
        <w:rPr>
          <w:rFonts w:ascii="Times New Roman" w:hAnsi="Times New Roman" w:cs="Times New Roman"/>
        </w:rPr>
        <w:t>Verwaal</w:t>
      </w:r>
      <w:proofErr w:type="spellEnd"/>
      <w:r w:rsidRPr="009F7F66">
        <w:rPr>
          <w:rFonts w:ascii="Times New Roman" w:hAnsi="Times New Roman" w:cs="Times New Roman"/>
        </w:rPr>
        <w:t>, E., Klein, M., &amp; La Falce, J. (2022). Business model involvement, adaptive capacity, and the triple bottom line at the base of the pyramid</w:t>
      </w:r>
      <w:r w:rsidRPr="009F7F66">
        <w:rPr>
          <w:rFonts w:ascii="Times New Roman" w:hAnsi="Times New Roman" w:cs="Times New Roman"/>
          <w:i/>
          <w:iCs/>
        </w:rPr>
        <w:t>. Journal of Business Ethics, 181</w:t>
      </w:r>
      <w:r w:rsidRPr="009F7F66">
        <w:rPr>
          <w:rFonts w:ascii="Times New Roman" w:hAnsi="Times New Roman" w:cs="Times New Roman"/>
        </w:rPr>
        <w:t xml:space="preserve">(3), 607–621. </w:t>
      </w:r>
    </w:p>
    <w:p w14:paraId="17E9A95F" w14:textId="7D6D887D" w:rsidR="005E27BA" w:rsidRPr="00607BF1" w:rsidRDefault="009F7F66" w:rsidP="009F7F66">
      <w:pPr>
        <w:spacing w:line="480" w:lineRule="auto"/>
        <w:ind w:left="720" w:hanging="720"/>
        <w:rPr>
          <w:rFonts w:ascii="Times New Roman" w:hAnsi="Times New Roman" w:cs="Times New Roman"/>
        </w:rPr>
      </w:pPr>
      <w:r w:rsidRPr="009F7F66">
        <w:rPr>
          <w:rFonts w:ascii="Times New Roman" w:hAnsi="Times New Roman" w:cs="Times New Roman"/>
        </w:rPr>
        <w:t xml:space="preserve">Weaver, R. L. (2023). The impact of COVID-19 on the social enterprise sector. </w:t>
      </w:r>
      <w:r w:rsidRPr="009F7F66">
        <w:rPr>
          <w:rFonts w:ascii="Times New Roman" w:hAnsi="Times New Roman" w:cs="Times New Roman"/>
          <w:i/>
          <w:iCs/>
        </w:rPr>
        <w:t>Journal of Social Entrepreneurship, 14</w:t>
      </w:r>
      <w:r w:rsidRPr="009F7F66">
        <w:rPr>
          <w:rFonts w:ascii="Times New Roman" w:hAnsi="Times New Roman" w:cs="Times New Roman"/>
        </w:rPr>
        <w:t>(2), 177–185</w:t>
      </w:r>
      <w:r>
        <w:rPr>
          <w:rFonts w:ascii="Times New Roman" w:hAnsi="Times New Roman" w:cs="Times New Roman"/>
        </w:rPr>
        <w:t>.</w:t>
      </w:r>
    </w:p>
    <w:sectPr w:rsidR="005E27BA" w:rsidRPr="00607BF1" w:rsidSect="003173C5">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76B42" w14:textId="77777777" w:rsidR="003A4198" w:rsidRDefault="003A4198" w:rsidP="009F7F66">
      <w:pPr>
        <w:spacing w:after="0" w:line="240" w:lineRule="auto"/>
      </w:pPr>
      <w:r>
        <w:separator/>
      </w:r>
    </w:p>
  </w:endnote>
  <w:endnote w:type="continuationSeparator" w:id="0">
    <w:p w14:paraId="6925C255" w14:textId="77777777" w:rsidR="003A4198" w:rsidRDefault="003A4198" w:rsidP="009F7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B4909" w14:textId="77777777" w:rsidR="003A4198" w:rsidRDefault="003A4198" w:rsidP="009F7F66">
      <w:pPr>
        <w:spacing w:after="0" w:line="240" w:lineRule="auto"/>
      </w:pPr>
      <w:r>
        <w:separator/>
      </w:r>
    </w:p>
  </w:footnote>
  <w:footnote w:type="continuationSeparator" w:id="0">
    <w:p w14:paraId="48F48D1A" w14:textId="77777777" w:rsidR="003A4198" w:rsidRDefault="003A4198" w:rsidP="009F7F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305490"/>
      <w:docPartObj>
        <w:docPartGallery w:val="Page Numbers (Top of Page)"/>
        <w:docPartUnique/>
      </w:docPartObj>
    </w:sdtPr>
    <w:sdtEndPr>
      <w:rPr>
        <w:noProof/>
      </w:rPr>
    </w:sdtEndPr>
    <w:sdtContent>
      <w:p w14:paraId="5695FA30" w14:textId="2746339A" w:rsidR="009F7F66" w:rsidRDefault="009F7F6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DC01E46" w14:textId="77777777" w:rsidR="009F7F66" w:rsidRDefault="009F7F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F1"/>
    <w:rsid w:val="003173C5"/>
    <w:rsid w:val="003A4198"/>
    <w:rsid w:val="005E27BA"/>
    <w:rsid w:val="00607BF1"/>
    <w:rsid w:val="00864D15"/>
    <w:rsid w:val="009F7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7A46A"/>
  <w15:chartTrackingRefBased/>
  <w15:docId w15:val="{5B9D4158-01D6-4361-9DD5-FDEB988E5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B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B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B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B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B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B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B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B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BF1"/>
    <w:rPr>
      <w:rFonts w:eastAsiaTheme="majorEastAsia" w:cstheme="majorBidi"/>
      <w:color w:val="272727" w:themeColor="text1" w:themeTint="D8"/>
    </w:rPr>
  </w:style>
  <w:style w:type="paragraph" w:styleId="Title">
    <w:name w:val="Title"/>
    <w:basedOn w:val="Normal"/>
    <w:next w:val="Normal"/>
    <w:link w:val="TitleChar"/>
    <w:uiPriority w:val="10"/>
    <w:qFormat/>
    <w:rsid w:val="00607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BF1"/>
    <w:pPr>
      <w:spacing w:before="160"/>
      <w:jc w:val="center"/>
    </w:pPr>
    <w:rPr>
      <w:i/>
      <w:iCs/>
      <w:color w:val="404040" w:themeColor="text1" w:themeTint="BF"/>
    </w:rPr>
  </w:style>
  <w:style w:type="character" w:customStyle="1" w:styleId="QuoteChar">
    <w:name w:val="Quote Char"/>
    <w:basedOn w:val="DefaultParagraphFont"/>
    <w:link w:val="Quote"/>
    <w:uiPriority w:val="29"/>
    <w:rsid w:val="00607BF1"/>
    <w:rPr>
      <w:i/>
      <w:iCs/>
      <w:color w:val="404040" w:themeColor="text1" w:themeTint="BF"/>
    </w:rPr>
  </w:style>
  <w:style w:type="paragraph" w:styleId="ListParagraph">
    <w:name w:val="List Paragraph"/>
    <w:basedOn w:val="Normal"/>
    <w:uiPriority w:val="34"/>
    <w:qFormat/>
    <w:rsid w:val="00607BF1"/>
    <w:pPr>
      <w:ind w:left="720"/>
      <w:contextualSpacing/>
    </w:pPr>
  </w:style>
  <w:style w:type="character" w:styleId="IntenseEmphasis">
    <w:name w:val="Intense Emphasis"/>
    <w:basedOn w:val="DefaultParagraphFont"/>
    <w:uiPriority w:val="21"/>
    <w:qFormat/>
    <w:rsid w:val="00607BF1"/>
    <w:rPr>
      <w:i/>
      <w:iCs/>
      <w:color w:val="0F4761" w:themeColor="accent1" w:themeShade="BF"/>
    </w:rPr>
  </w:style>
  <w:style w:type="paragraph" w:styleId="IntenseQuote">
    <w:name w:val="Intense Quote"/>
    <w:basedOn w:val="Normal"/>
    <w:next w:val="Normal"/>
    <w:link w:val="IntenseQuoteChar"/>
    <w:uiPriority w:val="30"/>
    <w:qFormat/>
    <w:rsid w:val="00607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BF1"/>
    <w:rPr>
      <w:i/>
      <w:iCs/>
      <w:color w:val="0F4761" w:themeColor="accent1" w:themeShade="BF"/>
    </w:rPr>
  </w:style>
  <w:style w:type="character" w:styleId="IntenseReference">
    <w:name w:val="Intense Reference"/>
    <w:basedOn w:val="DefaultParagraphFont"/>
    <w:uiPriority w:val="32"/>
    <w:qFormat/>
    <w:rsid w:val="00607BF1"/>
    <w:rPr>
      <w:b/>
      <w:bCs/>
      <w:smallCaps/>
      <w:color w:val="0F4761" w:themeColor="accent1" w:themeShade="BF"/>
      <w:spacing w:val="5"/>
    </w:rPr>
  </w:style>
  <w:style w:type="character" w:styleId="Hyperlink">
    <w:name w:val="Hyperlink"/>
    <w:basedOn w:val="DefaultParagraphFont"/>
    <w:uiPriority w:val="99"/>
    <w:unhideWhenUsed/>
    <w:rsid w:val="009F7F66"/>
    <w:rPr>
      <w:color w:val="467886" w:themeColor="hyperlink"/>
      <w:u w:val="single"/>
    </w:rPr>
  </w:style>
  <w:style w:type="character" w:styleId="UnresolvedMention">
    <w:name w:val="Unresolved Mention"/>
    <w:basedOn w:val="DefaultParagraphFont"/>
    <w:uiPriority w:val="99"/>
    <w:semiHidden/>
    <w:unhideWhenUsed/>
    <w:rsid w:val="009F7F66"/>
    <w:rPr>
      <w:color w:val="605E5C"/>
      <w:shd w:val="clear" w:color="auto" w:fill="E1DFDD"/>
    </w:rPr>
  </w:style>
  <w:style w:type="paragraph" w:styleId="Header">
    <w:name w:val="header"/>
    <w:basedOn w:val="Normal"/>
    <w:link w:val="HeaderChar"/>
    <w:uiPriority w:val="99"/>
    <w:unhideWhenUsed/>
    <w:rsid w:val="009F7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F66"/>
  </w:style>
  <w:style w:type="paragraph" w:styleId="Footer">
    <w:name w:val="footer"/>
    <w:basedOn w:val="Normal"/>
    <w:link w:val="FooterChar"/>
    <w:uiPriority w:val="99"/>
    <w:unhideWhenUsed/>
    <w:rsid w:val="009F7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F66"/>
  </w:style>
  <w:style w:type="paragraph" w:styleId="NoSpacing">
    <w:name w:val="No Spacing"/>
    <w:link w:val="NoSpacingChar"/>
    <w:uiPriority w:val="1"/>
    <w:qFormat/>
    <w:rsid w:val="003173C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173C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878C861EFB4FBB9D88CFE0FC5822FB"/>
        <w:category>
          <w:name w:val="General"/>
          <w:gallery w:val="placeholder"/>
        </w:category>
        <w:types>
          <w:type w:val="bbPlcHdr"/>
        </w:types>
        <w:behaviors>
          <w:behavior w:val="content"/>
        </w:behaviors>
        <w:guid w:val="{27F01F16-5FF4-428C-A650-6FCE8CBCC202}"/>
      </w:docPartPr>
      <w:docPartBody>
        <w:p w:rsidR="00000000" w:rsidRDefault="00925851" w:rsidP="00925851">
          <w:pPr>
            <w:pStyle w:val="C7878C861EFB4FBB9D88CFE0FC5822FB"/>
          </w:pPr>
          <w:r>
            <w:rPr>
              <w:rFonts w:asciiTheme="majorHAnsi" w:eastAsiaTheme="majorEastAsia" w:hAnsiTheme="majorHAnsi" w:cstheme="majorBidi"/>
              <w:color w:val="156082" w:themeColor="accent1"/>
              <w:sz w:val="88"/>
              <w:szCs w:val="88"/>
            </w:rPr>
            <w:t>[Document title]</w:t>
          </w:r>
        </w:p>
      </w:docPartBody>
    </w:docPart>
    <w:docPart>
      <w:docPartPr>
        <w:name w:val="A1EC30AE82CF45828FF2C5C1985C8A30"/>
        <w:category>
          <w:name w:val="General"/>
          <w:gallery w:val="placeholder"/>
        </w:category>
        <w:types>
          <w:type w:val="bbPlcHdr"/>
        </w:types>
        <w:behaviors>
          <w:behavior w:val="content"/>
        </w:behaviors>
        <w:guid w:val="{5690A25C-CEC7-43FC-9203-3B284DF763F8}"/>
      </w:docPartPr>
      <w:docPartBody>
        <w:p w:rsidR="00000000" w:rsidRDefault="00925851" w:rsidP="00925851">
          <w:pPr>
            <w:pStyle w:val="A1EC30AE82CF45828FF2C5C1985C8A30"/>
          </w:pPr>
          <w:r>
            <w:rPr>
              <w:color w:val="156082" w:themeColor="accent1"/>
              <w:sz w:val="28"/>
              <w:szCs w:val="28"/>
            </w:rPr>
            <w:t>[Author name]</w:t>
          </w:r>
        </w:p>
      </w:docPartBody>
    </w:docPart>
    <w:docPart>
      <w:docPartPr>
        <w:name w:val="A26C0DE7084044E8BC892D0F18962D7F"/>
        <w:category>
          <w:name w:val="General"/>
          <w:gallery w:val="placeholder"/>
        </w:category>
        <w:types>
          <w:type w:val="bbPlcHdr"/>
        </w:types>
        <w:behaviors>
          <w:behavior w:val="content"/>
        </w:behaviors>
        <w:guid w:val="{4AD4D2AA-C9EB-4500-88DA-37C8074118AD}"/>
      </w:docPartPr>
      <w:docPartBody>
        <w:p w:rsidR="00000000" w:rsidRDefault="00925851" w:rsidP="00925851">
          <w:pPr>
            <w:pStyle w:val="A26C0DE7084044E8BC892D0F18962D7F"/>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851"/>
    <w:rsid w:val="00734D9D"/>
    <w:rsid w:val="00864D15"/>
    <w:rsid w:val="0092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07ACFBA1314035BAD9B96201A54CFB">
    <w:name w:val="0307ACFBA1314035BAD9B96201A54CFB"/>
    <w:rsid w:val="00925851"/>
  </w:style>
  <w:style w:type="paragraph" w:customStyle="1" w:styleId="C7878C861EFB4FBB9D88CFE0FC5822FB">
    <w:name w:val="C7878C861EFB4FBB9D88CFE0FC5822FB"/>
    <w:rsid w:val="00925851"/>
  </w:style>
  <w:style w:type="paragraph" w:customStyle="1" w:styleId="0222F500C5A2474C88C866474D48A9BA">
    <w:name w:val="0222F500C5A2474C88C866474D48A9BA"/>
    <w:rsid w:val="00925851"/>
  </w:style>
  <w:style w:type="paragraph" w:customStyle="1" w:styleId="A1EC30AE82CF45828FF2C5C1985C8A30">
    <w:name w:val="A1EC30AE82CF45828FF2C5C1985C8A30"/>
    <w:rsid w:val="00925851"/>
  </w:style>
  <w:style w:type="paragraph" w:customStyle="1" w:styleId="A26C0DE7084044E8BC892D0F18962D7F">
    <w:name w:val="A26C0DE7084044E8BC892D0F18962D7F"/>
    <w:rsid w:val="009258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2025-10-31T00:00:00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1988</Words>
  <Characters>11335</Characters>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2025-10-29T22:23:00Z</dcterms:created>
  <dcterms:modified xsi:type="dcterms:W3CDTF">2025-10-29T22:58:00Z</dcterms:modified>
</cp:coreProperties>
</file>