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9B32C1" w14:textId="77777777" w:rsidR="00B100F5" w:rsidRDefault="00105F08">
      <w:pPr>
        <w:spacing w:after="259" w:line="259" w:lineRule="auto"/>
        <w:ind w:left="60" w:right="0" w:firstLine="0"/>
        <w:jc w:val="center"/>
      </w:pPr>
      <w:r>
        <w:rPr>
          <w:b/>
        </w:rPr>
        <w:t xml:space="preserve"> </w:t>
      </w:r>
    </w:p>
    <w:p w14:paraId="1EF6DEF2" w14:textId="77777777" w:rsidR="00B100F5" w:rsidRDefault="00105F08">
      <w:pPr>
        <w:spacing w:after="259" w:line="259" w:lineRule="auto"/>
        <w:ind w:left="60" w:right="0" w:firstLine="0"/>
        <w:jc w:val="center"/>
      </w:pPr>
      <w:r>
        <w:rPr>
          <w:b/>
        </w:rPr>
        <w:t xml:space="preserve"> </w:t>
      </w:r>
    </w:p>
    <w:p w14:paraId="7FD3B2AA" w14:textId="77777777" w:rsidR="00B100F5" w:rsidRDefault="00105F08">
      <w:pPr>
        <w:spacing w:after="259" w:line="259" w:lineRule="auto"/>
        <w:ind w:left="60" w:right="0" w:firstLine="0"/>
        <w:jc w:val="center"/>
      </w:pPr>
      <w:r>
        <w:rPr>
          <w:b/>
        </w:rPr>
        <w:t xml:space="preserve"> </w:t>
      </w:r>
    </w:p>
    <w:p w14:paraId="777A3245" w14:textId="77777777" w:rsidR="00B100F5" w:rsidRDefault="00105F08">
      <w:pPr>
        <w:spacing w:after="259" w:line="259" w:lineRule="auto"/>
        <w:ind w:left="60" w:right="0" w:firstLine="0"/>
        <w:jc w:val="center"/>
      </w:pPr>
      <w:r>
        <w:rPr>
          <w:b/>
        </w:rPr>
        <w:t xml:space="preserve"> </w:t>
      </w:r>
    </w:p>
    <w:p w14:paraId="25E76D7D" w14:textId="77777777" w:rsidR="00B100F5" w:rsidRDefault="00105F08">
      <w:pPr>
        <w:spacing w:after="259" w:line="259" w:lineRule="auto"/>
        <w:ind w:left="60" w:right="0" w:firstLine="0"/>
        <w:jc w:val="center"/>
      </w:pPr>
      <w:r>
        <w:rPr>
          <w:b/>
        </w:rPr>
        <w:t xml:space="preserve"> </w:t>
      </w:r>
    </w:p>
    <w:p w14:paraId="3A6027F5" w14:textId="77777777" w:rsidR="00B100F5" w:rsidRDefault="00105F08">
      <w:pPr>
        <w:spacing w:after="259" w:line="259" w:lineRule="auto"/>
        <w:ind w:left="60" w:right="0" w:firstLine="0"/>
        <w:jc w:val="center"/>
      </w:pPr>
      <w:r>
        <w:rPr>
          <w:b/>
        </w:rPr>
        <w:t xml:space="preserve"> </w:t>
      </w:r>
    </w:p>
    <w:p w14:paraId="15E9A9CA" w14:textId="77777777" w:rsidR="00B100F5" w:rsidRDefault="00105F08">
      <w:pPr>
        <w:spacing w:after="262" w:line="259" w:lineRule="auto"/>
        <w:ind w:left="60" w:right="0" w:firstLine="0"/>
        <w:jc w:val="center"/>
      </w:pPr>
      <w:r>
        <w:rPr>
          <w:b/>
        </w:rPr>
        <w:t xml:space="preserve"> </w:t>
      </w:r>
    </w:p>
    <w:p w14:paraId="40235E4F" w14:textId="77777777" w:rsidR="00B100F5" w:rsidRDefault="00105F08">
      <w:pPr>
        <w:spacing w:after="259" w:line="259" w:lineRule="auto"/>
        <w:ind w:left="60" w:right="0" w:firstLine="0"/>
        <w:jc w:val="center"/>
      </w:pPr>
      <w:r>
        <w:rPr>
          <w:b/>
        </w:rPr>
        <w:t xml:space="preserve"> </w:t>
      </w:r>
    </w:p>
    <w:p w14:paraId="784FD21C" w14:textId="06BD1C02" w:rsidR="00B100F5" w:rsidRPr="00465229" w:rsidRDefault="00105F08" w:rsidP="00465229">
      <w:pPr>
        <w:spacing w:after="259" w:line="259" w:lineRule="auto"/>
        <w:ind w:right="616"/>
        <w:jc w:val="center"/>
        <w:rPr>
          <w:b/>
        </w:rPr>
      </w:pPr>
      <w:r w:rsidRPr="00465229">
        <w:rPr>
          <w:b/>
        </w:rPr>
        <w:t xml:space="preserve">Module Title: </w:t>
      </w:r>
      <w:r w:rsidR="00465229" w:rsidRPr="00465229">
        <w:rPr>
          <w:b/>
        </w:rPr>
        <w:t>LCHS4010_BIRM</w:t>
      </w:r>
    </w:p>
    <w:p w14:paraId="10F4FB31" w14:textId="4A0959C6" w:rsidR="00B100F5" w:rsidRPr="00465229" w:rsidRDefault="00105F08">
      <w:pPr>
        <w:spacing w:after="260" w:line="259" w:lineRule="auto"/>
        <w:ind w:left="14" w:right="3"/>
        <w:jc w:val="center"/>
        <w:rPr>
          <w:b/>
        </w:rPr>
      </w:pPr>
      <w:r w:rsidRPr="00465229">
        <w:rPr>
          <w:b/>
        </w:rPr>
        <w:t>Student Name:</w:t>
      </w:r>
      <w:r w:rsidRPr="00465229">
        <w:rPr>
          <w:b/>
        </w:rPr>
        <w:t xml:space="preserve">  </w:t>
      </w:r>
      <w:r w:rsidR="00465229" w:rsidRPr="00465229">
        <w:rPr>
          <w:b/>
        </w:rPr>
        <w:t>RAZIA BEGUM</w:t>
      </w:r>
    </w:p>
    <w:p w14:paraId="21555388" w14:textId="059F576B" w:rsidR="00B100F5" w:rsidRPr="00465229" w:rsidRDefault="00105F08">
      <w:pPr>
        <w:spacing w:after="260" w:line="259" w:lineRule="auto"/>
        <w:ind w:left="14" w:right="2"/>
        <w:jc w:val="center"/>
        <w:rPr>
          <w:b/>
        </w:rPr>
      </w:pPr>
      <w:r w:rsidRPr="00465229">
        <w:rPr>
          <w:b/>
        </w:rPr>
        <w:t>Student ID:</w:t>
      </w:r>
      <w:r w:rsidRPr="00465229">
        <w:rPr>
          <w:b/>
        </w:rPr>
        <w:t xml:space="preserve">  </w:t>
      </w:r>
      <w:r w:rsidR="00465229" w:rsidRPr="00465229">
        <w:rPr>
          <w:b/>
        </w:rPr>
        <w:t>2440160</w:t>
      </w:r>
    </w:p>
    <w:p w14:paraId="27CC85E3" w14:textId="2A9965EA" w:rsidR="00465229" w:rsidRPr="00465229" w:rsidRDefault="00465229">
      <w:pPr>
        <w:spacing w:after="260" w:line="259" w:lineRule="auto"/>
        <w:ind w:left="14" w:right="2"/>
        <w:jc w:val="center"/>
        <w:rPr>
          <w:b/>
        </w:rPr>
      </w:pPr>
      <w:r w:rsidRPr="00465229">
        <w:rPr>
          <w:b/>
        </w:rPr>
        <w:t>ALICE CLAYTON</w:t>
      </w:r>
    </w:p>
    <w:p w14:paraId="76701EC5" w14:textId="4CE96030" w:rsidR="00B100F5" w:rsidRDefault="00105F08">
      <w:pPr>
        <w:spacing w:after="260" w:line="259" w:lineRule="auto"/>
        <w:ind w:left="14" w:right="2"/>
        <w:jc w:val="center"/>
      </w:pPr>
      <w:r>
        <w:t xml:space="preserve"> </w:t>
      </w:r>
    </w:p>
    <w:p w14:paraId="46596B52" w14:textId="77777777" w:rsidR="00B100F5" w:rsidRDefault="00105F08">
      <w:pPr>
        <w:spacing w:after="263" w:line="259" w:lineRule="auto"/>
        <w:ind w:left="0" w:right="0" w:firstLine="0"/>
      </w:pPr>
      <w:r>
        <w:rPr>
          <w:b/>
        </w:rPr>
        <w:t xml:space="preserve"> </w:t>
      </w:r>
    </w:p>
    <w:p w14:paraId="6F76F716" w14:textId="77777777" w:rsidR="00B100F5" w:rsidRDefault="00105F08">
      <w:pPr>
        <w:spacing w:after="0" w:line="259" w:lineRule="auto"/>
        <w:ind w:left="0" w:right="0" w:firstLine="0"/>
      </w:pPr>
      <w:r>
        <w:rPr>
          <w:b/>
        </w:rPr>
        <w:t xml:space="preserve"> </w:t>
      </w:r>
      <w:r>
        <w:rPr>
          <w:b/>
        </w:rPr>
        <w:tab/>
        <w:t xml:space="preserve"> </w:t>
      </w:r>
    </w:p>
    <w:p w14:paraId="41F20014" w14:textId="77777777" w:rsidR="00B100F5" w:rsidRDefault="00105F08">
      <w:pPr>
        <w:spacing w:after="262" w:line="259" w:lineRule="auto"/>
        <w:ind w:left="-5" w:right="0"/>
      </w:pPr>
      <w:r>
        <w:rPr>
          <w:b/>
        </w:rPr>
        <w:t xml:space="preserve">The Annotated Bibliography. </w:t>
      </w:r>
    </w:p>
    <w:p w14:paraId="7BF9C71E" w14:textId="77777777" w:rsidR="00B100F5" w:rsidRDefault="00105F08">
      <w:pPr>
        <w:spacing w:after="262" w:line="259" w:lineRule="auto"/>
        <w:ind w:left="-5" w:right="0"/>
      </w:pPr>
      <w:r>
        <w:rPr>
          <w:b/>
        </w:rPr>
        <w:t xml:space="preserve">Entry 1 Review: Psychosocial Development and Aging. </w:t>
      </w:r>
    </w:p>
    <w:p w14:paraId="3858D185" w14:textId="77777777" w:rsidR="00B100F5" w:rsidRDefault="00105F08">
      <w:pPr>
        <w:ind w:left="-5" w:right="0"/>
      </w:pPr>
      <w:r>
        <w:t xml:space="preserve">Complete Source: Erikson, E.H. (1982) The Life Cycle Completed. New York: W.W. Norton &amp; Company. </w:t>
      </w:r>
    </w:p>
    <w:p w14:paraId="426AAC77" w14:textId="77777777" w:rsidR="00B100F5" w:rsidRDefault="00105F08">
      <w:pPr>
        <w:spacing w:after="263" w:line="259" w:lineRule="auto"/>
        <w:ind w:left="0" w:right="0" w:firstLine="0"/>
      </w:pPr>
      <w:r>
        <w:t xml:space="preserve"> </w:t>
      </w:r>
    </w:p>
    <w:p w14:paraId="11672035" w14:textId="77777777" w:rsidR="00B100F5" w:rsidRDefault="00105F08">
      <w:pPr>
        <w:ind w:left="-5" w:right="0"/>
      </w:pPr>
      <w:r>
        <w:t>Theoretical Framework: The seminal text by Erikson describes the model of lifespan development in which there are eight developmental stages which are characterized by a particular psychosocial crisis. In the case of late adulthood, Ego Integrity and Despair is the major conflict. This phase requires deep reflective analysis in life. Those who reach the state of integrity perceive their history as an accomplishment and acceptance and this leads to the quality of wisdom. On the other hand, those who concentr</w:t>
      </w:r>
      <w:r>
        <w:t xml:space="preserve">ate on regrets or the disappointments they had might end up in the stage of despair that is full of fear of death and bitterness over their legacy. </w:t>
      </w:r>
    </w:p>
    <w:p w14:paraId="3C4B55F7" w14:textId="77777777" w:rsidR="00B100F5" w:rsidRDefault="00105F08">
      <w:pPr>
        <w:spacing w:after="266" w:line="259" w:lineRule="auto"/>
        <w:ind w:left="0" w:right="0" w:firstLine="0"/>
      </w:pPr>
      <w:r>
        <w:lastRenderedPageBreak/>
        <w:t xml:space="preserve"> </w:t>
      </w:r>
    </w:p>
    <w:p w14:paraId="312DADDD" w14:textId="77777777" w:rsidR="00B100F5" w:rsidRDefault="00105F08">
      <w:pPr>
        <w:spacing w:after="262" w:line="259" w:lineRule="auto"/>
        <w:ind w:left="-5" w:right="0"/>
      </w:pPr>
      <w:r>
        <w:rPr>
          <w:b/>
        </w:rPr>
        <w:t xml:space="preserve">Stages of psychosocial development as created by Erikson. </w:t>
      </w:r>
    </w:p>
    <w:p w14:paraId="4073B58D" w14:textId="77777777" w:rsidR="00B100F5" w:rsidRDefault="00105F08">
      <w:pPr>
        <w:spacing w:after="262" w:line="259" w:lineRule="auto"/>
        <w:ind w:left="-5" w:right="0"/>
      </w:pPr>
      <w:r>
        <w:rPr>
          <w:b/>
        </w:rPr>
        <w:t xml:space="preserve">Shutterstock </w:t>
      </w:r>
    </w:p>
    <w:p w14:paraId="3208B9E4" w14:textId="77777777" w:rsidR="00B100F5" w:rsidRDefault="00105F08">
      <w:pPr>
        <w:ind w:left="-5" w:right="149"/>
      </w:pPr>
      <w:r>
        <w:t xml:space="preserve">Professional Application: This framework underlies the current state of social care since it alters the emphasis of focusing on physical decline to the psychological requirement of making meaning. It offers a strong theoretical foundation of the reminiscence </w:t>
      </w:r>
      <w:proofErr w:type="gramStart"/>
      <w:r>
        <w:t>therapy</w:t>
      </w:r>
      <w:proofErr w:type="gramEnd"/>
      <w:r>
        <w:t xml:space="preserve"> and it assists residents in solidifying in the identity process in the shift to care. Its universal stages could however be criticized to be deterministic; they may not fully consider the variation in cultural views of aging or even the effects of systemic trauma that can make reviewing the life difficult. </w:t>
      </w:r>
      <w:r>
        <w:rPr>
          <w:b/>
        </w:rPr>
        <w:t xml:space="preserve"> </w:t>
      </w:r>
    </w:p>
    <w:p w14:paraId="13D0273D" w14:textId="77777777" w:rsidR="00B100F5" w:rsidRDefault="00105F08">
      <w:pPr>
        <w:spacing w:after="262" w:line="259" w:lineRule="auto"/>
        <w:ind w:left="-5" w:right="0"/>
      </w:pPr>
      <w:r>
        <w:rPr>
          <w:b/>
        </w:rPr>
        <w:t xml:space="preserve">Review Entry 2 The Activity Theory of Successful Aging. </w:t>
      </w:r>
    </w:p>
    <w:p w14:paraId="337E069C" w14:textId="77777777" w:rsidR="00B100F5" w:rsidRDefault="00105F08">
      <w:pPr>
        <w:spacing w:after="266" w:line="259" w:lineRule="auto"/>
        <w:ind w:left="-5" w:right="0"/>
      </w:pPr>
      <w:r>
        <w:t xml:space="preserve">Full References Havighurst, R.J. (1961) Successful aging, The Gerontologist, 1(1) pp. 8-13. </w:t>
      </w:r>
    </w:p>
    <w:p w14:paraId="04D05209" w14:textId="77777777" w:rsidR="00B100F5" w:rsidRDefault="00105F08">
      <w:pPr>
        <w:spacing w:after="263" w:line="259" w:lineRule="auto"/>
        <w:ind w:left="0" w:right="0" w:firstLine="0"/>
      </w:pPr>
      <w:r>
        <w:t xml:space="preserve"> </w:t>
      </w:r>
    </w:p>
    <w:p w14:paraId="46E7E20F" w14:textId="77777777" w:rsidR="00B100F5" w:rsidRDefault="00105F08">
      <w:pPr>
        <w:ind w:left="-5" w:right="0"/>
      </w:pPr>
      <w:r>
        <w:t xml:space="preserve">Theoretical Framework: The Activity Theory by Havighurst is the theory which assumes that the main cause of life satisfaction in old age is a high level of occupations regarding social and physical activities. He opposes the model of disengagement to propose that successful aging demands that people </w:t>
      </w:r>
      <w:proofErr w:type="gramStart"/>
      <w:r>
        <w:t>have to</w:t>
      </w:r>
      <w:proofErr w:type="gramEnd"/>
      <w:r>
        <w:t xml:space="preserve"> retain middle-age roles and social patterns as long as they can. In cases of life transitions like retirement, the death of a spouse, etc., the theory promotes the quick replacement of the roles that one has lost by new hobbies, volunteering, or social obligations to maintain a steady and positive self-concept. </w:t>
      </w:r>
    </w:p>
    <w:p w14:paraId="48D83B88" w14:textId="77777777" w:rsidR="00B100F5" w:rsidRDefault="00105F08">
      <w:pPr>
        <w:spacing w:after="263" w:line="259" w:lineRule="auto"/>
        <w:ind w:left="0" w:right="0" w:firstLine="0"/>
      </w:pPr>
      <w:r>
        <w:t xml:space="preserve"> </w:t>
      </w:r>
    </w:p>
    <w:p w14:paraId="2A70A155" w14:textId="77777777" w:rsidR="00B100F5" w:rsidRDefault="00105F08">
      <w:pPr>
        <w:ind w:left="-5" w:right="0"/>
      </w:pPr>
      <w:r>
        <w:t>Professional Application: This theory can be used in a residential environment with great effectiveness to promote various high-energy activity programs that would not allow social withdrawal. It shifts care to a more social form of care rather than a medical maintenance model. Nevertheless, it is frequently criticized as being ableist in its generalizations; it can unconsciously be discriminatory to frail or cognitively disabled residents, who should not have the physical or mental means to be considered "</w:t>
      </w:r>
      <w:r>
        <w:t xml:space="preserve">active" by these </w:t>
      </w:r>
      <w:proofErr w:type="gramStart"/>
      <w:r>
        <w:t>particular normative</w:t>
      </w:r>
      <w:proofErr w:type="gramEnd"/>
      <w:r>
        <w:t xml:space="preserve"> standards. </w:t>
      </w:r>
    </w:p>
    <w:p w14:paraId="3DE9F3F3" w14:textId="77777777" w:rsidR="00B100F5" w:rsidRDefault="00105F08">
      <w:pPr>
        <w:spacing w:after="266" w:line="259" w:lineRule="auto"/>
        <w:ind w:left="0" w:right="0" w:firstLine="0"/>
      </w:pPr>
      <w:r>
        <w:rPr>
          <w:b/>
        </w:rPr>
        <w:t xml:space="preserve"> </w:t>
      </w:r>
    </w:p>
    <w:p w14:paraId="53408259" w14:textId="77777777" w:rsidR="00B100F5" w:rsidRDefault="00105F08">
      <w:pPr>
        <w:spacing w:after="262" w:line="259" w:lineRule="auto"/>
        <w:ind w:left="-5" w:right="0"/>
      </w:pPr>
      <w:r>
        <w:rPr>
          <w:b/>
        </w:rPr>
        <w:t xml:space="preserve">Review Entry 3: The Adult Attachment and the Secure Base. </w:t>
      </w:r>
    </w:p>
    <w:p w14:paraId="6CD57EB3" w14:textId="77777777" w:rsidR="00B100F5" w:rsidRDefault="00105F08">
      <w:pPr>
        <w:ind w:left="-5" w:right="0"/>
      </w:pPr>
      <w:r>
        <w:lastRenderedPageBreak/>
        <w:t xml:space="preserve">Complete Source: Bowlby, J. (1988) A Secure Base: Parent-Child Attachment and Healthy Human Development. London: Routledge. </w:t>
      </w:r>
    </w:p>
    <w:p w14:paraId="556A8838" w14:textId="77777777" w:rsidR="00B100F5" w:rsidRDefault="00105F08">
      <w:pPr>
        <w:spacing w:after="261" w:line="259" w:lineRule="auto"/>
        <w:ind w:left="0" w:right="0" w:firstLine="0"/>
      </w:pPr>
      <w:r>
        <w:t xml:space="preserve"> </w:t>
      </w:r>
    </w:p>
    <w:p w14:paraId="72F8BB76" w14:textId="2CD4830F" w:rsidR="00B100F5" w:rsidRDefault="00105F08">
      <w:pPr>
        <w:ind w:left="-5" w:right="0"/>
      </w:pPr>
      <w:r>
        <w:t xml:space="preserve">Theoretical Framework: This work, </w:t>
      </w:r>
      <w:r w:rsidR="00915B02">
        <w:t>although</w:t>
      </w:r>
      <w:r>
        <w:t xml:space="preserve"> Bowlby was the first to study the development of the infant, addresses the idea of attachment systems being active during the lifetime. It postulates that the necessity to have a secure base, a person who offers support and solace is rekindled when stress levels are high or the individual is vulnerable to vulnerability during adulthood. The shift to institutional care or the development of chronic disease could also initiate the seeking behaviours in the context of the elderly, in which the resident will s</w:t>
      </w:r>
      <w:r>
        <w:t xml:space="preserve">eek to the healthcare professional to offer him/her emotional reassurance and safety that family members once offered. </w:t>
      </w:r>
    </w:p>
    <w:p w14:paraId="4B3C8604" w14:textId="77777777" w:rsidR="00B100F5" w:rsidRDefault="00105F08">
      <w:pPr>
        <w:spacing w:after="264" w:line="259" w:lineRule="auto"/>
        <w:ind w:left="0" w:right="0" w:firstLine="0"/>
      </w:pPr>
      <w:r>
        <w:t xml:space="preserve"> </w:t>
      </w:r>
    </w:p>
    <w:p w14:paraId="6BEE33DF" w14:textId="77777777" w:rsidR="00B100F5" w:rsidRDefault="00105F08">
      <w:pPr>
        <w:ind w:left="-5" w:right="0"/>
      </w:pPr>
      <w:r>
        <w:t xml:space="preserve">Professional Application: This is especially important to practitioners because it highlights the emotional aspect of caregiver-resident relationship. it advocates the continuity of care and regular staffing to develop trust. The systemic realities of the care sector, including high staff turnover and inorganic shift work, tend to limit its implementation, however, and interfere with the establishment of these essential, stabilizing psychological relationships. </w:t>
      </w:r>
    </w:p>
    <w:p w14:paraId="2C48EBD9" w14:textId="77777777" w:rsidR="00B100F5" w:rsidRDefault="00105F08">
      <w:pPr>
        <w:spacing w:after="266" w:line="259" w:lineRule="auto"/>
        <w:ind w:left="0" w:right="0" w:firstLine="0"/>
      </w:pPr>
      <w:r>
        <w:rPr>
          <w:b/>
        </w:rPr>
        <w:t xml:space="preserve"> </w:t>
      </w:r>
    </w:p>
    <w:p w14:paraId="048CA4CC" w14:textId="77777777" w:rsidR="00B100F5" w:rsidRDefault="00105F08">
      <w:pPr>
        <w:spacing w:after="262" w:line="259" w:lineRule="auto"/>
        <w:ind w:left="-5" w:right="0"/>
      </w:pPr>
      <w:r>
        <w:rPr>
          <w:b/>
        </w:rPr>
        <w:t xml:space="preserve">Time of Review 4: PERMA Model of Flourishing. </w:t>
      </w:r>
    </w:p>
    <w:p w14:paraId="229AEC18" w14:textId="77777777" w:rsidR="00B100F5" w:rsidRDefault="00105F08">
      <w:pPr>
        <w:ind w:left="-5" w:right="0"/>
      </w:pPr>
      <w:r>
        <w:t xml:space="preserve">Filed: Seligman, M.E.P. (2011) Flourish: A Visionary New Vision of Happiness and Wellbeing. New York: Free Press. </w:t>
      </w:r>
    </w:p>
    <w:p w14:paraId="2C602139" w14:textId="77777777" w:rsidR="00B100F5" w:rsidRDefault="00105F08">
      <w:pPr>
        <w:spacing w:after="263" w:line="259" w:lineRule="auto"/>
        <w:ind w:left="0" w:right="0" w:firstLine="0"/>
      </w:pPr>
      <w:r>
        <w:t xml:space="preserve"> </w:t>
      </w:r>
    </w:p>
    <w:p w14:paraId="7EE74CA3" w14:textId="77777777" w:rsidR="00B100F5" w:rsidRDefault="00105F08">
      <w:pPr>
        <w:spacing w:after="105" w:line="259" w:lineRule="auto"/>
        <w:ind w:left="-5" w:right="0"/>
      </w:pPr>
      <w:r>
        <w:t xml:space="preserve">Theoretical Framework: As the representative of the movement of Positive Psychology, </w:t>
      </w:r>
    </w:p>
    <w:p w14:paraId="0A740D9E" w14:textId="77777777" w:rsidR="00B100F5" w:rsidRDefault="00105F08">
      <w:pPr>
        <w:ind w:left="-5" w:right="0"/>
      </w:pPr>
      <w:r>
        <w:t xml:space="preserve">Seligman proposes the model called PERMA that defines five pillars of wellbeing, including Positive Emotion, Engagement, Relationships, Meaning, and Accomplishment. Instead of dwelling on the curing of the ills of old age, this model proposes that the five strengths are nurtured to maintain mental health. It stresses that despite the physical constraints, a person can still reach high standards of satisfaction seeking the meaning and feeling of accomplishment in day-to-day activities. </w:t>
      </w:r>
    </w:p>
    <w:p w14:paraId="213B1861" w14:textId="77777777" w:rsidR="00B100F5" w:rsidRDefault="00105F08">
      <w:pPr>
        <w:spacing w:after="263" w:line="259" w:lineRule="auto"/>
        <w:ind w:left="0" w:right="0" w:firstLine="0"/>
      </w:pPr>
      <w:r>
        <w:t xml:space="preserve"> </w:t>
      </w:r>
    </w:p>
    <w:p w14:paraId="7322FAA1" w14:textId="7EC83BFD" w:rsidR="00B100F5" w:rsidRDefault="00105F08">
      <w:pPr>
        <w:spacing w:after="0"/>
        <w:ind w:left="-5" w:right="0"/>
      </w:pPr>
      <w:r>
        <w:lastRenderedPageBreak/>
        <w:t xml:space="preserve">Professional Application: This model is very helpful in current, strength based social care practices. It makes professionals see past the diagnosis of a resident to discover what </w:t>
      </w:r>
      <w:r w:rsidR="00915B02">
        <w:t>interests</w:t>
      </w:r>
      <w:r>
        <w:t xml:space="preserve"> them. One of the most frequent criticisms, though, is that the model can be too individualistic; it might ignore the so-called structural obstacles to wellbeing; poverty, chronic illness and ageism are some examples; they may make flourishing exceptionally challenging, no matter how psychologically strong the individual may be. </w:t>
      </w:r>
    </w:p>
    <w:p w14:paraId="1FF5F7F0" w14:textId="77777777" w:rsidR="00B100F5" w:rsidRDefault="00105F08">
      <w:pPr>
        <w:spacing w:after="108" w:line="259" w:lineRule="auto"/>
        <w:ind w:left="0" w:right="0" w:firstLine="0"/>
      </w:pPr>
      <w:r>
        <w:t xml:space="preserve"> </w:t>
      </w:r>
    </w:p>
    <w:p w14:paraId="3A3578FF" w14:textId="77777777" w:rsidR="00B100F5" w:rsidRDefault="00105F08">
      <w:pPr>
        <w:spacing w:after="263" w:line="259" w:lineRule="auto"/>
        <w:ind w:left="0" w:right="0" w:firstLine="0"/>
      </w:pPr>
      <w:r>
        <w:t xml:space="preserve"> </w:t>
      </w:r>
    </w:p>
    <w:p w14:paraId="306F9B11" w14:textId="77777777" w:rsidR="00B100F5" w:rsidRDefault="00105F08">
      <w:pPr>
        <w:spacing w:after="266" w:line="259" w:lineRule="auto"/>
        <w:ind w:left="0" w:right="0" w:firstLine="0"/>
      </w:pPr>
      <w:r>
        <w:t xml:space="preserve"> </w:t>
      </w:r>
    </w:p>
    <w:p w14:paraId="449C9924" w14:textId="77777777" w:rsidR="00B100F5" w:rsidRDefault="00105F08">
      <w:pPr>
        <w:spacing w:after="266" w:line="259" w:lineRule="auto"/>
        <w:ind w:left="0" w:right="0" w:firstLine="0"/>
      </w:pPr>
      <w:r>
        <w:t xml:space="preserve"> </w:t>
      </w:r>
    </w:p>
    <w:p w14:paraId="46ABDC3C" w14:textId="77777777" w:rsidR="00B100F5" w:rsidRDefault="00105F08">
      <w:pPr>
        <w:spacing w:after="263" w:line="259" w:lineRule="auto"/>
        <w:ind w:left="0" w:right="0" w:firstLine="0"/>
      </w:pPr>
      <w:r>
        <w:rPr>
          <w:b/>
        </w:rPr>
        <w:t xml:space="preserve"> </w:t>
      </w:r>
    </w:p>
    <w:p w14:paraId="4A2CC1B0" w14:textId="77777777" w:rsidR="00B100F5" w:rsidRDefault="00105F08">
      <w:pPr>
        <w:spacing w:after="0" w:line="259" w:lineRule="auto"/>
        <w:ind w:left="0" w:right="0" w:firstLine="0"/>
      </w:pPr>
      <w:r>
        <w:rPr>
          <w:b/>
        </w:rPr>
        <w:t xml:space="preserve"> </w:t>
      </w:r>
      <w:r>
        <w:rPr>
          <w:b/>
        </w:rPr>
        <w:tab/>
        <w:t xml:space="preserve"> </w:t>
      </w:r>
    </w:p>
    <w:p w14:paraId="320F5940" w14:textId="77777777" w:rsidR="00B100F5" w:rsidRDefault="00105F08">
      <w:pPr>
        <w:spacing w:after="262" w:line="259" w:lineRule="auto"/>
        <w:ind w:left="-5" w:right="0"/>
      </w:pPr>
      <w:r>
        <w:rPr>
          <w:b/>
        </w:rPr>
        <w:t xml:space="preserve">Report </w:t>
      </w:r>
    </w:p>
    <w:p w14:paraId="11DFBDB3" w14:textId="77777777" w:rsidR="00B100F5" w:rsidRDefault="00105F08">
      <w:pPr>
        <w:spacing w:after="263" w:line="259" w:lineRule="auto"/>
        <w:ind w:left="0" w:right="0" w:firstLine="0"/>
      </w:pPr>
      <w:r>
        <w:t xml:space="preserve"> </w:t>
      </w:r>
    </w:p>
    <w:p w14:paraId="4F7D4083" w14:textId="77777777" w:rsidR="00B100F5" w:rsidRDefault="00105F08">
      <w:pPr>
        <w:ind w:left="-5" w:right="0"/>
      </w:pPr>
      <w:r>
        <w:t xml:space="preserve">Clinical Practice Brief: Improvement in Resident Wellbeing Focus Area: Psychosocial Support and Life Review.   </w:t>
      </w:r>
    </w:p>
    <w:p w14:paraId="1320BC2E" w14:textId="77777777" w:rsidR="00B100F5" w:rsidRDefault="00105F08">
      <w:pPr>
        <w:spacing w:after="266" w:line="259" w:lineRule="auto"/>
        <w:ind w:left="-5" w:right="0"/>
      </w:pPr>
      <w:r>
        <w:t xml:space="preserve">Target Audience: Care Practitioners, Nursing Staff and Social Care Leads.   </w:t>
      </w:r>
    </w:p>
    <w:p w14:paraId="69DFFB56" w14:textId="77777777" w:rsidR="00B100F5" w:rsidRDefault="00105F08">
      <w:pPr>
        <w:spacing w:after="266" w:line="259" w:lineRule="auto"/>
        <w:ind w:left="0" w:right="0" w:firstLine="0"/>
      </w:pPr>
      <w:r>
        <w:t xml:space="preserve"> </w:t>
      </w:r>
    </w:p>
    <w:p w14:paraId="50BA0F26" w14:textId="77777777" w:rsidR="00B100F5" w:rsidRDefault="00105F08">
      <w:pPr>
        <w:spacing w:after="262" w:line="259" w:lineRule="auto"/>
        <w:ind w:left="-5" w:right="0"/>
      </w:pPr>
      <w:r>
        <w:rPr>
          <w:b/>
        </w:rPr>
        <w:t xml:space="preserve">Executive Summary </w:t>
      </w:r>
    </w:p>
    <w:p w14:paraId="0CE3F6C8" w14:textId="77777777" w:rsidR="00B100F5" w:rsidRDefault="00105F08">
      <w:pPr>
        <w:ind w:left="-5" w:right="0"/>
      </w:pPr>
      <w:r>
        <w:t xml:space="preserve">Residential care is a major life change event, which may cause emotional disturbance, withdrawal, and loss of identity. The implementation of the Psychosocial Theory proposed by Erikson into the everyday care routine is recommended in this report. The emphasis on the last developmental crisis Ego Integrity vs. Despair will enable the practitioners to go beyond the basic physical upkeep and contribute to the emotional robustness of the older adult population. </w:t>
      </w:r>
    </w:p>
    <w:p w14:paraId="207EFF32" w14:textId="77777777" w:rsidR="00B100F5" w:rsidRDefault="00105F08">
      <w:pPr>
        <w:spacing w:after="266" w:line="259" w:lineRule="auto"/>
        <w:ind w:left="0" w:right="0" w:firstLine="0"/>
      </w:pPr>
      <w:r>
        <w:t xml:space="preserve"> </w:t>
      </w:r>
    </w:p>
    <w:p w14:paraId="4310DEE8" w14:textId="77777777" w:rsidR="00B100F5" w:rsidRDefault="00105F08">
      <w:pPr>
        <w:spacing w:after="262" w:line="259" w:lineRule="auto"/>
        <w:ind w:left="-5" w:right="0"/>
      </w:pPr>
      <w:r>
        <w:rPr>
          <w:b/>
        </w:rPr>
        <w:t xml:space="preserve">Theoretical Framework the Ego Integrity Model. </w:t>
      </w:r>
    </w:p>
    <w:p w14:paraId="79443787" w14:textId="77777777" w:rsidR="00B100F5" w:rsidRDefault="00105F08">
      <w:pPr>
        <w:ind w:left="-5" w:right="0"/>
      </w:pPr>
      <w:r>
        <w:t xml:space="preserve">According to Erikson (1982), the late adulthood is characterized by the retrospective Life Review. The result of such review defines the psychological health of a resident: </w:t>
      </w:r>
    </w:p>
    <w:p w14:paraId="491340A9" w14:textId="77777777" w:rsidR="00B100F5" w:rsidRDefault="00105F08">
      <w:pPr>
        <w:spacing w:after="263" w:line="259" w:lineRule="auto"/>
        <w:ind w:left="0" w:right="0" w:firstLine="0"/>
      </w:pPr>
      <w:r>
        <w:t xml:space="preserve"> </w:t>
      </w:r>
    </w:p>
    <w:p w14:paraId="02A46EBC" w14:textId="77777777" w:rsidR="00B100F5" w:rsidRDefault="00105F08">
      <w:pPr>
        <w:spacing w:after="262" w:line="259" w:lineRule="auto"/>
        <w:ind w:left="-5" w:right="0"/>
      </w:pPr>
      <w:r>
        <w:lastRenderedPageBreak/>
        <w:t xml:space="preserve">  </w:t>
      </w:r>
      <w:r>
        <w:rPr>
          <w:b/>
        </w:rPr>
        <w:t xml:space="preserve">State Characteristics Goal of Care Staff.   </w:t>
      </w:r>
    </w:p>
    <w:p w14:paraId="7938E5E1" w14:textId="77777777" w:rsidR="00B100F5" w:rsidRDefault="00105F08">
      <w:pPr>
        <w:spacing w:after="278" w:line="259" w:lineRule="auto"/>
        <w:ind w:left="0" w:right="0" w:firstLine="0"/>
      </w:pPr>
      <w:r>
        <w:t xml:space="preserve"> </w:t>
      </w:r>
    </w:p>
    <w:p w14:paraId="16D7E2CD" w14:textId="77777777" w:rsidR="00B100F5" w:rsidRDefault="00105F08">
      <w:pPr>
        <w:numPr>
          <w:ilvl w:val="0"/>
          <w:numId w:val="1"/>
        </w:numPr>
        <w:spacing w:after="5"/>
        <w:ind w:right="0" w:hanging="360"/>
      </w:pPr>
      <w:r>
        <w:t xml:space="preserve">Ego Integrity Ego integrity consists of a feeling of unity, pride in accomplishments and acceptance of the end of life.   Assistance: Check the history and identity of the resident.   </w:t>
      </w:r>
    </w:p>
    <w:p w14:paraId="732498D4" w14:textId="6BBEA58F" w:rsidR="00B100F5" w:rsidRDefault="00105F08">
      <w:pPr>
        <w:numPr>
          <w:ilvl w:val="0"/>
          <w:numId w:val="1"/>
        </w:numPr>
        <w:ind w:right="0" w:hanging="360"/>
      </w:pPr>
      <w:r>
        <w:t xml:space="preserve">Despair This is a sense of remorse, resentment, and the idea that life had been wasted.   Intervene: shift to </w:t>
      </w:r>
      <w:r w:rsidR="00915B02">
        <w:t>meaning making</w:t>
      </w:r>
      <w:r>
        <w:t xml:space="preserve"> and legacy.   </w:t>
      </w:r>
    </w:p>
    <w:p w14:paraId="5E07EC5C" w14:textId="77777777" w:rsidR="00B100F5" w:rsidRDefault="00105F08">
      <w:pPr>
        <w:spacing w:after="266" w:line="259" w:lineRule="auto"/>
        <w:ind w:left="0" w:right="0" w:firstLine="0"/>
      </w:pPr>
      <w:r>
        <w:t xml:space="preserve"> </w:t>
      </w:r>
    </w:p>
    <w:p w14:paraId="71035C43" w14:textId="77777777" w:rsidR="00B100F5" w:rsidRDefault="00105F08">
      <w:pPr>
        <w:spacing w:after="262" w:line="259" w:lineRule="auto"/>
        <w:ind w:left="-5" w:right="0"/>
      </w:pPr>
      <w:r>
        <w:rPr>
          <w:b/>
        </w:rPr>
        <w:t xml:space="preserve">Best Practice: Reminiscence and Narrative Care. </w:t>
      </w:r>
    </w:p>
    <w:p w14:paraId="28F76430" w14:textId="77777777" w:rsidR="00B100F5" w:rsidRDefault="00105F08">
      <w:pPr>
        <w:numPr>
          <w:ilvl w:val="0"/>
          <w:numId w:val="1"/>
        </w:numPr>
        <w:ind w:right="0" w:hanging="360"/>
      </w:pPr>
      <w:r>
        <w:t xml:space="preserve">To help in "Integrity" employees would have to leave behind viewing a resident as an assortment of symptoms and view them as a story.  </w:t>
      </w:r>
    </w:p>
    <w:p w14:paraId="35CB4401" w14:textId="77777777" w:rsidR="00B100F5" w:rsidRDefault="00105F08">
      <w:pPr>
        <w:numPr>
          <w:ilvl w:val="0"/>
          <w:numId w:val="1"/>
        </w:numPr>
        <w:spacing w:after="4"/>
        <w:ind w:right="0" w:hanging="360"/>
      </w:pPr>
      <w:r>
        <w:t xml:space="preserve">Narrative Interventions: Have the resident make physical memory books recording his or her career, family, and hobbies with the use of Life Story Work. </w:t>
      </w:r>
    </w:p>
    <w:p w14:paraId="51FCA78A" w14:textId="77777777" w:rsidR="00B100F5" w:rsidRDefault="00105F08">
      <w:pPr>
        <w:numPr>
          <w:ilvl w:val="0"/>
          <w:numId w:val="1"/>
        </w:numPr>
        <w:ind w:right="0" w:hanging="360"/>
      </w:pPr>
      <w:r>
        <w:t xml:space="preserve">Structured Reminiscence: Hold weekly group or 1-to-1 sessions during which residents are invited to talk about the success stories. The process strengthens a sense of self-worth and belonging in the society (Woods et al., 2018). </w:t>
      </w:r>
    </w:p>
    <w:p w14:paraId="64B4366B" w14:textId="77777777" w:rsidR="00B100F5" w:rsidRDefault="00105F08">
      <w:pPr>
        <w:spacing w:after="263" w:line="259" w:lineRule="auto"/>
        <w:ind w:left="0" w:right="0" w:firstLine="0"/>
      </w:pPr>
      <w:r>
        <w:t xml:space="preserve"> </w:t>
      </w:r>
    </w:p>
    <w:p w14:paraId="7098862D" w14:textId="77777777" w:rsidR="00B100F5" w:rsidRDefault="00105F08">
      <w:pPr>
        <w:spacing w:after="262" w:line="259" w:lineRule="auto"/>
        <w:ind w:left="-5" w:right="0"/>
      </w:pPr>
      <w:r>
        <w:rPr>
          <w:b/>
        </w:rPr>
        <w:t xml:space="preserve">Applied Case Scenario </w:t>
      </w:r>
    </w:p>
    <w:p w14:paraId="26606E5A" w14:textId="5FEEEB68" w:rsidR="00B100F5" w:rsidRDefault="00105F08">
      <w:pPr>
        <w:ind w:left="-5" w:right="0"/>
      </w:pPr>
      <w:r>
        <w:t>The Resident</w:t>
      </w:r>
      <w:r w:rsidR="00465229">
        <w:t xml:space="preserve"> </w:t>
      </w:r>
      <w:r>
        <w:t xml:space="preserve">a former teacher of </w:t>
      </w:r>
      <w:r w:rsidR="00465229">
        <w:t>Mr Ward 91 years old,</w:t>
      </w:r>
      <w:r>
        <w:t xml:space="preserve"> who just started to receive any care after the bereavement. The resident has signs of depressive slowing, does not want to eat together, explaining that they have nothing more to share. </w:t>
      </w:r>
    </w:p>
    <w:p w14:paraId="5C762BDD" w14:textId="77777777" w:rsidR="00B100F5" w:rsidRDefault="00105F08">
      <w:pPr>
        <w:spacing w:after="263" w:line="259" w:lineRule="auto"/>
        <w:ind w:left="0" w:right="0" w:firstLine="0"/>
      </w:pPr>
      <w:r>
        <w:t xml:space="preserve"> </w:t>
      </w:r>
    </w:p>
    <w:p w14:paraId="3C7DADD4" w14:textId="77777777" w:rsidR="00B100F5" w:rsidRDefault="00105F08">
      <w:pPr>
        <w:ind w:left="-5" w:right="0"/>
      </w:pPr>
      <w:r>
        <w:t>The Medical Intervention: As opposed to analysing the refusal to eat, the care team applies the Erikson model to begin with Identity Recovery. One staff member uses 15 minutes of his day asking the resident questions about the years he has been in the classroom. The resident starts identifying him or herself as a mentor and an educator by capturing these professional accomplishments in what is known as a Legacy Folder. This Despair (concentrating on loss) to Integrity (concentrating on contribution) makes t</w:t>
      </w:r>
      <w:r>
        <w:t xml:space="preserve">he mood better and more socially active. </w:t>
      </w:r>
    </w:p>
    <w:p w14:paraId="3C82711D" w14:textId="77777777" w:rsidR="00B100F5" w:rsidRDefault="00105F08">
      <w:pPr>
        <w:spacing w:after="266" w:line="259" w:lineRule="auto"/>
        <w:ind w:left="0" w:right="0" w:firstLine="0"/>
      </w:pPr>
      <w:r>
        <w:rPr>
          <w:b/>
        </w:rPr>
        <w:t xml:space="preserve"> </w:t>
      </w:r>
    </w:p>
    <w:p w14:paraId="733A29DE" w14:textId="77777777" w:rsidR="00B100F5" w:rsidRDefault="00105F08">
      <w:pPr>
        <w:spacing w:after="262" w:line="259" w:lineRule="auto"/>
        <w:ind w:left="-5" w:right="0"/>
      </w:pPr>
      <w:r>
        <w:rPr>
          <w:b/>
        </w:rPr>
        <w:lastRenderedPageBreak/>
        <w:t xml:space="preserve">Dilemmas in the Care Setting. </w:t>
      </w:r>
    </w:p>
    <w:p w14:paraId="19651CAB" w14:textId="77777777" w:rsidR="00B100F5" w:rsidRDefault="00105F08">
      <w:pPr>
        <w:numPr>
          <w:ilvl w:val="0"/>
          <w:numId w:val="2"/>
        </w:numPr>
        <w:spacing w:after="4"/>
        <w:ind w:right="0" w:hanging="360"/>
      </w:pPr>
      <w:r>
        <w:t xml:space="preserve">The institutional realities are usually an obstacle to the application of psychosocial theory: </w:t>
      </w:r>
    </w:p>
    <w:p w14:paraId="570978B4" w14:textId="77777777" w:rsidR="00B100F5" w:rsidRDefault="00105F08">
      <w:pPr>
        <w:numPr>
          <w:ilvl w:val="0"/>
          <w:numId w:val="2"/>
        </w:numPr>
        <w:spacing w:after="5"/>
        <w:ind w:right="0" w:hanging="360"/>
      </w:pPr>
      <w:r>
        <w:t xml:space="preserve">The "Task-Oriented" Barrier: High workloads are characterized by more focus on physical observations (blood pressure, medication) than on the emotional care based on talk. </w:t>
      </w:r>
    </w:p>
    <w:p w14:paraId="21686E27" w14:textId="77777777" w:rsidR="00B100F5" w:rsidRDefault="00105F08">
      <w:pPr>
        <w:numPr>
          <w:ilvl w:val="0"/>
          <w:numId w:val="2"/>
        </w:numPr>
        <w:spacing w:after="4"/>
        <w:ind w:right="0" w:hanging="360"/>
      </w:pPr>
      <w:r>
        <w:t xml:space="preserve">Cognitive Limitations: Dementia patients in advanced stages can be challenged by chronological memory, which makes the conventional life-review difficult. </w:t>
      </w:r>
    </w:p>
    <w:p w14:paraId="3E56A310" w14:textId="77777777" w:rsidR="00B100F5" w:rsidRDefault="00105F08">
      <w:pPr>
        <w:numPr>
          <w:ilvl w:val="0"/>
          <w:numId w:val="2"/>
        </w:numPr>
        <w:ind w:right="0" w:hanging="360"/>
      </w:pPr>
      <w:r>
        <w:t xml:space="preserve">Turnover of work force: A constant rotation in the staffing does not allow formation of the trust needed to have profound emotional sharing. </w:t>
      </w:r>
    </w:p>
    <w:p w14:paraId="1CBA6EF0" w14:textId="77777777" w:rsidR="00B100F5" w:rsidRDefault="00105F08">
      <w:pPr>
        <w:spacing w:after="266" w:line="259" w:lineRule="auto"/>
        <w:ind w:left="0" w:right="0" w:firstLine="0"/>
      </w:pPr>
      <w:r>
        <w:t xml:space="preserve"> </w:t>
      </w:r>
    </w:p>
    <w:p w14:paraId="373EA3A9" w14:textId="77777777" w:rsidR="00B100F5" w:rsidRDefault="00105F08">
      <w:pPr>
        <w:spacing w:after="262" w:line="259" w:lineRule="auto"/>
        <w:ind w:left="-5" w:right="0"/>
      </w:pPr>
      <w:r>
        <w:rPr>
          <w:b/>
        </w:rPr>
        <w:t xml:space="preserve">Mitigation Strategies </w:t>
      </w:r>
    </w:p>
    <w:p w14:paraId="79196641" w14:textId="77777777" w:rsidR="00B100F5" w:rsidRDefault="00105F08">
      <w:pPr>
        <w:numPr>
          <w:ilvl w:val="0"/>
          <w:numId w:val="2"/>
        </w:numPr>
        <w:spacing w:after="7"/>
        <w:ind w:right="0" w:hanging="360"/>
      </w:pPr>
      <w:r>
        <w:t>Micro-</w:t>
      </w:r>
      <w:r>
        <w:t xml:space="preserve">Reminiscence: Incorporate emotional support in the physical activities. As an example, you can speak about the past cooking abilities of a resident when helping him/her with a meal. </w:t>
      </w:r>
    </w:p>
    <w:p w14:paraId="5E74BFFA" w14:textId="77777777" w:rsidR="00B100F5" w:rsidRDefault="00105F08">
      <w:pPr>
        <w:numPr>
          <w:ilvl w:val="0"/>
          <w:numId w:val="2"/>
        </w:numPr>
        <w:spacing w:after="4"/>
        <w:ind w:right="0" w:hanging="360"/>
      </w:pPr>
      <w:r>
        <w:t>Sensory: Music, certain aromas (e.g., lavender or old spices) and objects touched by the person with cognitive impairment should be used to induce them to have an emotional memory (</w:t>
      </w:r>
      <w:proofErr w:type="spellStart"/>
      <w:r>
        <w:t>Kitwood</w:t>
      </w:r>
      <w:proofErr w:type="spellEnd"/>
      <w:r>
        <w:t xml:space="preserve">, 1997). </w:t>
      </w:r>
    </w:p>
    <w:p w14:paraId="3FF5B71B" w14:textId="77777777" w:rsidR="00B100F5" w:rsidRDefault="00105F08">
      <w:pPr>
        <w:numPr>
          <w:ilvl w:val="0"/>
          <w:numId w:val="2"/>
        </w:numPr>
        <w:ind w:right="0" w:hanging="360"/>
      </w:pPr>
      <w:r>
        <w:t xml:space="preserve">Family Partnerships: Furnish Family partnerships are especially encouraged to give biographical snapshots on the admission process so that the staff members have ready-made conversation starters that will sustain the identity of the residents. </w:t>
      </w:r>
    </w:p>
    <w:p w14:paraId="507E661E" w14:textId="77777777" w:rsidR="00B100F5" w:rsidRDefault="00105F08">
      <w:pPr>
        <w:spacing w:after="266" w:line="259" w:lineRule="auto"/>
        <w:ind w:left="0" w:right="0" w:firstLine="0"/>
      </w:pPr>
      <w:r>
        <w:t xml:space="preserve"> </w:t>
      </w:r>
    </w:p>
    <w:p w14:paraId="1C20688A" w14:textId="77777777" w:rsidR="00B100F5" w:rsidRDefault="00105F08">
      <w:pPr>
        <w:spacing w:after="262" w:line="259" w:lineRule="auto"/>
        <w:ind w:left="-5" w:right="0"/>
      </w:pPr>
      <w:r>
        <w:rPr>
          <w:b/>
        </w:rPr>
        <w:t xml:space="preserve">Conclusion </w:t>
      </w:r>
    </w:p>
    <w:p w14:paraId="22572F3B" w14:textId="06384F31" w:rsidR="00B100F5" w:rsidRDefault="00105F08">
      <w:pPr>
        <w:ind w:left="-5" w:right="0"/>
      </w:pPr>
      <w:r>
        <w:t xml:space="preserve">The application of Erikson theory to residential care is not a mere psychological process, but rather an inherent part of the person-cantered care. Although the problem of resources is a fact, even minor changes towards reminiscence and </w:t>
      </w:r>
      <w:r w:rsidR="00915B02">
        <w:t>meaning making</w:t>
      </w:r>
      <w:r>
        <w:t xml:space="preserve"> can greatly improve the quality of life of the residents and make them feel appreciated and emotionally safe throughout their final years. </w:t>
      </w:r>
    </w:p>
    <w:p w14:paraId="05BBADA6" w14:textId="77777777" w:rsidR="00B100F5" w:rsidRDefault="00105F08">
      <w:pPr>
        <w:spacing w:after="266" w:line="259" w:lineRule="auto"/>
        <w:ind w:left="0" w:right="0" w:firstLine="0"/>
      </w:pPr>
      <w:r>
        <w:t xml:space="preserve"> </w:t>
      </w:r>
    </w:p>
    <w:p w14:paraId="0C016A29" w14:textId="77777777" w:rsidR="00B100F5" w:rsidRDefault="00105F08">
      <w:pPr>
        <w:spacing w:after="266" w:line="259" w:lineRule="auto"/>
        <w:ind w:left="0" w:right="0" w:firstLine="0"/>
      </w:pPr>
      <w:r>
        <w:t xml:space="preserve"> </w:t>
      </w:r>
    </w:p>
    <w:p w14:paraId="2D526ADB" w14:textId="77777777" w:rsidR="00B100F5" w:rsidRDefault="00105F08">
      <w:pPr>
        <w:spacing w:after="263" w:line="259" w:lineRule="auto"/>
        <w:ind w:left="0" w:right="0" w:firstLine="0"/>
      </w:pPr>
      <w:r>
        <w:t xml:space="preserve"> </w:t>
      </w:r>
    </w:p>
    <w:p w14:paraId="4DDA23BB" w14:textId="77777777" w:rsidR="00B100F5" w:rsidRDefault="00105F08">
      <w:pPr>
        <w:spacing w:after="266" w:line="259" w:lineRule="auto"/>
        <w:ind w:left="0" w:right="0" w:firstLine="0"/>
      </w:pPr>
      <w:r>
        <w:lastRenderedPageBreak/>
        <w:t xml:space="preserve"> </w:t>
      </w:r>
    </w:p>
    <w:p w14:paraId="4499A469" w14:textId="77777777" w:rsidR="00B100F5" w:rsidRDefault="00105F08">
      <w:pPr>
        <w:spacing w:after="266" w:line="259" w:lineRule="auto"/>
        <w:ind w:left="0" w:right="0" w:firstLine="0"/>
      </w:pPr>
      <w:r>
        <w:t xml:space="preserve"> </w:t>
      </w:r>
    </w:p>
    <w:p w14:paraId="55452410" w14:textId="77777777" w:rsidR="00B100F5" w:rsidRDefault="00105F08">
      <w:pPr>
        <w:spacing w:after="266" w:line="259" w:lineRule="auto"/>
        <w:ind w:left="0" w:right="0" w:firstLine="0"/>
      </w:pPr>
      <w:r>
        <w:t xml:space="preserve"> </w:t>
      </w:r>
    </w:p>
    <w:p w14:paraId="5885646F" w14:textId="77777777" w:rsidR="00B100F5" w:rsidRDefault="00105F08">
      <w:pPr>
        <w:spacing w:after="263" w:line="259" w:lineRule="auto"/>
        <w:ind w:left="0" w:right="0" w:firstLine="0"/>
      </w:pPr>
      <w:r>
        <w:t xml:space="preserve"> </w:t>
      </w:r>
    </w:p>
    <w:p w14:paraId="106AE260" w14:textId="77777777" w:rsidR="00B100F5" w:rsidRDefault="00105F08">
      <w:pPr>
        <w:spacing w:after="266" w:line="259" w:lineRule="auto"/>
        <w:ind w:left="0" w:right="0" w:firstLine="0"/>
      </w:pPr>
      <w:r>
        <w:t xml:space="preserve"> </w:t>
      </w:r>
    </w:p>
    <w:p w14:paraId="6F7B2D80" w14:textId="77777777" w:rsidR="00B100F5" w:rsidRDefault="00105F08">
      <w:pPr>
        <w:spacing w:after="266" w:line="259" w:lineRule="auto"/>
        <w:ind w:left="0" w:right="0" w:firstLine="0"/>
      </w:pPr>
      <w:r>
        <w:t xml:space="preserve"> </w:t>
      </w:r>
    </w:p>
    <w:p w14:paraId="638D8348" w14:textId="77777777" w:rsidR="00B100F5" w:rsidRDefault="00105F08">
      <w:pPr>
        <w:spacing w:after="266" w:line="259" w:lineRule="auto"/>
        <w:ind w:left="0" w:right="0" w:firstLine="0"/>
      </w:pPr>
      <w:r>
        <w:t xml:space="preserve"> </w:t>
      </w:r>
    </w:p>
    <w:p w14:paraId="46F23DB1" w14:textId="77777777" w:rsidR="00B100F5" w:rsidRDefault="00105F08">
      <w:pPr>
        <w:spacing w:after="266" w:line="259" w:lineRule="auto"/>
        <w:ind w:left="0" w:right="0" w:firstLine="0"/>
      </w:pPr>
      <w:r>
        <w:t xml:space="preserve"> </w:t>
      </w:r>
    </w:p>
    <w:p w14:paraId="563595A7" w14:textId="77777777" w:rsidR="00B100F5" w:rsidRDefault="00105F08">
      <w:pPr>
        <w:spacing w:after="263" w:line="259" w:lineRule="auto"/>
        <w:ind w:left="0" w:right="0" w:firstLine="0"/>
      </w:pPr>
      <w:r>
        <w:t xml:space="preserve"> </w:t>
      </w:r>
    </w:p>
    <w:p w14:paraId="60BB0627" w14:textId="77777777" w:rsidR="00B100F5" w:rsidRDefault="00105F08">
      <w:pPr>
        <w:spacing w:after="0" w:line="259" w:lineRule="auto"/>
        <w:ind w:left="0" w:right="0" w:firstLine="0"/>
      </w:pPr>
      <w:r>
        <w:t xml:space="preserve"> </w:t>
      </w:r>
    </w:p>
    <w:p w14:paraId="01E7E1E2" w14:textId="77777777" w:rsidR="00B100F5" w:rsidRDefault="00105F08">
      <w:pPr>
        <w:spacing w:after="262" w:line="259" w:lineRule="auto"/>
        <w:ind w:left="-5" w:right="0"/>
      </w:pPr>
      <w:r>
        <w:rPr>
          <w:b/>
        </w:rPr>
        <w:t xml:space="preserve">References </w:t>
      </w:r>
    </w:p>
    <w:p w14:paraId="37D15B2B" w14:textId="77777777" w:rsidR="00B100F5" w:rsidRDefault="00105F08">
      <w:pPr>
        <w:spacing w:after="263" w:line="259" w:lineRule="auto"/>
        <w:ind w:left="-5" w:right="0"/>
      </w:pPr>
      <w:r>
        <w:t xml:space="preserve"> </w:t>
      </w:r>
      <w:r>
        <w:t xml:space="preserve">Erikson, E.H. (1982) The Life Cycle Completed. New York: W.W. Norton. </w:t>
      </w:r>
    </w:p>
    <w:p w14:paraId="75A33FB6" w14:textId="77777777" w:rsidR="00B100F5" w:rsidRDefault="00105F08">
      <w:pPr>
        <w:ind w:left="-5" w:right="0"/>
      </w:pPr>
      <w:r>
        <w:t xml:space="preserve"> </w:t>
      </w:r>
      <w:proofErr w:type="spellStart"/>
      <w:r>
        <w:t>Kitwood</w:t>
      </w:r>
      <w:proofErr w:type="spellEnd"/>
      <w:r>
        <w:t xml:space="preserve">, T. (1997) Dementia reconsidered: the person first. Buckingham: Open University Press. </w:t>
      </w:r>
    </w:p>
    <w:p w14:paraId="12D017B7" w14:textId="77777777" w:rsidR="00B100F5" w:rsidRDefault="00105F08">
      <w:pPr>
        <w:ind w:left="-5" w:right="0"/>
      </w:pPr>
      <w:proofErr w:type="spellStart"/>
      <w:r>
        <w:t>Kitwood</w:t>
      </w:r>
      <w:proofErr w:type="spellEnd"/>
      <w:r>
        <w:t xml:space="preserve">, T., 1997. Dementia reconsidered: the person first. Buckingham: Open University Press.  </w:t>
      </w:r>
    </w:p>
    <w:p w14:paraId="542A7EDA" w14:textId="77777777" w:rsidR="00B100F5" w:rsidRDefault="00105F08">
      <w:pPr>
        <w:spacing w:after="105" w:line="259" w:lineRule="auto"/>
        <w:ind w:left="-5" w:right="0"/>
      </w:pPr>
      <w:r>
        <w:t xml:space="preserve">World Health Organization, 2022. Older Adults Mental Health. [online] Accurate at: </w:t>
      </w:r>
    </w:p>
    <w:p w14:paraId="7D5153F3" w14:textId="77777777" w:rsidR="00B100F5" w:rsidRDefault="00105F08">
      <w:pPr>
        <w:ind w:left="-5" w:right="0"/>
      </w:pPr>
      <w:r>
        <w:t xml:space="preserve">https://www.who.int/news-room/fact-sheets/detail/mental-health-of-older-adults. [Accessed 23 March 2026].  </w:t>
      </w:r>
    </w:p>
    <w:p w14:paraId="340E7A8D" w14:textId="77777777" w:rsidR="00B100F5" w:rsidRDefault="00105F08">
      <w:pPr>
        <w:spacing w:after="105" w:line="259" w:lineRule="auto"/>
        <w:ind w:left="-5" w:right="0"/>
      </w:pPr>
      <w:r>
        <w:t xml:space="preserve">Skills for Care, 2023. State of Adult Social Care Sector and Adult Workforce in England. </w:t>
      </w:r>
    </w:p>
    <w:p w14:paraId="2A805501" w14:textId="77777777" w:rsidR="00B100F5" w:rsidRDefault="00105F08">
      <w:pPr>
        <w:spacing w:after="110" w:line="259" w:lineRule="auto"/>
        <w:ind w:left="-5" w:right="0"/>
      </w:pPr>
      <w:r>
        <w:t xml:space="preserve">[online] Accessed at: https://www.skillsforcare.org.uk/adult-social-care-workforce-data. </w:t>
      </w:r>
    </w:p>
    <w:p w14:paraId="1849E2C7" w14:textId="77777777" w:rsidR="00B100F5" w:rsidRDefault="00105F08">
      <w:pPr>
        <w:spacing w:after="263" w:line="259" w:lineRule="auto"/>
        <w:ind w:left="-5" w:right="0"/>
      </w:pPr>
      <w:r>
        <w:t xml:space="preserve">[Accessed 23 March 2026]. </w:t>
      </w:r>
    </w:p>
    <w:p w14:paraId="658DB6D8" w14:textId="77777777" w:rsidR="00B100F5" w:rsidRDefault="00105F08">
      <w:pPr>
        <w:spacing w:line="259" w:lineRule="auto"/>
        <w:ind w:left="-5" w:right="0"/>
      </w:pPr>
      <w:r>
        <w:t xml:space="preserve"> Alzheimer's Society, 2022. Dementia and Memory Loss. UK: Alzheimer's Society. </w:t>
      </w:r>
    </w:p>
    <w:sectPr w:rsidR="00B100F5">
      <w:pgSz w:w="11906" w:h="16838"/>
      <w:pgMar w:top="1447" w:right="1440" w:bottom="1617"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0000000000000000000"/>
    <w:charset w:val="00"/>
    <w:family w:val="roman"/>
    <w:notTrueType/>
    <w:pitch w:val="default"/>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5E47A4"/>
    <w:multiLevelType w:val="hybridMultilevel"/>
    <w:tmpl w:val="5F780984"/>
    <w:lvl w:ilvl="0" w:tplc="7844316A">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F6802AF2">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021C49FA">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85849032">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411065AE">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49BAF0D4">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B5C266FE">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844025D6">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E530EDF4">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37B268FA"/>
    <w:multiLevelType w:val="hybridMultilevel"/>
    <w:tmpl w:val="2EB41622"/>
    <w:lvl w:ilvl="0" w:tplc="9BE05244">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515EE65E">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28D6073C">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F5042412">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1A86FA38">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E33E7176">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5C6AC3A2">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C7B4C97C">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2F38C544">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num w:numId="1" w16cid:durableId="954363781">
    <w:abstractNumId w:val="1"/>
  </w:num>
  <w:num w:numId="2" w16cid:durableId="8432759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00F5"/>
    <w:rsid w:val="00105F08"/>
    <w:rsid w:val="00310BF4"/>
    <w:rsid w:val="00465229"/>
    <w:rsid w:val="00915B02"/>
    <w:rsid w:val="00B100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DF1F2E"/>
  <w15:docId w15:val="{6DAF7D32-C222-4738-9609-F828196EBD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48" w:line="370" w:lineRule="auto"/>
      <w:ind w:left="10" w:right="631" w:hanging="10"/>
    </w:pPr>
    <w:rPr>
      <w:rFonts w:ascii="Arial" w:eastAsia="Arial" w:hAnsi="Arial" w:cs="Arial"/>
      <w:color w:val="000000"/>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ED00E2095EE4341B6EDA34AD6B58574" ma:contentTypeVersion="5" ma:contentTypeDescription="Create a new document." ma:contentTypeScope="" ma:versionID="e438f4fe38e0374d55824e216c86206a">
  <xsd:schema xmlns:xsd="http://www.w3.org/2001/XMLSchema" xmlns:xs="http://www.w3.org/2001/XMLSchema" xmlns:p="http://schemas.microsoft.com/office/2006/metadata/properties" xmlns:ns3="1db24759-c936-4417-b43c-e7856b46dbfa" targetNamespace="http://schemas.microsoft.com/office/2006/metadata/properties" ma:root="true" ma:fieldsID="bd6f2da3c2e329283e90fae51155018f" ns3:_="">
    <xsd:import namespace="1db24759-c936-4417-b43c-e7856b46dbf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db24759-c936-4417-b43c-e7856b46dbf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1db24759-c936-4417-b43c-e7856b46dbfa" xsi:nil="true"/>
  </documentManagement>
</p:properties>
</file>

<file path=customXml/itemProps1.xml><?xml version="1.0" encoding="utf-8"?>
<ds:datastoreItem xmlns:ds="http://schemas.openxmlformats.org/officeDocument/2006/customXml" ds:itemID="{DDADB629-013F-4006-A6C5-6B0F405DF4A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db24759-c936-4417-b43c-e7856b46dbf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FA8F064-9C76-4A3D-8C26-BABAC5633398}">
  <ds:schemaRefs>
    <ds:schemaRef ds:uri="http://schemas.microsoft.com/sharepoint/v3/contenttype/forms"/>
  </ds:schemaRefs>
</ds:datastoreItem>
</file>

<file path=customXml/itemProps3.xml><?xml version="1.0" encoding="utf-8"?>
<ds:datastoreItem xmlns:ds="http://schemas.openxmlformats.org/officeDocument/2006/customXml" ds:itemID="{80B3B67F-EB74-417F-9C6F-A7C596DBB7E0}">
  <ds:schemaRefs>
    <ds:schemaRef ds:uri="http://schemas.microsoft.com/office/2006/metadata/properties"/>
    <ds:schemaRef ds:uri="http://schemas.microsoft.com/office/infopath/2007/PartnerControls"/>
    <ds:schemaRef ds:uri="1db24759-c936-4417-b43c-e7856b46dbfa"/>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7</Pages>
  <Words>1594</Words>
  <Characters>9088</Characters>
  <Application>Microsoft Office Word</Application>
  <DocSecurity>0</DocSecurity>
  <Lines>75</Lines>
  <Paragraphs>21</Paragraphs>
  <ScaleCrop>false</ScaleCrop>
  <Company/>
  <LinksUpToDate>false</LinksUpToDate>
  <CharactersWithSpaces>10661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Kitheka</dc:creator>
  <cp:keywords/>
  <cp:lastModifiedBy>Razia Begum (2440160)</cp:lastModifiedBy>
  <cp:revision>2</cp:revision>
  <dcterms:created xsi:type="dcterms:W3CDTF">2026-03-24T01:25:00Z</dcterms:created>
  <dcterms:modified xsi:type="dcterms:W3CDTF">2026-03-24T01:25:00Z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0x010100BED00E2095EE4341B6EDA34AD6B58574</vt:lpwstr>
  </property>
</Properties>
</file>