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F03753" w14:textId="77777777" w:rsidR="009F6F06" w:rsidRPr="00326600" w:rsidRDefault="007A1FA0" w:rsidP="009F6F06">
      <w:pPr>
        <w:spacing w:line="360" w:lineRule="auto"/>
        <w:jc w:val="center"/>
        <w:rPr>
          <w:rFonts w:ascii="Arial" w:hAnsi="Arial" w:cs="Arial"/>
          <w:b/>
          <w:bCs/>
          <w:sz w:val="40"/>
          <w:szCs w:val="40"/>
        </w:rPr>
      </w:pPr>
      <w:r w:rsidRPr="00326600">
        <w:rPr>
          <w:rFonts w:ascii="Arial" w:hAnsi="Arial" w:cs="Arial"/>
          <w:b/>
          <w:bCs/>
          <w:sz w:val="40"/>
          <w:szCs w:val="40"/>
        </w:rPr>
        <w:t>Programme:</w:t>
      </w:r>
    </w:p>
    <w:p w14:paraId="3543FF8E" w14:textId="4AC8584C" w:rsidR="007A1FA0" w:rsidRPr="00326600" w:rsidRDefault="007A1FA0" w:rsidP="009F6F06">
      <w:pPr>
        <w:spacing w:line="360" w:lineRule="auto"/>
        <w:jc w:val="center"/>
        <w:rPr>
          <w:rFonts w:ascii="Arial" w:hAnsi="Arial" w:cs="Arial"/>
          <w:sz w:val="40"/>
          <w:szCs w:val="40"/>
        </w:rPr>
      </w:pPr>
      <w:r w:rsidRPr="00326600">
        <w:rPr>
          <w:rFonts w:ascii="Arial" w:hAnsi="Arial" w:cs="Arial"/>
          <w:sz w:val="40"/>
          <w:szCs w:val="40"/>
        </w:rPr>
        <w:t>Certificate of Higher Education Skills for the Workplace (Health and Social Care)</w:t>
      </w:r>
    </w:p>
    <w:p w14:paraId="5D0F0810" w14:textId="0A41CD40" w:rsidR="007A1FA0" w:rsidRPr="00326600" w:rsidRDefault="007A1FA0" w:rsidP="00A97518">
      <w:pPr>
        <w:spacing w:line="360" w:lineRule="auto"/>
        <w:jc w:val="center"/>
        <w:rPr>
          <w:rFonts w:ascii="Arial" w:hAnsi="Arial" w:cs="Arial"/>
          <w:b/>
          <w:bCs/>
          <w:sz w:val="40"/>
          <w:szCs w:val="40"/>
        </w:rPr>
      </w:pPr>
      <w:r w:rsidRPr="00326600">
        <w:rPr>
          <w:rFonts w:ascii="Arial" w:hAnsi="Arial" w:cs="Arial"/>
          <w:b/>
          <w:bCs/>
          <w:sz w:val="40"/>
          <w:szCs w:val="40"/>
        </w:rPr>
        <w:t>Module:</w:t>
      </w:r>
    </w:p>
    <w:p w14:paraId="19CCAC53" w14:textId="251D5691" w:rsidR="00BB1495" w:rsidRPr="00326600" w:rsidRDefault="00BB1495" w:rsidP="00BB1495">
      <w:pPr>
        <w:spacing w:line="360" w:lineRule="auto"/>
        <w:jc w:val="center"/>
        <w:rPr>
          <w:rFonts w:ascii="Arial" w:hAnsi="Arial" w:cs="Arial"/>
          <w:sz w:val="40"/>
          <w:szCs w:val="40"/>
        </w:rPr>
      </w:pPr>
      <w:r w:rsidRPr="00326600">
        <w:rPr>
          <w:rFonts w:ascii="Arial" w:hAnsi="Arial" w:cs="Arial"/>
          <w:sz w:val="40"/>
          <w:szCs w:val="40"/>
        </w:rPr>
        <w:t>Psychology in Health &amp; Social Care – LCHS4010</w:t>
      </w:r>
    </w:p>
    <w:p w14:paraId="62383AFD" w14:textId="77777777" w:rsidR="007A1FA0" w:rsidRPr="00326600" w:rsidRDefault="007A1FA0" w:rsidP="00A97518">
      <w:pPr>
        <w:spacing w:line="360" w:lineRule="auto"/>
        <w:jc w:val="center"/>
        <w:rPr>
          <w:rFonts w:ascii="Arial" w:hAnsi="Arial" w:cs="Arial"/>
          <w:b/>
          <w:bCs/>
          <w:sz w:val="40"/>
          <w:szCs w:val="40"/>
        </w:rPr>
      </w:pPr>
      <w:r w:rsidRPr="00326600">
        <w:rPr>
          <w:rFonts w:ascii="Arial" w:hAnsi="Arial" w:cs="Arial"/>
          <w:b/>
          <w:bCs/>
          <w:sz w:val="40"/>
          <w:szCs w:val="40"/>
        </w:rPr>
        <w:t>Assignment Title:</w:t>
      </w:r>
    </w:p>
    <w:p w14:paraId="6B6866B7" w14:textId="3C0C0411" w:rsidR="007A1FA0" w:rsidRPr="00326600" w:rsidRDefault="007E0300" w:rsidP="00A97518">
      <w:pPr>
        <w:spacing w:line="360" w:lineRule="auto"/>
        <w:jc w:val="center"/>
        <w:rPr>
          <w:rFonts w:ascii="Arial" w:hAnsi="Arial" w:cs="Arial"/>
          <w:sz w:val="40"/>
          <w:szCs w:val="40"/>
        </w:rPr>
      </w:pPr>
      <w:r w:rsidRPr="00326600">
        <w:rPr>
          <w:rFonts w:ascii="Arial" w:hAnsi="Arial" w:cs="Arial"/>
          <w:sz w:val="40"/>
          <w:szCs w:val="40"/>
        </w:rPr>
        <w:t>Bibliography &amp; report</w:t>
      </w:r>
    </w:p>
    <w:p w14:paraId="0DCC2F4B" w14:textId="564647FC" w:rsidR="007A1FA0" w:rsidRPr="00326600" w:rsidRDefault="007A1FA0" w:rsidP="00A97518">
      <w:pPr>
        <w:spacing w:line="360" w:lineRule="auto"/>
        <w:jc w:val="center"/>
        <w:rPr>
          <w:rFonts w:ascii="Arial" w:hAnsi="Arial" w:cs="Arial"/>
          <w:b/>
          <w:bCs/>
          <w:sz w:val="40"/>
          <w:szCs w:val="40"/>
        </w:rPr>
      </w:pPr>
      <w:r w:rsidRPr="00326600">
        <w:rPr>
          <w:rFonts w:ascii="Arial" w:hAnsi="Arial" w:cs="Arial"/>
          <w:b/>
          <w:bCs/>
          <w:sz w:val="40"/>
          <w:szCs w:val="40"/>
        </w:rPr>
        <w:t>Student Name:</w:t>
      </w:r>
    </w:p>
    <w:p w14:paraId="739D1E37" w14:textId="77777777" w:rsidR="007A1FA0" w:rsidRPr="00326600" w:rsidRDefault="007A1FA0" w:rsidP="00A97518">
      <w:pPr>
        <w:spacing w:line="360" w:lineRule="auto"/>
        <w:jc w:val="center"/>
        <w:rPr>
          <w:rFonts w:ascii="Arial" w:hAnsi="Arial" w:cs="Arial"/>
          <w:sz w:val="40"/>
          <w:szCs w:val="40"/>
        </w:rPr>
      </w:pPr>
      <w:r w:rsidRPr="00326600">
        <w:rPr>
          <w:rFonts w:ascii="Arial" w:hAnsi="Arial" w:cs="Arial"/>
          <w:sz w:val="40"/>
          <w:szCs w:val="40"/>
        </w:rPr>
        <w:t>Sabrina Cardoso</w:t>
      </w:r>
    </w:p>
    <w:p w14:paraId="317F3BAC" w14:textId="61445FB1" w:rsidR="007A1FA0" w:rsidRPr="00326600" w:rsidRDefault="007A1FA0" w:rsidP="00A97518">
      <w:pPr>
        <w:spacing w:line="360" w:lineRule="auto"/>
        <w:jc w:val="center"/>
        <w:rPr>
          <w:rFonts w:ascii="Arial" w:hAnsi="Arial" w:cs="Arial"/>
          <w:b/>
          <w:bCs/>
          <w:sz w:val="40"/>
          <w:szCs w:val="40"/>
        </w:rPr>
      </w:pPr>
      <w:r w:rsidRPr="00326600">
        <w:rPr>
          <w:rFonts w:ascii="Arial" w:hAnsi="Arial" w:cs="Arial"/>
          <w:b/>
          <w:bCs/>
          <w:sz w:val="40"/>
          <w:szCs w:val="40"/>
        </w:rPr>
        <w:t>Student Number:</w:t>
      </w:r>
    </w:p>
    <w:p w14:paraId="02F2743A" w14:textId="77777777" w:rsidR="007A1FA0" w:rsidRPr="00326600" w:rsidRDefault="007A1FA0" w:rsidP="00A97518">
      <w:pPr>
        <w:spacing w:line="360" w:lineRule="auto"/>
        <w:jc w:val="center"/>
        <w:rPr>
          <w:rFonts w:ascii="Arial" w:hAnsi="Arial" w:cs="Arial"/>
          <w:sz w:val="40"/>
          <w:szCs w:val="40"/>
        </w:rPr>
      </w:pPr>
      <w:r w:rsidRPr="00326600">
        <w:rPr>
          <w:rFonts w:ascii="Arial" w:hAnsi="Arial" w:cs="Arial"/>
          <w:sz w:val="40"/>
          <w:szCs w:val="40"/>
        </w:rPr>
        <w:t>2431942</w:t>
      </w:r>
    </w:p>
    <w:p w14:paraId="120059C0" w14:textId="1717FEA4" w:rsidR="007A1FA0" w:rsidRPr="00326600" w:rsidRDefault="007A1FA0" w:rsidP="00A97518">
      <w:pPr>
        <w:spacing w:line="360" w:lineRule="auto"/>
        <w:jc w:val="center"/>
        <w:rPr>
          <w:rFonts w:ascii="Arial" w:hAnsi="Arial" w:cs="Arial"/>
          <w:b/>
          <w:bCs/>
          <w:sz w:val="40"/>
          <w:szCs w:val="40"/>
        </w:rPr>
      </w:pPr>
      <w:r w:rsidRPr="00326600">
        <w:rPr>
          <w:rFonts w:ascii="Arial" w:hAnsi="Arial" w:cs="Arial"/>
          <w:b/>
          <w:bCs/>
          <w:sz w:val="40"/>
          <w:szCs w:val="40"/>
        </w:rPr>
        <w:t>Lecturer:</w:t>
      </w:r>
    </w:p>
    <w:p w14:paraId="50D033AD" w14:textId="3AD64D95" w:rsidR="007A1FA0" w:rsidRPr="00326600" w:rsidRDefault="008F32B2" w:rsidP="00A97518">
      <w:pPr>
        <w:spacing w:line="360" w:lineRule="auto"/>
        <w:jc w:val="center"/>
        <w:rPr>
          <w:rFonts w:ascii="Arial" w:hAnsi="Arial" w:cs="Arial"/>
          <w:sz w:val="40"/>
          <w:szCs w:val="40"/>
        </w:rPr>
      </w:pPr>
      <w:r w:rsidRPr="00326600">
        <w:rPr>
          <w:rFonts w:ascii="Arial" w:hAnsi="Arial" w:cs="Arial"/>
          <w:sz w:val="40"/>
          <w:szCs w:val="40"/>
        </w:rPr>
        <w:t>Alice Clayton</w:t>
      </w:r>
    </w:p>
    <w:p w14:paraId="79DE0F2F" w14:textId="77777777" w:rsidR="009F6F06" w:rsidRPr="00326600" w:rsidRDefault="007A1FA0" w:rsidP="009F6F06">
      <w:pPr>
        <w:spacing w:line="360" w:lineRule="auto"/>
        <w:jc w:val="center"/>
        <w:rPr>
          <w:rFonts w:ascii="Arial" w:hAnsi="Arial" w:cs="Arial"/>
          <w:b/>
          <w:bCs/>
          <w:sz w:val="40"/>
          <w:szCs w:val="40"/>
        </w:rPr>
      </w:pPr>
      <w:r w:rsidRPr="00326600">
        <w:rPr>
          <w:rFonts w:ascii="Arial" w:hAnsi="Arial" w:cs="Arial"/>
          <w:b/>
          <w:bCs/>
          <w:sz w:val="40"/>
          <w:szCs w:val="40"/>
        </w:rPr>
        <w:t>Word Count:</w:t>
      </w:r>
    </w:p>
    <w:p w14:paraId="110E6C61" w14:textId="77777777" w:rsidR="00326600" w:rsidRDefault="009F6F06" w:rsidP="00326600">
      <w:pPr>
        <w:spacing w:line="360" w:lineRule="auto"/>
        <w:jc w:val="center"/>
        <w:rPr>
          <w:rFonts w:ascii="Arial" w:hAnsi="Arial" w:cs="Arial"/>
          <w:sz w:val="40"/>
          <w:szCs w:val="40"/>
        </w:rPr>
      </w:pPr>
      <w:r w:rsidRPr="00326600">
        <w:rPr>
          <w:rFonts w:ascii="Arial" w:hAnsi="Arial" w:cs="Arial"/>
          <w:sz w:val="40"/>
          <w:szCs w:val="40"/>
        </w:rPr>
        <w:t xml:space="preserve">1500 </w:t>
      </w:r>
      <w:r w:rsidR="007A1FA0" w:rsidRPr="00326600">
        <w:rPr>
          <w:rFonts w:ascii="Arial" w:hAnsi="Arial" w:cs="Arial"/>
          <w:sz w:val="40"/>
          <w:szCs w:val="40"/>
        </w:rPr>
        <w:t>words</w:t>
      </w:r>
    </w:p>
    <w:p w14:paraId="745DF6D8" w14:textId="77777777" w:rsidR="00326600" w:rsidRDefault="00326600" w:rsidP="00326600">
      <w:pPr>
        <w:spacing w:line="360" w:lineRule="auto"/>
        <w:jc w:val="center"/>
        <w:rPr>
          <w:rFonts w:ascii="Arial" w:hAnsi="Arial" w:cs="Arial"/>
          <w:sz w:val="40"/>
          <w:szCs w:val="40"/>
        </w:rPr>
      </w:pPr>
    </w:p>
    <w:p w14:paraId="63900A61" w14:textId="215C7E17" w:rsidR="008944C0" w:rsidRPr="00326600" w:rsidRDefault="008944C0" w:rsidP="00E02E6A">
      <w:pPr>
        <w:spacing w:line="360" w:lineRule="auto"/>
        <w:rPr>
          <w:rFonts w:ascii="Arial" w:hAnsi="Arial" w:cs="Arial"/>
          <w:sz w:val="40"/>
          <w:szCs w:val="40"/>
        </w:rPr>
      </w:pPr>
      <w:r w:rsidRPr="005C0D06">
        <w:rPr>
          <w:rFonts w:ascii="Arial" w:hAnsi="Arial" w:cs="Arial"/>
          <w:b/>
          <w:bCs/>
          <w:sz w:val="22"/>
          <w:szCs w:val="22"/>
        </w:rPr>
        <w:t>Part A: Annotated Bibliography</w:t>
      </w:r>
    </w:p>
    <w:p w14:paraId="27EB0E38" w14:textId="77777777" w:rsidR="008944C0" w:rsidRPr="005C0D06" w:rsidRDefault="008944C0">
      <w:pPr>
        <w:rPr>
          <w:rFonts w:ascii="Arial" w:hAnsi="Arial" w:cs="Arial"/>
          <w:sz w:val="22"/>
          <w:szCs w:val="22"/>
        </w:rPr>
      </w:pPr>
    </w:p>
    <w:p w14:paraId="7F8D5228" w14:textId="77777777" w:rsidR="008944C0" w:rsidRPr="004F3AD5" w:rsidRDefault="008944C0">
      <w:pPr>
        <w:rPr>
          <w:rFonts w:ascii="Arial" w:hAnsi="Arial" w:cs="Arial"/>
          <w:sz w:val="22"/>
          <w:szCs w:val="22"/>
          <w:u w:val="single"/>
        </w:rPr>
      </w:pPr>
      <w:r w:rsidRPr="004F3AD5">
        <w:rPr>
          <w:rFonts w:ascii="Arial" w:hAnsi="Arial" w:cs="Arial"/>
          <w:sz w:val="22"/>
          <w:szCs w:val="22"/>
          <w:u w:val="single"/>
        </w:rPr>
        <w:t>Source 1</w:t>
      </w:r>
    </w:p>
    <w:p w14:paraId="6B95C43C" w14:textId="77777777" w:rsidR="008944C0" w:rsidRPr="005C0D06" w:rsidRDefault="008944C0">
      <w:pPr>
        <w:rPr>
          <w:rFonts w:ascii="Arial" w:hAnsi="Arial" w:cs="Arial"/>
          <w:sz w:val="22"/>
          <w:szCs w:val="22"/>
        </w:rPr>
      </w:pPr>
    </w:p>
    <w:p w14:paraId="6B962DCD" w14:textId="77777777" w:rsidR="008944C0" w:rsidRPr="005C0D06" w:rsidRDefault="008944C0">
      <w:pPr>
        <w:rPr>
          <w:rFonts w:ascii="Arial" w:hAnsi="Arial" w:cs="Arial"/>
          <w:sz w:val="22"/>
          <w:szCs w:val="22"/>
        </w:rPr>
      </w:pPr>
      <w:r w:rsidRPr="005C0D06">
        <w:rPr>
          <w:rFonts w:ascii="Arial" w:hAnsi="Arial" w:cs="Arial"/>
          <w:sz w:val="22"/>
          <w:szCs w:val="22"/>
        </w:rPr>
        <w:t>Erikson, E.H. (1998) The life cycle completed. New York: W.W. Norton &amp; Company.</w:t>
      </w:r>
    </w:p>
    <w:p w14:paraId="71342DE1" w14:textId="77777777" w:rsidR="003F5666" w:rsidRPr="005C0D06" w:rsidRDefault="003F5666">
      <w:pPr>
        <w:rPr>
          <w:rFonts w:ascii="Arial" w:hAnsi="Arial" w:cs="Arial"/>
          <w:sz w:val="22"/>
          <w:szCs w:val="22"/>
        </w:rPr>
      </w:pPr>
    </w:p>
    <w:p w14:paraId="604784F1" w14:textId="0B30FBAF" w:rsidR="008944C0" w:rsidRPr="005C0D06" w:rsidRDefault="008944C0">
      <w:pPr>
        <w:rPr>
          <w:rFonts w:ascii="Arial" w:hAnsi="Arial" w:cs="Arial"/>
          <w:sz w:val="22"/>
          <w:szCs w:val="22"/>
        </w:rPr>
      </w:pPr>
      <w:r w:rsidRPr="005C0D06">
        <w:rPr>
          <w:rFonts w:ascii="Arial" w:hAnsi="Arial" w:cs="Arial"/>
          <w:sz w:val="22"/>
          <w:szCs w:val="22"/>
        </w:rPr>
        <w:t>Erikson’s psychosocial theory explains human development as a sequence of eight stages, each characterised by a central psychological conflict. In later adulthood, individuals encounter the stage of ego integrity versus despair, where they reflect on their life experiences. A positive resolution leads to a sense of fulfilment and wisdom, whereas a negative outcome may result in regret and emotional distress. The theory emphasises the importance of reflection, identity, and meaning in supporting psychological wellbeing in older age.</w:t>
      </w:r>
    </w:p>
    <w:p w14:paraId="22779E00" w14:textId="77777777" w:rsidR="008944C0" w:rsidRPr="005C0D06" w:rsidRDefault="008944C0">
      <w:pPr>
        <w:rPr>
          <w:rFonts w:ascii="Arial" w:hAnsi="Arial" w:cs="Arial"/>
          <w:sz w:val="22"/>
          <w:szCs w:val="22"/>
        </w:rPr>
      </w:pPr>
      <w:r w:rsidRPr="005C0D06">
        <w:rPr>
          <w:rFonts w:ascii="Arial" w:hAnsi="Arial" w:cs="Arial"/>
          <w:sz w:val="22"/>
          <w:szCs w:val="22"/>
        </w:rPr>
        <w:t>This theory is particularly relevant in health and social care settings, such as residential care homes, where individuals may experience loneliness, reduced independence, and health-related challenges. Supporting residents to engage in life review activities can strengthen their sense of identity and enhance emotional wellbeing (Erikson, 1998).</w:t>
      </w:r>
    </w:p>
    <w:p w14:paraId="15E74C14" w14:textId="77777777" w:rsidR="008944C0" w:rsidRPr="005C0D06" w:rsidRDefault="008944C0">
      <w:pPr>
        <w:rPr>
          <w:rFonts w:ascii="Arial" w:hAnsi="Arial" w:cs="Arial"/>
          <w:sz w:val="22"/>
          <w:szCs w:val="22"/>
        </w:rPr>
      </w:pPr>
      <w:r w:rsidRPr="005C0D06">
        <w:rPr>
          <w:rFonts w:ascii="Arial" w:hAnsi="Arial" w:cs="Arial"/>
          <w:sz w:val="22"/>
          <w:szCs w:val="22"/>
        </w:rPr>
        <w:t>However, Erikson’s model has been criticised for presenting development as a fixed and linear process, which may not fully reflect diverse individual experiences. Despite this limitation, its practical value remains significant. It provides a clear framework that professionals can apply to promote dignity and emotional resilience. A thoughtful and reflective approach is essential when applying this theory, ensuring that care is personalised and responsive to each individual’s life story.</w:t>
      </w:r>
    </w:p>
    <w:p w14:paraId="655E4E24" w14:textId="77777777" w:rsidR="008944C0" w:rsidRPr="005C0D06" w:rsidRDefault="008944C0">
      <w:pPr>
        <w:rPr>
          <w:rFonts w:ascii="Arial" w:hAnsi="Arial" w:cs="Arial"/>
          <w:sz w:val="22"/>
          <w:szCs w:val="22"/>
        </w:rPr>
      </w:pPr>
    </w:p>
    <w:p w14:paraId="25BD2EBC" w14:textId="77777777" w:rsidR="008944C0" w:rsidRPr="004F3AD5" w:rsidRDefault="008944C0">
      <w:pPr>
        <w:rPr>
          <w:rFonts w:ascii="Arial" w:hAnsi="Arial" w:cs="Arial"/>
          <w:sz w:val="22"/>
          <w:szCs w:val="22"/>
          <w:u w:val="single"/>
        </w:rPr>
      </w:pPr>
      <w:r w:rsidRPr="004F3AD5">
        <w:rPr>
          <w:rFonts w:ascii="Arial" w:hAnsi="Arial" w:cs="Arial"/>
          <w:sz w:val="22"/>
          <w:szCs w:val="22"/>
          <w:u w:val="single"/>
        </w:rPr>
        <w:t>Source 2</w:t>
      </w:r>
    </w:p>
    <w:p w14:paraId="65B6B58A" w14:textId="77777777" w:rsidR="008944C0" w:rsidRPr="005C0D06" w:rsidRDefault="008944C0">
      <w:pPr>
        <w:rPr>
          <w:rFonts w:ascii="Arial" w:hAnsi="Arial" w:cs="Arial"/>
          <w:sz w:val="22"/>
          <w:szCs w:val="22"/>
        </w:rPr>
      </w:pPr>
    </w:p>
    <w:p w14:paraId="2D5F67C5" w14:textId="09000CED" w:rsidR="008944C0" w:rsidRPr="005C0D06" w:rsidRDefault="008944C0">
      <w:pPr>
        <w:rPr>
          <w:rFonts w:ascii="Arial" w:hAnsi="Arial" w:cs="Arial"/>
          <w:sz w:val="22"/>
          <w:szCs w:val="22"/>
        </w:rPr>
      </w:pPr>
      <w:r w:rsidRPr="005C0D06">
        <w:rPr>
          <w:rFonts w:ascii="Arial" w:hAnsi="Arial" w:cs="Arial"/>
          <w:sz w:val="22"/>
          <w:szCs w:val="22"/>
        </w:rPr>
        <w:t xml:space="preserve">Westerhof, G.J. and Bohlmeijer, E.T. (2014) ‘Celebrating fifty years of research and applications in reminiscence and life review’, Journal of Aging Studies, 29, pp. 107–114. Available at: </w:t>
      </w:r>
      <w:hyperlink r:id="rId7" w:history="1">
        <w:r w:rsidRPr="005C0D06">
          <w:rPr>
            <w:rStyle w:val="Hyperlink"/>
            <w:rFonts w:ascii="Arial" w:hAnsi="Arial" w:cs="Arial"/>
            <w:sz w:val="22"/>
            <w:szCs w:val="22"/>
          </w:rPr>
          <w:t>https://doi.org/10.1016/j.jaging.2014.02.003</w:t>
        </w:r>
      </w:hyperlink>
    </w:p>
    <w:p w14:paraId="401CB4FA" w14:textId="77777777" w:rsidR="008944C0" w:rsidRPr="005C0D06" w:rsidRDefault="008944C0">
      <w:pPr>
        <w:rPr>
          <w:rFonts w:ascii="Arial" w:hAnsi="Arial" w:cs="Arial"/>
          <w:sz w:val="22"/>
          <w:szCs w:val="22"/>
        </w:rPr>
      </w:pPr>
    </w:p>
    <w:p w14:paraId="2857AE71" w14:textId="77777777" w:rsidR="008944C0" w:rsidRPr="005C0D06" w:rsidRDefault="008944C0">
      <w:pPr>
        <w:rPr>
          <w:rFonts w:ascii="Arial" w:hAnsi="Arial" w:cs="Arial"/>
          <w:sz w:val="22"/>
          <w:szCs w:val="22"/>
        </w:rPr>
      </w:pPr>
      <w:r w:rsidRPr="005C0D06">
        <w:rPr>
          <w:rFonts w:ascii="Arial" w:hAnsi="Arial" w:cs="Arial"/>
          <w:sz w:val="22"/>
          <w:szCs w:val="22"/>
        </w:rPr>
        <w:t xml:space="preserve">Westerhof and Bohlmeijer (2014) examine the psychological benefits of reminiscence and life review, approaches that are closely linked to Erikson’s concept of ego integrity. Their findings indicate that structured reflection on past experiences can enhance wellbeing, reduce symptoms of depression, and increase life satisfaction among older adults. These interventions </w:t>
      </w:r>
      <w:r w:rsidRPr="005C0D06">
        <w:rPr>
          <w:rFonts w:ascii="Arial" w:hAnsi="Arial" w:cs="Arial"/>
          <w:sz w:val="22"/>
          <w:szCs w:val="22"/>
        </w:rPr>
        <w:lastRenderedPageBreak/>
        <w:t>encourage individuals to reinterpret life events in a meaningful way, contributing to a stronger sense of identity.</w:t>
      </w:r>
    </w:p>
    <w:p w14:paraId="46CBF3CD" w14:textId="77777777" w:rsidR="008944C0" w:rsidRPr="005C0D06" w:rsidRDefault="008944C0">
      <w:pPr>
        <w:rPr>
          <w:rFonts w:ascii="Arial" w:hAnsi="Arial" w:cs="Arial"/>
          <w:sz w:val="22"/>
          <w:szCs w:val="22"/>
        </w:rPr>
      </w:pPr>
    </w:p>
    <w:p w14:paraId="1954D5A5" w14:textId="77777777" w:rsidR="008944C0" w:rsidRPr="005C0D06" w:rsidRDefault="008944C0">
      <w:pPr>
        <w:rPr>
          <w:rFonts w:ascii="Arial" w:hAnsi="Arial" w:cs="Arial"/>
          <w:sz w:val="22"/>
          <w:szCs w:val="22"/>
        </w:rPr>
      </w:pPr>
      <w:r w:rsidRPr="005C0D06">
        <w:rPr>
          <w:rFonts w:ascii="Arial" w:hAnsi="Arial" w:cs="Arial"/>
          <w:sz w:val="22"/>
          <w:szCs w:val="22"/>
        </w:rPr>
        <w:t>Within health and social care settings, reminiscence therapy is widely used, particularly with individuals experiencing cognitive decline, such as dementia. It supports communication, emotional expression, and social interaction. The authors argue that these approaches are evidence-based and can significantly improve quality of life when implemented effectively.</w:t>
      </w:r>
    </w:p>
    <w:p w14:paraId="7518F80A" w14:textId="77777777" w:rsidR="008944C0" w:rsidRPr="005C0D06" w:rsidRDefault="008944C0">
      <w:pPr>
        <w:rPr>
          <w:rFonts w:ascii="Arial" w:hAnsi="Arial" w:cs="Arial"/>
          <w:sz w:val="22"/>
          <w:szCs w:val="22"/>
        </w:rPr>
      </w:pPr>
      <w:r w:rsidRPr="005C0D06">
        <w:rPr>
          <w:rFonts w:ascii="Arial" w:hAnsi="Arial" w:cs="Arial"/>
          <w:sz w:val="22"/>
          <w:szCs w:val="22"/>
        </w:rPr>
        <w:t>A key strength of this source is its strong research foundation, which supports the application of theory to practice. However, it also acknowledges that outcomes may vary depending on the individual and the practitioner’s level of skill. This highlights the need for a considered and adaptable approach when applying such interventions, ensuring they are appropriate to each individual’s needs and experiences.</w:t>
      </w:r>
    </w:p>
    <w:p w14:paraId="59F0A03A" w14:textId="77777777" w:rsidR="008944C0" w:rsidRPr="005C0D06" w:rsidRDefault="008944C0">
      <w:pPr>
        <w:rPr>
          <w:rFonts w:ascii="Arial" w:hAnsi="Arial" w:cs="Arial"/>
          <w:sz w:val="22"/>
          <w:szCs w:val="22"/>
        </w:rPr>
      </w:pPr>
    </w:p>
    <w:p w14:paraId="28552160" w14:textId="77777777" w:rsidR="00C97F17" w:rsidRPr="004F3AD5" w:rsidRDefault="008944C0">
      <w:pPr>
        <w:rPr>
          <w:rFonts w:ascii="Arial" w:hAnsi="Arial" w:cs="Arial"/>
          <w:sz w:val="22"/>
          <w:szCs w:val="22"/>
          <w:u w:val="single"/>
        </w:rPr>
      </w:pPr>
      <w:r w:rsidRPr="004F3AD5">
        <w:rPr>
          <w:rFonts w:ascii="Arial" w:hAnsi="Arial" w:cs="Arial"/>
          <w:sz w:val="22"/>
          <w:szCs w:val="22"/>
          <w:u w:val="single"/>
        </w:rPr>
        <w:t>Source 3</w:t>
      </w:r>
    </w:p>
    <w:p w14:paraId="7B581059" w14:textId="121770F5" w:rsidR="008944C0" w:rsidRPr="005C0D06" w:rsidRDefault="008944C0">
      <w:pPr>
        <w:rPr>
          <w:rFonts w:ascii="Arial" w:hAnsi="Arial" w:cs="Arial"/>
          <w:sz w:val="22"/>
          <w:szCs w:val="22"/>
        </w:rPr>
      </w:pPr>
      <w:r w:rsidRPr="005C0D06">
        <w:rPr>
          <w:rFonts w:ascii="Arial" w:hAnsi="Arial" w:cs="Arial"/>
          <w:sz w:val="22"/>
          <w:szCs w:val="22"/>
        </w:rPr>
        <w:t>Vygotsky, L.S. (1978) Mind in society: the development of higher psychological processes. Cambridge, MA: Harvard University Press.</w:t>
      </w:r>
    </w:p>
    <w:p w14:paraId="7C781380" w14:textId="77777777" w:rsidR="008944C0" w:rsidRPr="005C0D06" w:rsidRDefault="008944C0">
      <w:pPr>
        <w:rPr>
          <w:rFonts w:ascii="Arial" w:hAnsi="Arial" w:cs="Arial"/>
          <w:sz w:val="22"/>
          <w:szCs w:val="22"/>
        </w:rPr>
      </w:pPr>
    </w:p>
    <w:p w14:paraId="2591085E" w14:textId="4D3CE739" w:rsidR="008944C0" w:rsidRPr="005C0D06" w:rsidRDefault="008944C0">
      <w:pPr>
        <w:rPr>
          <w:rFonts w:ascii="Arial" w:hAnsi="Arial" w:cs="Arial"/>
          <w:sz w:val="22"/>
          <w:szCs w:val="22"/>
        </w:rPr>
      </w:pPr>
      <w:r w:rsidRPr="005C0D06">
        <w:rPr>
          <w:rFonts w:ascii="Arial" w:hAnsi="Arial" w:cs="Arial"/>
          <w:sz w:val="22"/>
          <w:szCs w:val="22"/>
        </w:rPr>
        <w:t xml:space="preserve">Vygotsky’s sociocultural theory emphasises that cognitive development is shaped through social interaction and cultural context. </w:t>
      </w:r>
      <w:r w:rsidR="001B366C">
        <w:rPr>
          <w:rFonts w:ascii="Arial" w:hAnsi="Arial" w:cs="Arial"/>
          <w:sz w:val="22"/>
          <w:szCs w:val="22"/>
        </w:rPr>
        <w:t>A key idea is the Zone of Proximal Development (ZPD), which describes the difference between what a person can do on their own and what they are able to achieve with assistance or guidance.</w:t>
      </w:r>
      <w:r w:rsidRPr="005C0D06">
        <w:rPr>
          <w:rFonts w:ascii="Arial" w:hAnsi="Arial" w:cs="Arial"/>
          <w:sz w:val="22"/>
          <w:szCs w:val="22"/>
        </w:rPr>
        <w:t xml:space="preserve"> Although originally developed in relation to children, this theory has been increasingly applied to adult development.</w:t>
      </w:r>
    </w:p>
    <w:p w14:paraId="7A1DBA88" w14:textId="77777777" w:rsidR="008944C0" w:rsidRPr="005C0D06" w:rsidRDefault="008944C0">
      <w:pPr>
        <w:rPr>
          <w:rFonts w:ascii="Arial" w:hAnsi="Arial" w:cs="Arial"/>
          <w:sz w:val="22"/>
          <w:szCs w:val="22"/>
        </w:rPr>
      </w:pPr>
      <w:r w:rsidRPr="005C0D06">
        <w:rPr>
          <w:rFonts w:ascii="Arial" w:hAnsi="Arial" w:cs="Arial"/>
          <w:sz w:val="22"/>
          <w:szCs w:val="22"/>
        </w:rPr>
        <w:t>In relation to older adults, Vygotsky’s theory highlights the importance of maintaining social interaction and providing appropriate support to sustain cognitive functioning. In care settings, staff play a key role in facilitating activities that encourage engagement and independence, such as guided tasks or group participation.</w:t>
      </w:r>
    </w:p>
    <w:p w14:paraId="03790340" w14:textId="77777777" w:rsidR="008944C0" w:rsidRPr="005C0D06" w:rsidRDefault="008944C0">
      <w:pPr>
        <w:rPr>
          <w:rFonts w:ascii="Arial" w:hAnsi="Arial" w:cs="Arial"/>
          <w:sz w:val="22"/>
          <w:szCs w:val="22"/>
        </w:rPr>
      </w:pPr>
      <w:r w:rsidRPr="005C0D06">
        <w:rPr>
          <w:rFonts w:ascii="Arial" w:hAnsi="Arial" w:cs="Arial"/>
          <w:sz w:val="22"/>
          <w:szCs w:val="22"/>
        </w:rPr>
        <w:t>One limitation of the theory is that it was not specifically designed for ageing populations. Nevertheless, its principles remain highly relevant and adaptable. It supports a collaborative approach to care, where professionals carefully assess the level of support required. Applying this theory effectively requires observation, flexibility, and a balanced approach to ensure individuals are supported without limiting their independence.</w:t>
      </w:r>
    </w:p>
    <w:p w14:paraId="547E6E8A" w14:textId="77777777" w:rsidR="008944C0" w:rsidRPr="005C0D06" w:rsidRDefault="008944C0">
      <w:pPr>
        <w:rPr>
          <w:rFonts w:ascii="Arial" w:hAnsi="Arial" w:cs="Arial"/>
          <w:sz w:val="22"/>
          <w:szCs w:val="22"/>
        </w:rPr>
      </w:pPr>
    </w:p>
    <w:p w14:paraId="6DE6B1D1" w14:textId="77777777" w:rsidR="00171BCE" w:rsidRDefault="00171BCE">
      <w:pPr>
        <w:rPr>
          <w:rFonts w:ascii="Arial" w:hAnsi="Arial" w:cs="Arial"/>
          <w:sz w:val="22"/>
          <w:szCs w:val="22"/>
          <w:u w:val="single"/>
        </w:rPr>
      </w:pPr>
    </w:p>
    <w:p w14:paraId="6683C9A5" w14:textId="02115496" w:rsidR="008944C0" w:rsidRPr="004F3AD5" w:rsidRDefault="008944C0">
      <w:pPr>
        <w:rPr>
          <w:rFonts w:ascii="Arial" w:hAnsi="Arial" w:cs="Arial"/>
          <w:sz w:val="22"/>
          <w:szCs w:val="22"/>
          <w:u w:val="single"/>
        </w:rPr>
      </w:pPr>
      <w:r w:rsidRPr="004F3AD5">
        <w:rPr>
          <w:rFonts w:ascii="Arial" w:hAnsi="Arial" w:cs="Arial"/>
          <w:sz w:val="22"/>
          <w:szCs w:val="22"/>
          <w:u w:val="single"/>
        </w:rPr>
        <w:t>Source 4</w:t>
      </w:r>
    </w:p>
    <w:p w14:paraId="68DBB733" w14:textId="77777777" w:rsidR="008944C0" w:rsidRPr="005C0D06" w:rsidRDefault="008944C0">
      <w:pPr>
        <w:rPr>
          <w:rFonts w:ascii="Arial" w:hAnsi="Arial" w:cs="Arial"/>
          <w:sz w:val="22"/>
          <w:szCs w:val="22"/>
        </w:rPr>
      </w:pPr>
    </w:p>
    <w:p w14:paraId="50100DD2" w14:textId="4B784039" w:rsidR="008944C0" w:rsidRPr="005C0D06" w:rsidRDefault="008944C0">
      <w:pPr>
        <w:rPr>
          <w:rFonts w:ascii="Arial" w:hAnsi="Arial" w:cs="Arial"/>
          <w:sz w:val="22"/>
          <w:szCs w:val="22"/>
        </w:rPr>
      </w:pPr>
      <w:r w:rsidRPr="005C0D06">
        <w:rPr>
          <w:rFonts w:ascii="Arial" w:hAnsi="Arial" w:cs="Arial"/>
          <w:sz w:val="22"/>
          <w:szCs w:val="22"/>
        </w:rPr>
        <w:lastRenderedPageBreak/>
        <w:t xml:space="preserve">Säljö, R. (2001) ‘Learning in practice: a sociocultural perspective’, Educational Researcher, 30(5), pp. 19–25. Available at: </w:t>
      </w:r>
      <w:hyperlink r:id="rId8" w:history="1">
        <w:r w:rsidRPr="005C0D06">
          <w:rPr>
            <w:rStyle w:val="Hyperlink"/>
            <w:rFonts w:ascii="Arial" w:hAnsi="Arial" w:cs="Arial"/>
            <w:sz w:val="22"/>
            <w:szCs w:val="22"/>
          </w:rPr>
          <w:t>https://doi.org/10.3102/0013189X030005019</w:t>
        </w:r>
      </w:hyperlink>
    </w:p>
    <w:p w14:paraId="12EF1984" w14:textId="77777777" w:rsidR="008944C0" w:rsidRPr="005C0D06" w:rsidRDefault="008944C0">
      <w:pPr>
        <w:rPr>
          <w:rFonts w:ascii="Arial" w:hAnsi="Arial" w:cs="Arial"/>
          <w:sz w:val="22"/>
          <w:szCs w:val="22"/>
        </w:rPr>
      </w:pPr>
    </w:p>
    <w:p w14:paraId="79B2A9D4" w14:textId="77777777" w:rsidR="008944C0" w:rsidRPr="005C0D06" w:rsidRDefault="008944C0">
      <w:pPr>
        <w:rPr>
          <w:rFonts w:ascii="Arial" w:hAnsi="Arial" w:cs="Arial"/>
          <w:sz w:val="22"/>
          <w:szCs w:val="22"/>
        </w:rPr>
      </w:pPr>
      <w:r w:rsidRPr="005C0D06">
        <w:rPr>
          <w:rFonts w:ascii="Arial" w:hAnsi="Arial" w:cs="Arial"/>
          <w:sz w:val="22"/>
          <w:szCs w:val="22"/>
        </w:rPr>
        <w:t>Säljö (2001) builds on Vygotsky’s sociocultural perspective by suggesting that learning occurs through participation in social activities. Knowledge is understood as something developed through interaction rather than existing solely within the individual. This perspective is useful in understanding how older adults continue to learn and adapt throughout later life.</w:t>
      </w:r>
    </w:p>
    <w:p w14:paraId="26F96241" w14:textId="77777777" w:rsidR="008944C0" w:rsidRPr="005C0D06" w:rsidRDefault="008944C0">
      <w:pPr>
        <w:rPr>
          <w:rFonts w:ascii="Arial" w:hAnsi="Arial" w:cs="Arial"/>
          <w:sz w:val="22"/>
          <w:szCs w:val="22"/>
        </w:rPr>
      </w:pPr>
      <w:r w:rsidRPr="005C0D06">
        <w:rPr>
          <w:rFonts w:ascii="Arial" w:hAnsi="Arial" w:cs="Arial"/>
          <w:sz w:val="22"/>
          <w:szCs w:val="22"/>
        </w:rPr>
        <w:t>In health and social care settings, this theory supports the use of group-based and socially engaging activities to promote wellbeing. Activities such as group discussions, creative tasks, and shared experiences can enhance both cognitive stimulation and social connection. This contributes to a sense of belonging and purpose, which are essential for maintaining mental health in older adulthood.</w:t>
      </w:r>
    </w:p>
    <w:p w14:paraId="1D3C167C" w14:textId="77777777" w:rsidR="008944C0" w:rsidRPr="005C0D06" w:rsidRDefault="008944C0">
      <w:pPr>
        <w:rPr>
          <w:rFonts w:ascii="Arial" w:hAnsi="Arial" w:cs="Arial"/>
          <w:sz w:val="22"/>
          <w:szCs w:val="22"/>
        </w:rPr>
      </w:pPr>
      <w:r w:rsidRPr="005C0D06">
        <w:rPr>
          <w:rFonts w:ascii="Arial" w:hAnsi="Arial" w:cs="Arial"/>
          <w:sz w:val="22"/>
          <w:szCs w:val="22"/>
        </w:rPr>
        <w:t>While the theory strongly emphasises social factors, it places less focus on biological changes associated with ageing. Despite this limitation, it remains valuable for practice. It encourages professionals to create supportive environments that promote interaction and engagement, requiring careful planning and adaptability in care delivery.</w:t>
      </w:r>
    </w:p>
    <w:p w14:paraId="25375C54" w14:textId="77777777" w:rsidR="008944C0" w:rsidRPr="005C0D06" w:rsidRDefault="008944C0">
      <w:pPr>
        <w:rPr>
          <w:rFonts w:ascii="Arial" w:hAnsi="Arial" w:cs="Arial"/>
          <w:sz w:val="22"/>
          <w:szCs w:val="22"/>
        </w:rPr>
      </w:pPr>
    </w:p>
    <w:p w14:paraId="6C699C8C" w14:textId="77777777" w:rsidR="008944C0" w:rsidRPr="0010385F" w:rsidRDefault="008944C0">
      <w:pPr>
        <w:rPr>
          <w:rFonts w:ascii="Arial" w:hAnsi="Arial" w:cs="Arial"/>
          <w:b/>
          <w:bCs/>
          <w:sz w:val="22"/>
          <w:szCs w:val="22"/>
        </w:rPr>
      </w:pPr>
      <w:r w:rsidRPr="0010385F">
        <w:rPr>
          <w:rFonts w:ascii="Arial" w:hAnsi="Arial" w:cs="Arial"/>
          <w:b/>
          <w:bCs/>
          <w:sz w:val="22"/>
          <w:szCs w:val="22"/>
        </w:rPr>
        <w:t>Part B: Short Report</w:t>
      </w:r>
    </w:p>
    <w:p w14:paraId="2AA794B5" w14:textId="77777777" w:rsidR="008944C0" w:rsidRPr="005C0D06" w:rsidRDefault="008944C0">
      <w:pPr>
        <w:rPr>
          <w:rFonts w:ascii="Arial" w:hAnsi="Arial" w:cs="Arial"/>
          <w:sz w:val="22"/>
          <w:szCs w:val="22"/>
        </w:rPr>
      </w:pPr>
    </w:p>
    <w:p w14:paraId="7A00A22A" w14:textId="77777777" w:rsidR="008944C0" w:rsidRPr="00AD6E72" w:rsidRDefault="008944C0">
      <w:pPr>
        <w:rPr>
          <w:rFonts w:ascii="Arial" w:hAnsi="Arial" w:cs="Arial"/>
          <w:sz w:val="28"/>
          <w:szCs w:val="28"/>
        </w:rPr>
      </w:pPr>
      <w:r w:rsidRPr="00AD6E72">
        <w:rPr>
          <w:rFonts w:ascii="Arial" w:hAnsi="Arial" w:cs="Arial"/>
          <w:sz w:val="28"/>
          <w:szCs w:val="28"/>
        </w:rPr>
        <w:t>Applying Erikson’s Psychosocial Theory to Enhance Psychological Wellbeing in Older Adults</w:t>
      </w:r>
    </w:p>
    <w:p w14:paraId="055A313A" w14:textId="77777777" w:rsidR="008944C0" w:rsidRPr="00AD6E72" w:rsidRDefault="008944C0">
      <w:pPr>
        <w:rPr>
          <w:rFonts w:ascii="Arial" w:hAnsi="Arial" w:cs="Arial"/>
        </w:rPr>
      </w:pPr>
    </w:p>
    <w:p w14:paraId="701F3D3B" w14:textId="77777777" w:rsidR="008944C0" w:rsidRPr="0010385F" w:rsidRDefault="008944C0">
      <w:pPr>
        <w:rPr>
          <w:rFonts w:ascii="Arial" w:hAnsi="Arial" w:cs="Arial"/>
          <w:b/>
          <w:bCs/>
          <w:sz w:val="22"/>
          <w:szCs w:val="22"/>
        </w:rPr>
      </w:pPr>
      <w:r w:rsidRPr="0010385F">
        <w:rPr>
          <w:rFonts w:ascii="Arial" w:hAnsi="Arial" w:cs="Arial"/>
          <w:b/>
          <w:bCs/>
          <w:sz w:val="22"/>
          <w:szCs w:val="22"/>
        </w:rPr>
        <w:t>Introduction</w:t>
      </w:r>
    </w:p>
    <w:p w14:paraId="4C4356BD" w14:textId="77777777" w:rsidR="008944C0" w:rsidRPr="005C0D06" w:rsidRDefault="008944C0">
      <w:pPr>
        <w:rPr>
          <w:rFonts w:ascii="Arial" w:hAnsi="Arial" w:cs="Arial"/>
          <w:sz w:val="22"/>
          <w:szCs w:val="22"/>
        </w:rPr>
      </w:pPr>
      <w:r w:rsidRPr="005C0D06">
        <w:rPr>
          <w:rFonts w:ascii="Arial" w:hAnsi="Arial" w:cs="Arial"/>
          <w:sz w:val="22"/>
          <w:szCs w:val="22"/>
        </w:rPr>
        <w:t>Supporting psychological wellbeing is a key priority in the care of older adults living in residential settings. As individuals age, they may face a range of challenges, including reduced independence, physical decline, and an increased risk of social isolation. Psychological theories of lifespan development provide valuable insight into these experiences and help guide effective care practices. This report focuses on Erikson’s psychosocial theory, particularly the stage of ego integrity versus despair, and examines how it can be used to improve wellbeing among older adults in care home environments.</w:t>
      </w:r>
    </w:p>
    <w:p w14:paraId="4E63730A" w14:textId="77777777" w:rsidR="008944C0" w:rsidRPr="005C0D06" w:rsidRDefault="008944C0">
      <w:pPr>
        <w:rPr>
          <w:rFonts w:ascii="Arial" w:hAnsi="Arial" w:cs="Arial"/>
          <w:sz w:val="22"/>
          <w:szCs w:val="22"/>
        </w:rPr>
      </w:pPr>
    </w:p>
    <w:p w14:paraId="22F7A944" w14:textId="77777777" w:rsidR="008944C0" w:rsidRPr="0010385F" w:rsidRDefault="008944C0">
      <w:pPr>
        <w:rPr>
          <w:rFonts w:ascii="Arial" w:hAnsi="Arial" w:cs="Arial"/>
          <w:b/>
          <w:bCs/>
          <w:sz w:val="22"/>
          <w:szCs w:val="22"/>
        </w:rPr>
      </w:pPr>
      <w:r w:rsidRPr="0010385F">
        <w:rPr>
          <w:rFonts w:ascii="Arial" w:hAnsi="Arial" w:cs="Arial"/>
          <w:b/>
          <w:bCs/>
          <w:sz w:val="22"/>
          <w:szCs w:val="22"/>
        </w:rPr>
        <w:t>Application of Erikson’s Theory in Practice</w:t>
      </w:r>
    </w:p>
    <w:p w14:paraId="3DCE005B" w14:textId="2F7E7ED0" w:rsidR="008944C0" w:rsidRPr="005C0D06" w:rsidRDefault="008944C0">
      <w:pPr>
        <w:rPr>
          <w:rFonts w:ascii="Arial" w:hAnsi="Arial" w:cs="Arial"/>
          <w:sz w:val="22"/>
          <w:szCs w:val="22"/>
        </w:rPr>
      </w:pPr>
      <w:r w:rsidRPr="005C0D06">
        <w:rPr>
          <w:rFonts w:ascii="Arial" w:hAnsi="Arial" w:cs="Arial"/>
          <w:sz w:val="22"/>
          <w:szCs w:val="22"/>
        </w:rPr>
        <w:t>According to Erikson (1998), later adulthood involves a reflective process in which individuals evaluate their life experiences.</w:t>
      </w:r>
      <w:r w:rsidR="00907452">
        <w:rPr>
          <w:rFonts w:ascii="Arial" w:hAnsi="Arial" w:cs="Arial"/>
          <w:sz w:val="22"/>
          <w:szCs w:val="22"/>
        </w:rPr>
        <w:t xml:space="preserve"> </w:t>
      </w:r>
      <w:r w:rsidR="00907452" w:rsidRPr="00907452">
        <w:rPr>
          <w:rFonts w:ascii="Arial" w:hAnsi="Arial" w:cs="Arial"/>
          <w:sz w:val="22"/>
          <w:szCs w:val="22"/>
        </w:rPr>
        <w:t>Reaching ego integrity leads to feelings of contentment and self-acceptance.</w:t>
      </w:r>
      <w:r w:rsidRPr="005C0D06">
        <w:rPr>
          <w:rFonts w:ascii="Arial" w:hAnsi="Arial" w:cs="Arial"/>
          <w:sz w:val="22"/>
          <w:szCs w:val="22"/>
        </w:rPr>
        <w:t xml:space="preserve"> whereas unresolved reflection may lead to feelings of regret and despair.</w:t>
      </w:r>
    </w:p>
    <w:p w14:paraId="7C4B13E0" w14:textId="77777777" w:rsidR="008944C0" w:rsidRPr="005C0D06" w:rsidRDefault="008944C0">
      <w:pPr>
        <w:rPr>
          <w:rFonts w:ascii="Arial" w:hAnsi="Arial" w:cs="Arial"/>
          <w:sz w:val="22"/>
          <w:szCs w:val="22"/>
        </w:rPr>
      </w:pPr>
      <w:r w:rsidRPr="005C0D06">
        <w:rPr>
          <w:rFonts w:ascii="Arial" w:hAnsi="Arial" w:cs="Arial"/>
          <w:sz w:val="22"/>
          <w:szCs w:val="22"/>
        </w:rPr>
        <w:lastRenderedPageBreak/>
        <w:t>Within residential care settings, this stage can be supported through interventions that encourage individuals to reflect on their lives in a positive and meaningful way. One commonly used method is reminiscence therapy, where individuals are supported to recall and discuss past experiences. Evidence suggests that this approach can improve mood, reduce depressive symptoms, and enhance overall life satisfaction (Westerhof and Bohlmeijer, 2014).</w:t>
      </w:r>
    </w:p>
    <w:p w14:paraId="6746635F" w14:textId="77777777" w:rsidR="008944C0" w:rsidRPr="005C0D06" w:rsidRDefault="008944C0">
      <w:pPr>
        <w:rPr>
          <w:rFonts w:ascii="Arial" w:hAnsi="Arial" w:cs="Arial"/>
          <w:sz w:val="22"/>
          <w:szCs w:val="22"/>
        </w:rPr>
      </w:pPr>
    </w:p>
    <w:p w14:paraId="3E5C886E" w14:textId="77777777" w:rsidR="00EE219B" w:rsidRPr="005C0D06" w:rsidRDefault="00EE219B">
      <w:pPr>
        <w:rPr>
          <w:rFonts w:ascii="Arial" w:hAnsi="Arial" w:cs="Arial"/>
          <w:sz w:val="22"/>
          <w:szCs w:val="22"/>
        </w:rPr>
      </w:pPr>
    </w:p>
    <w:p w14:paraId="125F1C0A" w14:textId="07E6DA97" w:rsidR="008944C0" w:rsidRPr="005C0D06" w:rsidRDefault="008944C0">
      <w:pPr>
        <w:rPr>
          <w:rFonts w:ascii="Arial" w:hAnsi="Arial" w:cs="Arial"/>
          <w:sz w:val="22"/>
          <w:szCs w:val="22"/>
        </w:rPr>
      </w:pPr>
      <w:r w:rsidRPr="005C0D06">
        <w:rPr>
          <w:rFonts w:ascii="Arial" w:hAnsi="Arial" w:cs="Arial"/>
          <w:sz w:val="22"/>
          <w:szCs w:val="22"/>
        </w:rPr>
        <w:t>Care professionals can apply this by:</w:t>
      </w:r>
    </w:p>
    <w:p w14:paraId="15608D1C" w14:textId="77777777" w:rsidR="008944C0" w:rsidRPr="006D6AEA" w:rsidRDefault="008944C0" w:rsidP="006D6AEA">
      <w:pPr>
        <w:pStyle w:val="ListParagraph"/>
        <w:numPr>
          <w:ilvl w:val="0"/>
          <w:numId w:val="1"/>
        </w:numPr>
        <w:rPr>
          <w:rFonts w:ascii="Arial" w:hAnsi="Arial" w:cs="Arial"/>
          <w:sz w:val="22"/>
          <w:szCs w:val="22"/>
        </w:rPr>
      </w:pPr>
      <w:r w:rsidRPr="006D6AEA">
        <w:rPr>
          <w:rFonts w:ascii="Arial" w:hAnsi="Arial" w:cs="Arial"/>
          <w:sz w:val="22"/>
          <w:szCs w:val="22"/>
        </w:rPr>
        <w:t>Supporting residents to share personal stories and experiences</w:t>
      </w:r>
    </w:p>
    <w:p w14:paraId="39B24F80" w14:textId="77777777" w:rsidR="008944C0" w:rsidRPr="006D6AEA" w:rsidRDefault="008944C0" w:rsidP="006D6AEA">
      <w:pPr>
        <w:pStyle w:val="ListParagraph"/>
        <w:numPr>
          <w:ilvl w:val="0"/>
          <w:numId w:val="1"/>
        </w:numPr>
        <w:rPr>
          <w:rFonts w:ascii="Arial" w:hAnsi="Arial" w:cs="Arial"/>
          <w:sz w:val="22"/>
          <w:szCs w:val="22"/>
        </w:rPr>
      </w:pPr>
      <w:r w:rsidRPr="006D6AEA">
        <w:rPr>
          <w:rFonts w:ascii="Arial" w:hAnsi="Arial" w:cs="Arial"/>
          <w:sz w:val="22"/>
          <w:szCs w:val="22"/>
        </w:rPr>
        <w:t>Using prompts such as photographs, music, or meaningful objects</w:t>
      </w:r>
    </w:p>
    <w:p w14:paraId="15999450" w14:textId="77777777" w:rsidR="008944C0" w:rsidRPr="006D6AEA" w:rsidRDefault="008944C0" w:rsidP="006D6AEA">
      <w:pPr>
        <w:pStyle w:val="ListParagraph"/>
        <w:numPr>
          <w:ilvl w:val="0"/>
          <w:numId w:val="1"/>
        </w:numPr>
        <w:rPr>
          <w:rFonts w:ascii="Arial" w:hAnsi="Arial" w:cs="Arial"/>
          <w:sz w:val="22"/>
          <w:szCs w:val="22"/>
        </w:rPr>
      </w:pPr>
      <w:r w:rsidRPr="006D6AEA">
        <w:rPr>
          <w:rFonts w:ascii="Arial" w:hAnsi="Arial" w:cs="Arial"/>
          <w:sz w:val="22"/>
          <w:szCs w:val="22"/>
        </w:rPr>
        <w:t>Creating group activities that encourage shared reflection and discussion</w:t>
      </w:r>
    </w:p>
    <w:p w14:paraId="77D80FB1" w14:textId="77777777" w:rsidR="00E56FBA" w:rsidRPr="005C0D06" w:rsidRDefault="00E56FBA">
      <w:pPr>
        <w:rPr>
          <w:rFonts w:ascii="Arial" w:hAnsi="Arial" w:cs="Arial"/>
          <w:sz w:val="22"/>
          <w:szCs w:val="22"/>
        </w:rPr>
      </w:pPr>
    </w:p>
    <w:p w14:paraId="2B1BD6CE" w14:textId="71FFA7DF" w:rsidR="008944C0" w:rsidRPr="005C0D06" w:rsidRDefault="008944C0">
      <w:pPr>
        <w:rPr>
          <w:rFonts w:ascii="Arial" w:hAnsi="Arial" w:cs="Arial"/>
          <w:sz w:val="22"/>
          <w:szCs w:val="22"/>
        </w:rPr>
      </w:pPr>
      <w:r w:rsidRPr="005C0D06">
        <w:rPr>
          <w:rFonts w:ascii="Arial" w:hAnsi="Arial" w:cs="Arial"/>
          <w:sz w:val="22"/>
          <w:szCs w:val="22"/>
        </w:rPr>
        <w:t>A further development of this approach is the inclusion of family involvement. With informed consent, care staff can record life review sessions, creating a personal narrative that can be shared with family members. This not only supports the individual in developing a sense of purpose and identity but also ensures their experiences are preserved and valued. Additionally, it strengthens emotional connections between residents and their families, helping to reduce feelings of loneliness.</w:t>
      </w:r>
    </w:p>
    <w:p w14:paraId="0297118C" w14:textId="77777777" w:rsidR="008944C0" w:rsidRPr="005C0D06" w:rsidRDefault="008944C0">
      <w:pPr>
        <w:rPr>
          <w:rFonts w:ascii="Arial" w:hAnsi="Arial" w:cs="Arial"/>
          <w:sz w:val="22"/>
          <w:szCs w:val="22"/>
        </w:rPr>
      </w:pPr>
      <w:r w:rsidRPr="005C0D06">
        <w:rPr>
          <w:rFonts w:ascii="Arial" w:hAnsi="Arial" w:cs="Arial"/>
          <w:sz w:val="22"/>
          <w:szCs w:val="22"/>
        </w:rPr>
        <w:t>It is essential, however, that this approach is implemented ethically. Staff must ensure informed consent is obtained, particularly where there may be concerns regarding mental capacity. Confidentiality and data protection must also be maintained, and care should be taken to avoid triggering distressing memories. When implemented appropriately, this strategy enhances both the emotional and relational quality of care.</w:t>
      </w:r>
    </w:p>
    <w:p w14:paraId="1B531B17" w14:textId="77777777" w:rsidR="00C97F17" w:rsidRPr="005C0D06" w:rsidRDefault="00C97F17">
      <w:pPr>
        <w:rPr>
          <w:rFonts w:ascii="Arial" w:hAnsi="Arial" w:cs="Arial"/>
          <w:sz w:val="22"/>
          <w:szCs w:val="22"/>
        </w:rPr>
      </w:pPr>
    </w:p>
    <w:p w14:paraId="7847025A" w14:textId="076DD362" w:rsidR="008944C0" w:rsidRPr="003B0AF1" w:rsidRDefault="008944C0">
      <w:pPr>
        <w:rPr>
          <w:rFonts w:ascii="Arial" w:hAnsi="Arial" w:cs="Arial"/>
          <w:b/>
          <w:bCs/>
          <w:sz w:val="22"/>
          <w:szCs w:val="22"/>
        </w:rPr>
      </w:pPr>
      <w:r w:rsidRPr="003B0AF1">
        <w:rPr>
          <w:rFonts w:ascii="Arial" w:hAnsi="Arial" w:cs="Arial"/>
          <w:b/>
          <w:bCs/>
          <w:sz w:val="22"/>
          <w:szCs w:val="22"/>
        </w:rPr>
        <w:t>Case Example</w:t>
      </w:r>
    </w:p>
    <w:p w14:paraId="3CA1C507" w14:textId="5819F5BB" w:rsidR="008944C0" w:rsidRPr="005C0D06" w:rsidRDefault="008944C0">
      <w:pPr>
        <w:rPr>
          <w:rFonts w:ascii="Arial" w:hAnsi="Arial" w:cs="Arial"/>
          <w:sz w:val="22"/>
          <w:szCs w:val="22"/>
        </w:rPr>
      </w:pPr>
      <w:r w:rsidRPr="005C0D06">
        <w:rPr>
          <w:rFonts w:ascii="Arial" w:hAnsi="Arial" w:cs="Arial"/>
          <w:sz w:val="22"/>
          <w:szCs w:val="22"/>
        </w:rPr>
        <w:t xml:space="preserve">An example of this in practice is </w:t>
      </w:r>
      <w:r w:rsidR="003B0AF1">
        <w:rPr>
          <w:rFonts w:ascii="Arial" w:hAnsi="Arial" w:cs="Arial"/>
          <w:sz w:val="22"/>
          <w:szCs w:val="22"/>
        </w:rPr>
        <w:t>Orinthia</w:t>
      </w:r>
      <w:r w:rsidRPr="005C0D06">
        <w:rPr>
          <w:rFonts w:ascii="Arial" w:hAnsi="Arial" w:cs="Arial"/>
          <w:sz w:val="22"/>
          <w:szCs w:val="22"/>
        </w:rPr>
        <w:t>, an 8</w:t>
      </w:r>
      <w:r w:rsidR="003B0AF1">
        <w:rPr>
          <w:rFonts w:ascii="Arial" w:hAnsi="Arial" w:cs="Arial"/>
          <w:sz w:val="22"/>
          <w:szCs w:val="22"/>
        </w:rPr>
        <w:t>3</w:t>
      </w:r>
      <w:r w:rsidRPr="005C0D06">
        <w:rPr>
          <w:rFonts w:ascii="Arial" w:hAnsi="Arial" w:cs="Arial"/>
          <w:sz w:val="22"/>
          <w:szCs w:val="22"/>
        </w:rPr>
        <w:t xml:space="preserve">-year-old resident living in a care home. Following the death of her spouse, </w:t>
      </w:r>
      <w:r w:rsidR="00B86505">
        <w:rPr>
          <w:rFonts w:ascii="Arial" w:hAnsi="Arial" w:cs="Arial"/>
          <w:sz w:val="22"/>
          <w:szCs w:val="22"/>
        </w:rPr>
        <w:t xml:space="preserve">Orinthia </w:t>
      </w:r>
      <w:r w:rsidRPr="005C0D06">
        <w:rPr>
          <w:rFonts w:ascii="Arial" w:hAnsi="Arial" w:cs="Arial"/>
          <w:sz w:val="22"/>
          <w:szCs w:val="22"/>
        </w:rPr>
        <w:t>began to withdraw socially and displayed signs of low mood. Care staff introduced regular reminiscence sessions, encouraging her to reflect on different stages of her life, including her family, career, and achievements.</w:t>
      </w:r>
    </w:p>
    <w:p w14:paraId="04AF518B" w14:textId="381ACCD3" w:rsidR="008944C0" w:rsidRPr="005C0D06" w:rsidRDefault="008944C0">
      <w:pPr>
        <w:rPr>
          <w:rFonts w:ascii="Arial" w:hAnsi="Arial" w:cs="Arial"/>
          <w:sz w:val="22"/>
          <w:szCs w:val="22"/>
        </w:rPr>
      </w:pPr>
      <w:r w:rsidRPr="005C0D06">
        <w:rPr>
          <w:rFonts w:ascii="Arial" w:hAnsi="Arial" w:cs="Arial"/>
          <w:sz w:val="22"/>
          <w:szCs w:val="22"/>
        </w:rPr>
        <w:t xml:space="preserve">With her consent, selected sessions were recorded and shared with her family. This enabled </w:t>
      </w:r>
      <w:r w:rsidR="00B86505">
        <w:rPr>
          <w:rFonts w:ascii="Arial" w:hAnsi="Arial" w:cs="Arial"/>
          <w:sz w:val="22"/>
          <w:szCs w:val="22"/>
        </w:rPr>
        <w:t xml:space="preserve">Orinthia </w:t>
      </w:r>
      <w:r w:rsidRPr="005C0D06">
        <w:rPr>
          <w:rFonts w:ascii="Arial" w:hAnsi="Arial" w:cs="Arial"/>
          <w:sz w:val="22"/>
          <w:szCs w:val="22"/>
        </w:rPr>
        <w:t xml:space="preserve">to reconnect with positive memories while also strengthening her relationship with her family, who valued hearing her experiences in her own voice. Over time, </w:t>
      </w:r>
      <w:r w:rsidR="00CA3DA3">
        <w:rPr>
          <w:rFonts w:ascii="Arial" w:hAnsi="Arial" w:cs="Arial"/>
          <w:sz w:val="22"/>
          <w:szCs w:val="22"/>
        </w:rPr>
        <w:t xml:space="preserve">Orinthia </w:t>
      </w:r>
      <w:r w:rsidRPr="005C0D06">
        <w:rPr>
          <w:rFonts w:ascii="Arial" w:hAnsi="Arial" w:cs="Arial"/>
          <w:sz w:val="22"/>
          <w:szCs w:val="22"/>
        </w:rPr>
        <w:t>became more socially engaged and demonstrated improvements in her emotional wellbeing.</w:t>
      </w:r>
    </w:p>
    <w:p w14:paraId="7C482157" w14:textId="0959B6BC" w:rsidR="008944C0" w:rsidRDefault="008944C0">
      <w:pPr>
        <w:rPr>
          <w:rFonts w:ascii="Arial" w:hAnsi="Arial" w:cs="Arial"/>
          <w:sz w:val="22"/>
          <w:szCs w:val="22"/>
        </w:rPr>
      </w:pPr>
      <w:r w:rsidRPr="005C0D06">
        <w:rPr>
          <w:rFonts w:ascii="Arial" w:hAnsi="Arial" w:cs="Arial"/>
          <w:sz w:val="22"/>
          <w:szCs w:val="22"/>
        </w:rPr>
        <w:t>This example illustrates how combining theory with thoughtful, personalised strategies can produce meaningful outcomes.</w:t>
      </w:r>
    </w:p>
    <w:p w14:paraId="36675D20" w14:textId="77777777" w:rsidR="000638C0" w:rsidRDefault="000638C0">
      <w:pPr>
        <w:rPr>
          <w:rFonts w:ascii="Arial" w:hAnsi="Arial" w:cs="Arial"/>
          <w:sz w:val="22"/>
          <w:szCs w:val="22"/>
        </w:rPr>
      </w:pPr>
    </w:p>
    <w:p w14:paraId="763E9AC6" w14:textId="77777777" w:rsidR="000638C0" w:rsidRDefault="000638C0">
      <w:pPr>
        <w:rPr>
          <w:rFonts w:ascii="Arial" w:hAnsi="Arial" w:cs="Arial"/>
          <w:sz w:val="22"/>
          <w:szCs w:val="22"/>
        </w:rPr>
      </w:pPr>
    </w:p>
    <w:p w14:paraId="42D0FD16" w14:textId="77777777" w:rsidR="000638C0" w:rsidRDefault="000638C0">
      <w:pPr>
        <w:rPr>
          <w:rFonts w:ascii="Arial" w:hAnsi="Arial" w:cs="Arial"/>
          <w:sz w:val="22"/>
          <w:szCs w:val="22"/>
        </w:rPr>
      </w:pPr>
    </w:p>
    <w:p w14:paraId="48CAC8E2" w14:textId="77777777" w:rsidR="000638C0" w:rsidRPr="000638C0" w:rsidRDefault="000638C0" w:rsidP="000638C0">
      <w:pPr>
        <w:rPr>
          <w:rFonts w:ascii="Arial" w:hAnsi="Arial" w:cs="Arial"/>
          <w:b/>
          <w:bCs/>
          <w:sz w:val="22"/>
          <w:szCs w:val="22"/>
        </w:rPr>
      </w:pPr>
      <w:r w:rsidRPr="000638C0">
        <w:rPr>
          <w:rFonts w:ascii="Arial" w:hAnsi="Arial" w:cs="Arial"/>
          <w:b/>
          <w:bCs/>
          <w:sz w:val="22"/>
          <w:szCs w:val="22"/>
        </w:rPr>
        <w:t>Challenges in Applying the Theory</w:t>
      </w:r>
    </w:p>
    <w:p w14:paraId="268971C7" w14:textId="77777777" w:rsidR="000638C0" w:rsidRPr="000638C0" w:rsidRDefault="000638C0" w:rsidP="000638C0">
      <w:pPr>
        <w:rPr>
          <w:rFonts w:ascii="Arial" w:hAnsi="Arial" w:cs="Arial"/>
          <w:sz w:val="22"/>
          <w:szCs w:val="22"/>
        </w:rPr>
      </w:pPr>
      <w:r w:rsidRPr="000638C0">
        <w:rPr>
          <w:rFonts w:ascii="Arial" w:hAnsi="Arial" w:cs="Arial"/>
          <w:sz w:val="22"/>
          <w:szCs w:val="22"/>
        </w:rPr>
        <w:t>Although Erikson’s theory offers clear benefits, there are limitations when applying it in practice. Some individuals may be reluctant to reflect on their past, particularly if they have experienced trauma or loss. Additionally, conditions such as dementia can affect memory and communication, making it more difficult to engage in traditional life review activities.</w:t>
      </w:r>
    </w:p>
    <w:p w14:paraId="01DE9372" w14:textId="77777777" w:rsidR="000638C0" w:rsidRPr="000638C0" w:rsidRDefault="000638C0" w:rsidP="000638C0">
      <w:pPr>
        <w:rPr>
          <w:rFonts w:ascii="Arial" w:hAnsi="Arial" w:cs="Arial"/>
          <w:sz w:val="22"/>
          <w:szCs w:val="22"/>
        </w:rPr>
      </w:pPr>
      <w:r w:rsidRPr="000638C0">
        <w:rPr>
          <w:rFonts w:ascii="Arial" w:hAnsi="Arial" w:cs="Arial"/>
          <w:sz w:val="22"/>
          <w:szCs w:val="22"/>
        </w:rPr>
        <w:t>Practical constraints within care homes, such as limited time and staffing pressures, can also restrict the ability to deliver consistent and meaningful interventions.</w:t>
      </w:r>
    </w:p>
    <w:p w14:paraId="52CB4013" w14:textId="77777777" w:rsidR="000638C0" w:rsidRPr="0033743F" w:rsidRDefault="000638C0" w:rsidP="000638C0">
      <w:pPr>
        <w:rPr>
          <w:rFonts w:ascii="Arial" w:hAnsi="Arial" w:cs="Arial"/>
          <w:b/>
          <w:bCs/>
          <w:sz w:val="22"/>
          <w:szCs w:val="22"/>
        </w:rPr>
      </w:pPr>
      <w:r w:rsidRPr="0033743F">
        <w:rPr>
          <w:rFonts w:ascii="Arial" w:hAnsi="Arial" w:cs="Arial"/>
          <w:b/>
          <w:bCs/>
          <w:sz w:val="22"/>
          <w:szCs w:val="22"/>
        </w:rPr>
        <w:t>Strategies to Overcome Challenges</w:t>
      </w:r>
    </w:p>
    <w:p w14:paraId="5A65F391" w14:textId="77777777" w:rsidR="000638C0" w:rsidRPr="000638C0" w:rsidRDefault="000638C0" w:rsidP="000638C0">
      <w:pPr>
        <w:rPr>
          <w:rFonts w:ascii="Arial" w:hAnsi="Arial" w:cs="Arial"/>
          <w:sz w:val="22"/>
          <w:szCs w:val="22"/>
        </w:rPr>
      </w:pPr>
      <w:r w:rsidRPr="000638C0">
        <w:rPr>
          <w:rFonts w:ascii="Arial" w:hAnsi="Arial" w:cs="Arial"/>
          <w:sz w:val="22"/>
          <w:szCs w:val="22"/>
        </w:rPr>
        <w:t>To overcome these challenges, care professionals should adopt flexible and inclusive approaches. For individuals who struggle with verbal communication, alternative methods such as music, art, or sensory activities can be used to promote engagement and positive emotional responses.</w:t>
      </w:r>
    </w:p>
    <w:p w14:paraId="143DEA47" w14:textId="77777777" w:rsidR="000638C0" w:rsidRPr="000638C0" w:rsidRDefault="000638C0" w:rsidP="000638C0">
      <w:pPr>
        <w:rPr>
          <w:rFonts w:ascii="Arial" w:hAnsi="Arial" w:cs="Arial"/>
          <w:sz w:val="22"/>
          <w:szCs w:val="22"/>
        </w:rPr>
      </w:pPr>
      <w:r w:rsidRPr="000638C0">
        <w:rPr>
          <w:rFonts w:ascii="Arial" w:hAnsi="Arial" w:cs="Arial"/>
          <w:sz w:val="22"/>
          <w:szCs w:val="22"/>
        </w:rPr>
        <w:t>Providing staff with appropriate training is also essential, ensuring they are equipped to support individuals effectively and respond sensitively to emotional needs. In addition, incorporating reminiscence-based activities into daily routines can help to make them more manageable within busy care environments.</w:t>
      </w:r>
    </w:p>
    <w:p w14:paraId="2D08A7B8" w14:textId="26516F26" w:rsidR="000638C0" w:rsidRDefault="000638C0">
      <w:pPr>
        <w:rPr>
          <w:rFonts w:ascii="Arial" w:hAnsi="Arial" w:cs="Arial"/>
          <w:sz w:val="22"/>
          <w:szCs w:val="22"/>
        </w:rPr>
      </w:pPr>
      <w:r w:rsidRPr="000638C0">
        <w:rPr>
          <w:rFonts w:ascii="Arial" w:hAnsi="Arial" w:cs="Arial"/>
          <w:sz w:val="22"/>
          <w:szCs w:val="22"/>
        </w:rPr>
        <w:t>A considered and analytical approach is required when applying these strategies. Care professionals must assess each individual’s needs and preferences to determine the most suitable method of support. This ensures that care remains both effective and person-centred.</w:t>
      </w:r>
    </w:p>
    <w:p w14:paraId="31F6C36F" w14:textId="77777777" w:rsidR="00931228" w:rsidRDefault="00931228">
      <w:pPr>
        <w:rPr>
          <w:rFonts w:ascii="Arial" w:hAnsi="Arial" w:cs="Arial"/>
          <w:sz w:val="22"/>
          <w:szCs w:val="22"/>
        </w:rPr>
      </w:pPr>
    </w:p>
    <w:p w14:paraId="731155AA" w14:textId="77777777" w:rsidR="00EE5ADC" w:rsidRDefault="00EE5ADC">
      <w:pPr>
        <w:rPr>
          <w:rFonts w:ascii="Arial" w:hAnsi="Arial" w:cs="Arial"/>
          <w:b/>
          <w:bCs/>
          <w:sz w:val="22"/>
          <w:szCs w:val="22"/>
        </w:rPr>
      </w:pPr>
    </w:p>
    <w:p w14:paraId="3E085AE8" w14:textId="77777777" w:rsidR="00EE5ADC" w:rsidRDefault="00EE5ADC">
      <w:pPr>
        <w:rPr>
          <w:rFonts w:ascii="Arial" w:hAnsi="Arial" w:cs="Arial"/>
          <w:b/>
          <w:bCs/>
          <w:sz w:val="22"/>
          <w:szCs w:val="22"/>
        </w:rPr>
      </w:pPr>
    </w:p>
    <w:p w14:paraId="11E985E7" w14:textId="77777777" w:rsidR="00EE5ADC" w:rsidRDefault="00EE5ADC">
      <w:pPr>
        <w:rPr>
          <w:rFonts w:ascii="Arial" w:hAnsi="Arial" w:cs="Arial"/>
          <w:b/>
          <w:bCs/>
          <w:sz w:val="22"/>
          <w:szCs w:val="22"/>
        </w:rPr>
      </w:pPr>
    </w:p>
    <w:p w14:paraId="349A85D4" w14:textId="77777777" w:rsidR="00EE5ADC" w:rsidRDefault="00EE5ADC">
      <w:pPr>
        <w:rPr>
          <w:rFonts w:ascii="Arial" w:hAnsi="Arial" w:cs="Arial"/>
          <w:b/>
          <w:bCs/>
          <w:sz w:val="22"/>
          <w:szCs w:val="22"/>
        </w:rPr>
      </w:pPr>
    </w:p>
    <w:p w14:paraId="35C4FCF5" w14:textId="77777777" w:rsidR="00EE5ADC" w:rsidRDefault="00EE5ADC">
      <w:pPr>
        <w:rPr>
          <w:rFonts w:ascii="Arial" w:hAnsi="Arial" w:cs="Arial"/>
          <w:b/>
          <w:bCs/>
          <w:sz w:val="22"/>
          <w:szCs w:val="22"/>
        </w:rPr>
      </w:pPr>
    </w:p>
    <w:p w14:paraId="7ED1B855" w14:textId="77777777" w:rsidR="00EE5ADC" w:rsidRDefault="00EE5ADC">
      <w:pPr>
        <w:rPr>
          <w:rFonts w:ascii="Arial" w:hAnsi="Arial" w:cs="Arial"/>
          <w:b/>
          <w:bCs/>
          <w:sz w:val="22"/>
          <w:szCs w:val="22"/>
        </w:rPr>
      </w:pPr>
    </w:p>
    <w:p w14:paraId="718F3FB0" w14:textId="77777777" w:rsidR="00EE5ADC" w:rsidRDefault="00EE5ADC">
      <w:pPr>
        <w:rPr>
          <w:rFonts w:ascii="Arial" w:hAnsi="Arial" w:cs="Arial"/>
          <w:b/>
          <w:bCs/>
          <w:sz w:val="22"/>
          <w:szCs w:val="22"/>
        </w:rPr>
      </w:pPr>
    </w:p>
    <w:p w14:paraId="3B9BB943" w14:textId="77777777" w:rsidR="00EE5ADC" w:rsidRDefault="00EE5ADC">
      <w:pPr>
        <w:rPr>
          <w:rFonts w:ascii="Arial" w:hAnsi="Arial" w:cs="Arial"/>
          <w:b/>
          <w:bCs/>
          <w:sz w:val="22"/>
          <w:szCs w:val="22"/>
        </w:rPr>
      </w:pPr>
    </w:p>
    <w:p w14:paraId="217DC942" w14:textId="77777777" w:rsidR="00EE5ADC" w:rsidRDefault="00EE5ADC">
      <w:pPr>
        <w:rPr>
          <w:rFonts w:ascii="Arial" w:hAnsi="Arial" w:cs="Arial"/>
          <w:b/>
          <w:bCs/>
          <w:sz w:val="22"/>
          <w:szCs w:val="22"/>
        </w:rPr>
      </w:pPr>
    </w:p>
    <w:p w14:paraId="71824AA8" w14:textId="77777777" w:rsidR="00EE5ADC" w:rsidRDefault="00EE5ADC">
      <w:pPr>
        <w:rPr>
          <w:rFonts w:ascii="Arial" w:hAnsi="Arial" w:cs="Arial"/>
          <w:b/>
          <w:bCs/>
          <w:sz w:val="22"/>
          <w:szCs w:val="22"/>
        </w:rPr>
      </w:pPr>
    </w:p>
    <w:p w14:paraId="27A48D26" w14:textId="77777777" w:rsidR="00EE5ADC" w:rsidRDefault="00EE5ADC">
      <w:pPr>
        <w:rPr>
          <w:rFonts w:ascii="Arial" w:hAnsi="Arial" w:cs="Arial"/>
          <w:b/>
          <w:bCs/>
          <w:sz w:val="22"/>
          <w:szCs w:val="22"/>
        </w:rPr>
      </w:pPr>
    </w:p>
    <w:p w14:paraId="00B0210A" w14:textId="77777777" w:rsidR="00EE5ADC" w:rsidRDefault="00EE5ADC">
      <w:pPr>
        <w:rPr>
          <w:rFonts w:ascii="Arial" w:hAnsi="Arial" w:cs="Arial"/>
          <w:b/>
          <w:bCs/>
          <w:sz w:val="22"/>
          <w:szCs w:val="22"/>
        </w:rPr>
      </w:pPr>
    </w:p>
    <w:p w14:paraId="3D6F6877" w14:textId="77777777" w:rsidR="00EE5ADC" w:rsidRDefault="00EE5ADC">
      <w:pPr>
        <w:rPr>
          <w:rFonts w:ascii="Arial" w:hAnsi="Arial" w:cs="Arial"/>
          <w:b/>
          <w:bCs/>
          <w:sz w:val="22"/>
          <w:szCs w:val="22"/>
        </w:rPr>
      </w:pPr>
    </w:p>
    <w:p w14:paraId="37C827E2" w14:textId="7FF036B3" w:rsidR="00931228" w:rsidRPr="001626E8" w:rsidRDefault="00CE5A67">
      <w:pPr>
        <w:rPr>
          <w:rFonts w:ascii="Arial" w:hAnsi="Arial" w:cs="Arial"/>
          <w:b/>
          <w:bCs/>
          <w:sz w:val="22"/>
          <w:szCs w:val="22"/>
        </w:rPr>
      </w:pPr>
      <w:r w:rsidRPr="001626E8">
        <w:rPr>
          <w:rFonts w:ascii="Arial" w:hAnsi="Arial" w:cs="Arial"/>
          <w:b/>
          <w:bCs/>
          <w:sz w:val="22"/>
          <w:szCs w:val="22"/>
        </w:rPr>
        <w:t>Reference list</w:t>
      </w:r>
    </w:p>
    <w:p w14:paraId="006B7F2E" w14:textId="77777777" w:rsidR="001626E8" w:rsidRDefault="001626E8">
      <w:pPr>
        <w:rPr>
          <w:rFonts w:ascii="Arial" w:hAnsi="Arial" w:cs="Arial"/>
          <w:sz w:val="22"/>
          <w:szCs w:val="22"/>
        </w:rPr>
      </w:pPr>
    </w:p>
    <w:p w14:paraId="45F57AE0" w14:textId="15051E63" w:rsidR="001626E8" w:rsidRDefault="001626E8">
      <w:pPr>
        <w:rPr>
          <w:rFonts w:ascii="Arial" w:hAnsi="Arial" w:cs="Arial"/>
          <w:sz w:val="22"/>
          <w:szCs w:val="22"/>
        </w:rPr>
      </w:pPr>
      <w:r>
        <w:rPr>
          <w:rFonts w:ascii="Arial" w:hAnsi="Arial" w:cs="Arial"/>
          <w:sz w:val="22"/>
          <w:szCs w:val="22"/>
        </w:rPr>
        <w:t>Erikson, E.H. (1998) The life cycle completed. New York: W.W. Norton &amp; Company.</w:t>
      </w:r>
    </w:p>
    <w:p w14:paraId="620FC13E" w14:textId="77777777" w:rsidR="001634DB" w:rsidRDefault="001634DB">
      <w:pPr>
        <w:rPr>
          <w:rFonts w:ascii="Arial" w:hAnsi="Arial" w:cs="Arial"/>
          <w:sz w:val="22"/>
          <w:szCs w:val="22"/>
        </w:rPr>
      </w:pPr>
    </w:p>
    <w:p w14:paraId="7577CC59" w14:textId="77777777" w:rsidR="001626E8" w:rsidRDefault="001626E8">
      <w:pPr>
        <w:rPr>
          <w:rFonts w:ascii="Arial" w:hAnsi="Arial" w:cs="Arial"/>
          <w:sz w:val="22"/>
          <w:szCs w:val="22"/>
        </w:rPr>
      </w:pPr>
      <w:r>
        <w:rPr>
          <w:rFonts w:ascii="Arial" w:hAnsi="Arial" w:cs="Arial"/>
          <w:sz w:val="22"/>
          <w:szCs w:val="22"/>
        </w:rPr>
        <w:t>Kitwood, T. (2019) Dementia reconsidered: the person comes first. 2</w:t>
      </w:r>
      <w:r w:rsidRPr="001626E8">
        <w:rPr>
          <w:rFonts w:ascii="Arial" w:hAnsi="Arial" w:cs="Arial"/>
          <w:sz w:val="22"/>
          <w:szCs w:val="22"/>
          <w:vertAlign w:val="superscript"/>
        </w:rPr>
        <w:t>nd</w:t>
      </w:r>
      <w:r>
        <w:rPr>
          <w:rFonts w:ascii="Arial" w:hAnsi="Arial" w:cs="Arial"/>
          <w:sz w:val="22"/>
          <w:szCs w:val="22"/>
        </w:rPr>
        <w:t xml:space="preserve"> edn. Maidenhead: Open University Press.</w:t>
      </w:r>
    </w:p>
    <w:p w14:paraId="7670BBCA" w14:textId="77777777" w:rsidR="00BE25DF" w:rsidRDefault="00BE25DF">
      <w:pPr>
        <w:rPr>
          <w:rFonts w:ascii="Arial" w:hAnsi="Arial" w:cs="Arial"/>
          <w:sz w:val="22"/>
          <w:szCs w:val="22"/>
        </w:rPr>
      </w:pPr>
    </w:p>
    <w:p w14:paraId="0FE75E88" w14:textId="16B748FB" w:rsidR="001626E8" w:rsidRDefault="001626E8">
      <w:pPr>
        <w:rPr>
          <w:rFonts w:ascii="Arial" w:hAnsi="Arial" w:cs="Arial"/>
          <w:sz w:val="22"/>
          <w:szCs w:val="22"/>
        </w:rPr>
      </w:pPr>
      <w:r>
        <w:rPr>
          <w:rFonts w:ascii="Arial" w:hAnsi="Arial" w:cs="Arial"/>
          <w:sz w:val="22"/>
          <w:szCs w:val="22"/>
        </w:rPr>
        <w:t xml:space="preserve">Säljö, R. (2001) ‘Learning in practice: a sociocultural perspective’, Educational Researcher, 30(5), pp. 19–25. Available at: </w:t>
      </w:r>
      <w:hyperlink r:id="rId9" w:history="1">
        <w:r w:rsidR="004E6817" w:rsidRPr="00401B41">
          <w:rPr>
            <w:rStyle w:val="Hyperlink"/>
            <w:rFonts w:ascii="Arial" w:hAnsi="Arial" w:cs="Arial"/>
            <w:sz w:val="22"/>
            <w:szCs w:val="22"/>
          </w:rPr>
          <w:t>https://doi.org/10.3102/0013189X030005019</w:t>
        </w:r>
      </w:hyperlink>
      <w:r w:rsidR="004E6817">
        <w:rPr>
          <w:rFonts w:ascii="Arial" w:hAnsi="Arial" w:cs="Arial"/>
          <w:sz w:val="22"/>
          <w:szCs w:val="22"/>
        </w:rPr>
        <w:t xml:space="preserve"> </w:t>
      </w:r>
    </w:p>
    <w:p w14:paraId="235C23C3" w14:textId="77777777" w:rsidR="00BE25DF" w:rsidRDefault="00BE25DF">
      <w:pPr>
        <w:rPr>
          <w:rFonts w:ascii="Arial" w:hAnsi="Arial" w:cs="Arial"/>
          <w:sz w:val="22"/>
          <w:szCs w:val="22"/>
        </w:rPr>
      </w:pPr>
    </w:p>
    <w:p w14:paraId="3A2245F9" w14:textId="77777777" w:rsidR="001626E8" w:rsidRDefault="001626E8">
      <w:pPr>
        <w:rPr>
          <w:rFonts w:ascii="Arial" w:hAnsi="Arial" w:cs="Arial"/>
          <w:sz w:val="22"/>
          <w:szCs w:val="22"/>
        </w:rPr>
      </w:pPr>
      <w:r>
        <w:rPr>
          <w:rFonts w:ascii="Arial" w:hAnsi="Arial" w:cs="Arial"/>
          <w:sz w:val="22"/>
          <w:szCs w:val="22"/>
        </w:rPr>
        <w:t>Vygotsky, L.S. (1978) Mind in society: the development of higher psychological processes. Cambridge, MA: Harvard University Press.</w:t>
      </w:r>
    </w:p>
    <w:p w14:paraId="18BB09E7" w14:textId="77777777" w:rsidR="00BE25DF" w:rsidRDefault="00BE25DF">
      <w:pPr>
        <w:rPr>
          <w:rFonts w:ascii="Arial" w:hAnsi="Arial" w:cs="Arial"/>
          <w:sz w:val="22"/>
          <w:szCs w:val="22"/>
        </w:rPr>
      </w:pPr>
    </w:p>
    <w:p w14:paraId="4FE32EA2" w14:textId="4E4FE04B" w:rsidR="001626E8" w:rsidRDefault="001626E8">
      <w:pPr>
        <w:rPr>
          <w:rFonts w:ascii="Arial" w:hAnsi="Arial" w:cs="Arial"/>
          <w:sz w:val="22"/>
          <w:szCs w:val="22"/>
        </w:rPr>
      </w:pPr>
      <w:r>
        <w:rPr>
          <w:rFonts w:ascii="Arial" w:hAnsi="Arial" w:cs="Arial"/>
          <w:sz w:val="22"/>
          <w:szCs w:val="22"/>
        </w:rPr>
        <w:t xml:space="preserve">Westerhof, G.J. and Bohlmeijer, E.T. (2014) ‘Celebrating fifty years of research and applications in reminiscence and life review’, Journal of Aging Studies, 29, pp. 107–114. Available at: </w:t>
      </w:r>
      <w:hyperlink r:id="rId10" w:history="1">
        <w:r w:rsidR="00F66B8F" w:rsidRPr="00401B41">
          <w:rPr>
            <w:rStyle w:val="Hyperlink"/>
            <w:rFonts w:ascii="Arial" w:hAnsi="Arial" w:cs="Arial"/>
            <w:sz w:val="22"/>
            <w:szCs w:val="22"/>
          </w:rPr>
          <w:t>https://doi.org/10.1016/j.jaging.2014.02.003</w:t>
        </w:r>
      </w:hyperlink>
      <w:r w:rsidR="00F66B8F">
        <w:rPr>
          <w:rFonts w:ascii="Arial" w:hAnsi="Arial" w:cs="Arial"/>
          <w:sz w:val="22"/>
          <w:szCs w:val="22"/>
        </w:rPr>
        <w:t xml:space="preserve"> </w:t>
      </w:r>
    </w:p>
    <w:p w14:paraId="39C007A1" w14:textId="77777777" w:rsidR="00BE25DF" w:rsidRDefault="00BE25DF">
      <w:pPr>
        <w:rPr>
          <w:rFonts w:ascii="Arial" w:hAnsi="Arial" w:cs="Arial"/>
          <w:sz w:val="22"/>
          <w:szCs w:val="22"/>
        </w:rPr>
      </w:pPr>
    </w:p>
    <w:p w14:paraId="5980DA23" w14:textId="68B4B993" w:rsidR="001626E8" w:rsidRPr="005C0D06" w:rsidRDefault="001626E8">
      <w:pPr>
        <w:rPr>
          <w:rFonts w:ascii="Arial" w:hAnsi="Arial" w:cs="Arial"/>
          <w:sz w:val="22"/>
          <w:szCs w:val="22"/>
        </w:rPr>
      </w:pPr>
      <w:r>
        <w:rPr>
          <w:rFonts w:ascii="Arial" w:hAnsi="Arial" w:cs="Arial"/>
          <w:sz w:val="22"/>
          <w:szCs w:val="22"/>
        </w:rPr>
        <w:t xml:space="preserve">Woods, B., O’Philbin, L., Farrell, E.M., Spector, A.E. and Orrell, M. (2018) ‘Reminiscence therapy for dementia’, Cochrane Database of Systematic Reviews, 3, article CD001120. Available at: </w:t>
      </w:r>
      <w:hyperlink r:id="rId11" w:history="1">
        <w:r w:rsidR="00F66B8F" w:rsidRPr="00401B41">
          <w:rPr>
            <w:rStyle w:val="Hyperlink"/>
            <w:rFonts w:ascii="Arial" w:hAnsi="Arial" w:cs="Arial"/>
            <w:sz w:val="22"/>
            <w:szCs w:val="22"/>
          </w:rPr>
          <w:t>https://doi.org/10.1002/14651858.CD001120.pub3</w:t>
        </w:r>
      </w:hyperlink>
      <w:r w:rsidR="00F66B8F">
        <w:rPr>
          <w:rFonts w:ascii="Arial" w:hAnsi="Arial" w:cs="Arial"/>
          <w:sz w:val="22"/>
          <w:szCs w:val="22"/>
        </w:rPr>
        <w:t xml:space="preserve"> </w:t>
      </w:r>
    </w:p>
    <w:p w14:paraId="2F06AE9A" w14:textId="77777777" w:rsidR="002A1243" w:rsidRPr="005C0D06" w:rsidRDefault="002A1243">
      <w:pPr>
        <w:rPr>
          <w:rFonts w:ascii="Arial" w:hAnsi="Arial" w:cs="Arial"/>
          <w:sz w:val="22"/>
          <w:szCs w:val="22"/>
        </w:rPr>
      </w:pPr>
    </w:p>
    <w:p w14:paraId="2EFAEDCD" w14:textId="718C541A" w:rsidR="008944C0" w:rsidRPr="005C0D06" w:rsidRDefault="008944C0">
      <w:pPr>
        <w:rPr>
          <w:rFonts w:ascii="Arial" w:hAnsi="Arial" w:cs="Arial"/>
          <w:sz w:val="22"/>
          <w:szCs w:val="22"/>
        </w:rPr>
      </w:pPr>
    </w:p>
    <w:p w14:paraId="2A3DC01E" w14:textId="77777777" w:rsidR="008944C0" w:rsidRPr="005C0D06" w:rsidRDefault="008944C0">
      <w:pPr>
        <w:rPr>
          <w:rFonts w:ascii="Arial" w:hAnsi="Arial" w:cs="Arial"/>
          <w:sz w:val="22"/>
          <w:szCs w:val="22"/>
        </w:rPr>
      </w:pPr>
    </w:p>
    <w:sectPr w:rsidR="008944C0" w:rsidRPr="005C0D06">
      <w:footerReference w:type="even" r:id="rId12"/>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BA13F0" w14:textId="77777777" w:rsidR="004C7E56" w:rsidRDefault="004C7E56" w:rsidP="003E2FEB">
      <w:pPr>
        <w:spacing w:after="0" w:line="240" w:lineRule="auto"/>
      </w:pPr>
      <w:r>
        <w:separator/>
      </w:r>
    </w:p>
  </w:endnote>
  <w:endnote w:type="continuationSeparator" w:id="0">
    <w:p w14:paraId="3D7BB667" w14:textId="77777777" w:rsidR="004C7E56" w:rsidRDefault="004C7E56" w:rsidP="003E2F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36898660"/>
      <w:docPartObj>
        <w:docPartGallery w:val="Page Numbers (Bottom of Page)"/>
        <w:docPartUnique/>
      </w:docPartObj>
    </w:sdtPr>
    <w:sdtEndPr>
      <w:rPr>
        <w:rStyle w:val="PageNumber"/>
      </w:rPr>
    </w:sdtEndPr>
    <w:sdtContent>
      <w:p w14:paraId="0B2E04D7" w14:textId="6445C7F3" w:rsidR="003E2FEB" w:rsidRDefault="003E2FEB" w:rsidP="00401B41">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DE88F5" w14:textId="77777777" w:rsidR="003E2FEB" w:rsidRDefault="003E2F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53925182"/>
      <w:docPartObj>
        <w:docPartGallery w:val="Page Numbers (Bottom of Page)"/>
        <w:docPartUnique/>
      </w:docPartObj>
    </w:sdtPr>
    <w:sdtEndPr>
      <w:rPr>
        <w:rStyle w:val="PageNumber"/>
      </w:rPr>
    </w:sdtEndPr>
    <w:sdtContent>
      <w:p w14:paraId="0808FA12" w14:textId="5DCB3D82" w:rsidR="003E2FEB" w:rsidRDefault="003E2FEB" w:rsidP="00401B41">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275B6970" w14:textId="77777777" w:rsidR="003E2FEB" w:rsidRDefault="003E2F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C78141" w14:textId="77777777" w:rsidR="004C7E56" w:rsidRDefault="004C7E56" w:rsidP="003E2FEB">
      <w:pPr>
        <w:spacing w:after="0" w:line="240" w:lineRule="auto"/>
      </w:pPr>
      <w:r>
        <w:separator/>
      </w:r>
    </w:p>
  </w:footnote>
  <w:footnote w:type="continuationSeparator" w:id="0">
    <w:p w14:paraId="409DA9D9" w14:textId="77777777" w:rsidR="004C7E56" w:rsidRDefault="004C7E56" w:rsidP="003E2F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5D3007"/>
    <w:multiLevelType w:val="hybridMultilevel"/>
    <w:tmpl w:val="6DD612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55838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4C0"/>
    <w:rsid w:val="000638C0"/>
    <w:rsid w:val="000A678E"/>
    <w:rsid w:val="000C4563"/>
    <w:rsid w:val="0010385F"/>
    <w:rsid w:val="00116FAA"/>
    <w:rsid w:val="001626E8"/>
    <w:rsid w:val="001634DB"/>
    <w:rsid w:val="001668BC"/>
    <w:rsid w:val="00171BCE"/>
    <w:rsid w:val="001B366C"/>
    <w:rsid w:val="0028682C"/>
    <w:rsid w:val="002A1243"/>
    <w:rsid w:val="002F2C66"/>
    <w:rsid w:val="00326600"/>
    <w:rsid w:val="0033743F"/>
    <w:rsid w:val="003808DA"/>
    <w:rsid w:val="003B0AF1"/>
    <w:rsid w:val="003E2FEB"/>
    <w:rsid w:val="003F5666"/>
    <w:rsid w:val="003F77C7"/>
    <w:rsid w:val="00495E96"/>
    <w:rsid w:val="004C0F7F"/>
    <w:rsid w:val="004C7E56"/>
    <w:rsid w:val="004E6817"/>
    <w:rsid w:val="004F3AD5"/>
    <w:rsid w:val="005C0D06"/>
    <w:rsid w:val="005D15FC"/>
    <w:rsid w:val="005D7F26"/>
    <w:rsid w:val="005E4077"/>
    <w:rsid w:val="006D6AEA"/>
    <w:rsid w:val="007A1FA0"/>
    <w:rsid w:val="007E0300"/>
    <w:rsid w:val="008944C0"/>
    <w:rsid w:val="008F32B2"/>
    <w:rsid w:val="00907452"/>
    <w:rsid w:val="00931228"/>
    <w:rsid w:val="009F6F06"/>
    <w:rsid w:val="00A97518"/>
    <w:rsid w:val="00AC1153"/>
    <w:rsid w:val="00AD6E72"/>
    <w:rsid w:val="00B243BA"/>
    <w:rsid w:val="00B86505"/>
    <w:rsid w:val="00BB1495"/>
    <w:rsid w:val="00BC3796"/>
    <w:rsid w:val="00BD1A41"/>
    <w:rsid w:val="00BE25DF"/>
    <w:rsid w:val="00C7223C"/>
    <w:rsid w:val="00C97F17"/>
    <w:rsid w:val="00CA3DA3"/>
    <w:rsid w:val="00CE5A67"/>
    <w:rsid w:val="00E02E6A"/>
    <w:rsid w:val="00E56FBA"/>
    <w:rsid w:val="00EC5FD2"/>
    <w:rsid w:val="00EE219B"/>
    <w:rsid w:val="00EE5ADC"/>
    <w:rsid w:val="00F07CCE"/>
    <w:rsid w:val="00F50B76"/>
    <w:rsid w:val="00F66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4032B4"/>
  <w15:chartTrackingRefBased/>
  <w15:docId w15:val="{2D9633E0-C5AA-AB44-B018-E4E2F3160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44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44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44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44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44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44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44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44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44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4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44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44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44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44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44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44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44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44C0"/>
    <w:rPr>
      <w:rFonts w:eastAsiaTheme="majorEastAsia" w:cstheme="majorBidi"/>
      <w:color w:val="272727" w:themeColor="text1" w:themeTint="D8"/>
    </w:rPr>
  </w:style>
  <w:style w:type="paragraph" w:styleId="Title">
    <w:name w:val="Title"/>
    <w:basedOn w:val="Normal"/>
    <w:next w:val="Normal"/>
    <w:link w:val="TitleChar"/>
    <w:uiPriority w:val="10"/>
    <w:qFormat/>
    <w:rsid w:val="008944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44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44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44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44C0"/>
    <w:pPr>
      <w:spacing w:before="160"/>
      <w:jc w:val="center"/>
    </w:pPr>
    <w:rPr>
      <w:i/>
      <w:iCs/>
      <w:color w:val="404040" w:themeColor="text1" w:themeTint="BF"/>
    </w:rPr>
  </w:style>
  <w:style w:type="character" w:customStyle="1" w:styleId="QuoteChar">
    <w:name w:val="Quote Char"/>
    <w:basedOn w:val="DefaultParagraphFont"/>
    <w:link w:val="Quote"/>
    <w:uiPriority w:val="29"/>
    <w:rsid w:val="008944C0"/>
    <w:rPr>
      <w:i/>
      <w:iCs/>
      <w:color w:val="404040" w:themeColor="text1" w:themeTint="BF"/>
    </w:rPr>
  </w:style>
  <w:style w:type="paragraph" w:styleId="ListParagraph">
    <w:name w:val="List Paragraph"/>
    <w:basedOn w:val="Normal"/>
    <w:uiPriority w:val="34"/>
    <w:qFormat/>
    <w:rsid w:val="008944C0"/>
    <w:pPr>
      <w:ind w:left="720"/>
      <w:contextualSpacing/>
    </w:pPr>
  </w:style>
  <w:style w:type="character" w:styleId="IntenseEmphasis">
    <w:name w:val="Intense Emphasis"/>
    <w:basedOn w:val="DefaultParagraphFont"/>
    <w:uiPriority w:val="21"/>
    <w:qFormat/>
    <w:rsid w:val="008944C0"/>
    <w:rPr>
      <w:i/>
      <w:iCs/>
      <w:color w:val="0F4761" w:themeColor="accent1" w:themeShade="BF"/>
    </w:rPr>
  </w:style>
  <w:style w:type="paragraph" w:styleId="IntenseQuote">
    <w:name w:val="Intense Quote"/>
    <w:basedOn w:val="Normal"/>
    <w:next w:val="Normal"/>
    <w:link w:val="IntenseQuoteChar"/>
    <w:uiPriority w:val="30"/>
    <w:qFormat/>
    <w:rsid w:val="008944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44C0"/>
    <w:rPr>
      <w:i/>
      <w:iCs/>
      <w:color w:val="0F4761" w:themeColor="accent1" w:themeShade="BF"/>
    </w:rPr>
  </w:style>
  <w:style w:type="character" w:styleId="IntenseReference">
    <w:name w:val="Intense Reference"/>
    <w:basedOn w:val="DefaultParagraphFont"/>
    <w:uiPriority w:val="32"/>
    <w:qFormat/>
    <w:rsid w:val="008944C0"/>
    <w:rPr>
      <w:b/>
      <w:bCs/>
      <w:smallCaps/>
      <w:color w:val="0F4761" w:themeColor="accent1" w:themeShade="BF"/>
      <w:spacing w:val="5"/>
    </w:rPr>
  </w:style>
  <w:style w:type="character" w:styleId="Hyperlink">
    <w:name w:val="Hyperlink"/>
    <w:basedOn w:val="DefaultParagraphFont"/>
    <w:uiPriority w:val="99"/>
    <w:unhideWhenUsed/>
    <w:rsid w:val="008944C0"/>
    <w:rPr>
      <w:color w:val="467886" w:themeColor="hyperlink"/>
      <w:u w:val="single"/>
    </w:rPr>
  </w:style>
  <w:style w:type="character" w:styleId="UnresolvedMention">
    <w:name w:val="Unresolved Mention"/>
    <w:basedOn w:val="DefaultParagraphFont"/>
    <w:uiPriority w:val="99"/>
    <w:semiHidden/>
    <w:unhideWhenUsed/>
    <w:rsid w:val="008944C0"/>
    <w:rPr>
      <w:color w:val="605E5C"/>
      <w:shd w:val="clear" w:color="auto" w:fill="E1DFDD"/>
    </w:rPr>
  </w:style>
  <w:style w:type="paragraph" w:styleId="Header">
    <w:name w:val="header"/>
    <w:basedOn w:val="Normal"/>
    <w:link w:val="HeaderChar"/>
    <w:uiPriority w:val="99"/>
    <w:unhideWhenUsed/>
    <w:rsid w:val="003E2F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2FEB"/>
  </w:style>
  <w:style w:type="paragraph" w:styleId="Footer">
    <w:name w:val="footer"/>
    <w:basedOn w:val="Normal"/>
    <w:link w:val="FooterChar"/>
    <w:uiPriority w:val="99"/>
    <w:unhideWhenUsed/>
    <w:rsid w:val="003E2F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2FEB"/>
  </w:style>
  <w:style w:type="character" w:styleId="PageNumber">
    <w:name w:val="page number"/>
    <w:basedOn w:val="DefaultParagraphFont"/>
    <w:uiPriority w:val="99"/>
    <w:semiHidden/>
    <w:unhideWhenUsed/>
    <w:rsid w:val="003E2FEB"/>
  </w:style>
  <w:style w:type="paragraph" w:customStyle="1" w:styleId="TableParagraph">
    <w:name w:val="Table Paragraph"/>
    <w:basedOn w:val="Normal"/>
    <w:uiPriority w:val="1"/>
    <w:qFormat/>
    <w:rsid w:val="007E0300"/>
    <w:pPr>
      <w:widowControl w:val="0"/>
      <w:autoSpaceDE w:val="0"/>
      <w:autoSpaceDN w:val="0"/>
      <w:spacing w:after="0" w:line="240" w:lineRule="auto"/>
    </w:pPr>
    <w:rPr>
      <w:rFonts w:ascii="Arial" w:eastAsia="Arial" w:hAnsi="Arial" w:cs="Arial"/>
      <w:kern w:val="0"/>
      <w:sz w:val="22"/>
      <w:szCs w:val="22"/>
      <w:lang w:val="en-US"/>
      <w14:ligatures w14:val="none"/>
    </w:rPr>
  </w:style>
  <w:style w:type="character" w:styleId="FollowedHyperlink">
    <w:name w:val="FollowedHyperlink"/>
    <w:basedOn w:val="DefaultParagraphFont"/>
    <w:uiPriority w:val="99"/>
    <w:semiHidden/>
    <w:unhideWhenUsed/>
    <w:rsid w:val="0032660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102/0013189X030005019" TargetMode="External" /><Relationship Id="rId13"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hyperlink" Target="https://doi.org/10.1016/j.jaging.2014.02.003" TargetMode="External"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oi.org/10.1002/14651858.CD001120.pub3"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doi.org/10.1016/j.jaging.2014.02.003" TargetMode="External" /><Relationship Id="rId4" Type="http://schemas.openxmlformats.org/officeDocument/2006/relationships/webSettings" Target="webSettings.xml" /><Relationship Id="rId9" Type="http://schemas.openxmlformats.org/officeDocument/2006/relationships/hyperlink" Target="https://doi.org/10.3102/0013189X030005019"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1676</Words>
  <Characters>10544</Characters>
  <Application>Microsoft Office Word</Application>
  <DocSecurity>0</DocSecurity>
  <Lines>202</Lines>
  <Paragraphs>62</Paragraphs>
  <ScaleCrop>false</ScaleCrop>
  <Company/>
  <LinksUpToDate>false</LinksUpToDate>
  <CharactersWithSpaces>12158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Fabio Cardoso</dc:creator>
  <cp:keywords/>
  <dc:description/>
  <cp:lastModifiedBy>Fabio Cardoso</cp:lastModifiedBy>
  <cp:revision>2</cp:revision>
  <dcterms:created xsi:type="dcterms:W3CDTF">2026-03-22T11:16:00Z</dcterms:created>
  <dcterms:modified xsi:type="dcterms:W3CDTF">2026-03-22T11:16:00Z</dcterms:modified>
</cp:coreProperties>
</file>