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F5FBE" w14:textId="11525B45" w:rsidR="1D1B4375" w:rsidRDefault="1D1B4375" w:rsidP="1D1B4375">
      <w:pPr>
        <w:ind w:left="2880"/>
      </w:pPr>
      <w:bookmarkStart w:id="0" w:name="_GoBack"/>
      <w:bookmarkEnd w:id="0"/>
      <w:r>
        <w:t xml:space="preserve">            </w:t>
      </w:r>
      <w:r>
        <w:rPr>
          <w:noProof/>
          <w:lang w:eastAsia="en-GB"/>
        </w:rPr>
        <w:drawing>
          <wp:inline distT="0" distB="0" distL="0" distR="0" wp14:anchorId="6AA704D8" wp14:editId="72AA3F30">
            <wp:extent cx="1580816" cy="800100"/>
            <wp:effectExtent l="0" t="0" r="0" b="0"/>
            <wp:docPr id="2022243647" name="Picture 202224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580816" cy="800100"/>
                    </a:xfrm>
                    <a:prstGeom prst="rect">
                      <a:avLst/>
                    </a:prstGeom>
                  </pic:spPr>
                </pic:pic>
              </a:graphicData>
            </a:graphic>
          </wp:inline>
        </w:drawing>
      </w:r>
    </w:p>
    <w:p w14:paraId="2918FB0F" w14:textId="2F6A40F2" w:rsidR="1D1B4375" w:rsidRDefault="1D1B4375" w:rsidP="1D1B4375">
      <w:pPr>
        <w:ind w:left="4320"/>
        <w:rPr>
          <w:rFonts w:ascii="Times New Roman" w:eastAsia="Times New Roman" w:hAnsi="Times New Roman" w:cs="Times New Roman"/>
          <w:sz w:val="24"/>
          <w:szCs w:val="24"/>
        </w:rPr>
      </w:pPr>
    </w:p>
    <w:p w14:paraId="47053586" w14:textId="1AC67544" w:rsidR="1D1B4375" w:rsidRDefault="1D1B4375" w:rsidP="1D1B4375">
      <w:pPr>
        <w:rPr>
          <w:rFonts w:ascii="Times New Roman" w:eastAsia="Times New Roman" w:hAnsi="Times New Roman" w:cs="Times New Roman"/>
          <w:sz w:val="24"/>
          <w:szCs w:val="24"/>
        </w:rPr>
      </w:pPr>
      <w:r w:rsidRPr="1D1B4375">
        <w:rPr>
          <w:rFonts w:ascii="Times New Roman" w:eastAsia="Times New Roman" w:hAnsi="Times New Roman" w:cs="Times New Roman"/>
          <w:sz w:val="24"/>
          <w:szCs w:val="24"/>
        </w:rPr>
        <w:t xml:space="preserve">Age UK is the UK’s leading charity for supporting older adults, they cite that they are available for every older person, are available online, by telephone, in the community and will assist in opening doors to ensure that all older adults have someone to reach out too. </w:t>
      </w:r>
    </w:p>
    <w:p w14:paraId="7C363EEC" w14:textId="709EAE70" w:rsidR="1D1B4375" w:rsidRDefault="1D1B4375" w:rsidP="1D1B4375">
      <w:pPr>
        <w:rPr>
          <w:rFonts w:ascii="Times New Roman" w:eastAsia="Times New Roman" w:hAnsi="Times New Roman" w:cs="Times New Roman"/>
          <w:sz w:val="24"/>
          <w:szCs w:val="24"/>
        </w:rPr>
      </w:pPr>
      <w:r w:rsidRPr="1D1B4375">
        <w:rPr>
          <w:rFonts w:ascii="Times New Roman" w:eastAsia="Times New Roman" w:hAnsi="Times New Roman" w:cs="Times New Roman"/>
          <w:sz w:val="24"/>
          <w:szCs w:val="24"/>
        </w:rPr>
        <w:t>In November 2018 Age UK cited that funding for extra care and sheltered accommodation would not be capped through the rents and benefit system (Factsheet 64, age UK).</w:t>
      </w:r>
    </w:p>
    <w:p w14:paraId="2C992BAE" w14:textId="3338B0A2" w:rsidR="1D1B4375" w:rsidRDefault="1D1B4375" w:rsidP="1D1B4375">
      <w:pPr>
        <w:rPr>
          <w:rFonts w:ascii="Times New Roman" w:eastAsia="Times New Roman" w:hAnsi="Times New Roman" w:cs="Times New Roman"/>
          <w:sz w:val="24"/>
          <w:szCs w:val="24"/>
        </w:rPr>
      </w:pPr>
      <w:r w:rsidRPr="1D1B4375">
        <w:rPr>
          <w:rFonts w:ascii="Times New Roman" w:eastAsia="Times New Roman" w:hAnsi="Times New Roman" w:cs="Times New Roman"/>
          <w:sz w:val="24"/>
          <w:szCs w:val="24"/>
        </w:rPr>
        <w:t>Supported housing for older adults usually means those aged over 55 or 60, and can offer three levels of support:</w:t>
      </w:r>
    </w:p>
    <w:p w14:paraId="01256DBE" w14:textId="541A26B6" w:rsidR="1D1B4375" w:rsidRDefault="1D1B4375" w:rsidP="1D1B4375">
      <w:pPr>
        <w:pStyle w:val="ListParagraph"/>
        <w:numPr>
          <w:ilvl w:val="0"/>
          <w:numId w:val="3"/>
        </w:numPr>
        <w:rPr>
          <w:sz w:val="24"/>
          <w:szCs w:val="24"/>
        </w:rPr>
      </w:pPr>
      <w:r w:rsidRPr="1D1B4375">
        <w:rPr>
          <w:rFonts w:ascii="Times New Roman" w:eastAsia="Times New Roman" w:hAnsi="Times New Roman" w:cs="Times New Roman"/>
          <w:sz w:val="24"/>
          <w:szCs w:val="24"/>
        </w:rPr>
        <w:t>Age exclusive – where the resident must be above a certain age, however very little support is available.</w:t>
      </w:r>
    </w:p>
    <w:p w14:paraId="76B34729" w14:textId="14E3B283" w:rsidR="1D1B4375" w:rsidRDefault="1D1B4375" w:rsidP="1D1B4375">
      <w:pPr>
        <w:pStyle w:val="ListParagraph"/>
        <w:numPr>
          <w:ilvl w:val="0"/>
          <w:numId w:val="3"/>
        </w:numPr>
        <w:rPr>
          <w:sz w:val="24"/>
          <w:szCs w:val="24"/>
        </w:rPr>
      </w:pPr>
      <w:r w:rsidRPr="1D1B4375">
        <w:rPr>
          <w:rFonts w:ascii="Times New Roman" w:eastAsia="Times New Roman" w:hAnsi="Times New Roman" w:cs="Times New Roman"/>
          <w:sz w:val="24"/>
          <w:szCs w:val="24"/>
        </w:rPr>
        <w:t>Housing with support – where the resident receives support such as lifeline/ alarm systems, however care packages are not in place.</w:t>
      </w:r>
    </w:p>
    <w:p w14:paraId="43F97F32" w14:textId="7D7E5034" w:rsidR="1D1B4375" w:rsidRDefault="1D1B4375" w:rsidP="1D1B4375">
      <w:pPr>
        <w:pStyle w:val="ListParagraph"/>
        <w:numPr>
          <w:ilvl w:val="0"/>
          <w:numId w:val="3"/>
        </w:numPr>
        <w:rPr>
          <w:sz w:val="24"/>
          <w:szCs w:val="24"/>
        </w:rPr>
      </w:pPr>
      <w:r w:rsidRPr="1D1B4375">
        <w:rPr>
          <w:rFonts w:ascii="Times New Roman" w:eastAsia="Times New Roman" w:hAnsi="Times New Roman" w:cs="Times New Roman"/>
          <w:sz w:val="24"/>
          <w:szCs w:val="24"/>
        </w:rPr>
        <w:t>Housing with care, where a care package is put in place to assist with washing, dressing, providing support and cooking/ providing meals.</w:t>
      </w:r>
    </w:p>
    <w:p w14:paraId="034AEF40" w14:textId="5CCB5345" w:rsidR="1D1B4375" w:rsidRDefault="1D1B4375" w:rsidP="1D1B4375">
      <w:pPr>
        <w:rPr>
          <w:rFonts w:ascii="Times New Roman" w:eastAsia="Times New Roman" w:hAnsi="Times New Roman" w:cs="Times New Roman"/>
          <w:sz w:val="24"/>
          <w:szCs w:val="24"/>
        </w:rPr>
      </w:pPr>
      <w:r w:rsidRPr="1D1B4375">
        <w:rPr>
          <w:rFonts w:ascii="Times New Roman" w:eastAsia="Times New Roman" w:hAnsi="Times New Roman" w:cs="Times New Roman"/>
          <w:sz w:val="24"/>
          <w:szCs w:val="24"/>
        </w:rPr>
        <w:t xml:space="preserve">Sheltered/ supported housing can be provided relatively free through means tested benefits; however, it can also be paid for by the resident. The resident usually has their own entrance; these are normally linked to a warden/manager. It enables the older person to continue to live independently, although they have access to support services to provide a better quality of life. </w:t>
      </w:r>
    </w:p>
    <w:p w14:paraId="359C56FD" w14:textId="25BA7873" w:rsidR="1D1B4375" w:rsidRDefault="1D1B4375" w:rsidP="1D1B4375">
      <w:pPr>
        <w:rPr>
          <w:rFonts w:ascii="Times New Roman" w:eastAsia="Times New Roman" w:hAnsi="Times New Roman" w:cs="Times New Roman"/>
          <w:sz w:val="24"/>
          <w:szCs w:val="24"/>
        </w:rPr>
      </w:pPr>
      <w:r w:rsidRPr="1D1B4375">
        <w:rPr>
          <w:rFonts w:ascii="Times New Roman" w:eastAsia="Times New Roman" w:hAnsi="Times New Roman" w:cs="Times New Roman"/>
          <w:sz w:val="24"/>
          <w:szCs w:val="24"/>
        </w:rPr>
        <w:t>Age UK can provide advice and support in many areas:</w:t>
      </w:r>
    </w:p>
    <w:p w14:paraId="6C905445" w14:textId="1E0D6F1B" w:rsidR="1D1B4375" w:rsidRDefault="1D1B4375" w:rsidP="1D1B4375">
      <w:pPr>
        <w:pStyle w:val="ListParagraph"/>
        <w:numPr>
          <w:ilvl w:val="0"/>
          <w:numId w:val="2"/>
        </w:numPr>
        <w:rPr>
          <w:sz w:val="24"/>
          <w:szCs w:val="24"/>
        </w:rPr>
      </w:pPr>
      <w:r w:rsidRPr="1D1B4375">
        <w:rPr>
          <w:rFonts w:ascii="Times New Roman" w:eastAsia="Times New Roman" w:hAnsi="Times New Roman" w:cs="Times New Roman"/>
          <w:sz w:val="24"/>
          <w:szCs w:val="24"/>
        </w:rPr>
        <w:t>Money and Legal</w:t>
      </w:r>
    </w:p>
    <w:p w14:paraId="1FC0F5F6" w14:textId="7373E6B0" w:rsidR="1D1B4375" w:rsidRDefault="1D1B4375" w:rsidP="1D1B4375">
      <w:pPr>
        <w:pStyle w:val="ListParagraph"/>
        <w:numPr>
          <w:ilvl w:val="0"/>
          <w:numId w:val="2"/>
        </w:numPr>
        <w:rPr>
          <w:sz w:val="24"/>
          <w:szCs w:val="24"/>
        </w:rPr>
      </w:pPr>
      <w:r w:rsidRPr="1D1B4375">
        <w:rPr>
          <w:rFonts w:ascii="Times New Roman" w:eastAsia="Times New Roman" w:hAnsi="Times New Roman" w:cs="Times New Roman"/>
          <w:sz w:val="24"/>
          <w:szCs w:val="24"/>
        </w:rPr>
        <w:t>Health and Wellbeing</w:t>
      </w:r>
    </w:p>
    <w:p w14:paraId="16558FC8" w14:textId="1DE9E245" w:rsidR="1D1B4375" w:rsidRDefault="1D1B4375" w:rsidP="1D1B4375">
      <w:pPr>
        <w:pStyle w:val="ListParagraph"/>
        <w:numPr>
          <w:ilvl w:val="0"/>
          <w:numId w:val="2"/>
        </w:numPr>
        <w:rPr>
          <w:sz w:val="24"/>
          <w:szCs w:val="24"/>
        </w:rPr>
      </w:pPr>
      <w:r w:rsidRPr="1D1B4375">
        <w:rPr>
          <w:rFonts w:ascii="Times New Roman" w:eastAsia="Times New Roman" w:hAnsi="Times New Roman" w:cs="Times New Roman"/>
          <w:sz w:val="24"/>
          <w:szCs w:val="24"/>
        </w:rPr>
        <w:t>Care and Support</w:t>
      </w:r>
    </w:p>
    <w:p w14:paraId="74516CDB" w14:textId="423F41EF" w:rsidR="1D1B4375" w:rsidRDefault="1D1B4375" w:rsidP="1D1B4375">
      <w:pPr>
        <w:pStyle w:val="ListParagraph"/>
        <w:numPr>
          <w:ilvl w:val="0"/>
          <w:numId w:val="2"/>
        </w:numPr>
        <w:rPr>
          <w:sz w:val="24"/>
          <w:szCs w:val="24"/>
        </w:rPr>
      </w:pPr>
      <w:r w:rsidRPr="1D1B4375">
        <w:rPr>
          <w:rFonts w:ascii="Times New Roman" w:eastAsia="Times New Roman" w:hAnsi="Times New Roman" w:cs="Times New Roman"/>
          <w:sz w:val="24"/>
          <w:szCs w:val="24"/>
        </w:rPr>
        <w:t>Work and Learning</w:t>
      </w:r>
    </w:p>
    <w:p w14:paraId="2C973041" w14:textId="50C69230" w:rsidR="1D1B4375" w:rsidRDefault="1D1B4375" w:rsidP="1D1B4375">
      <w:pPr>
        <w:pStyle w:val="ListParagraph"/>
        <w:numPr>
          <w:ilvl w:val="0"/>
          <w:numId w:val="2"/>
        </w:numPr>
        <w:rPr>
          <w:sz w:val="24"/>
          <w:szCs w:val="24"/>
        </w:rPr>
      </w:pPr>
      <w:r w:rsidRPr="1D1B4375">
        <w:rPr>
          <w:rFonts w:ascii="Times New Roman" w:eastAsia="Times New Roman" w:hAnsi="Times New Roman" w:cs="Times New Roman"/>
          <w:sz w:val="24"/>
          <w:szCs w:val="24"/>
        </w:rPr>
        <w:t>Travel and Hobbies</w:t>
      </w:r>
    </w:p>
    <w:p w14:paraId="79C2852F" w14:textId="3A5A5082" w:rsidR="1D1B4375" w:rsidRDefault="009021E5" w:rsidP="1D1B4375">
      <w:pPr>
        <w:rPr>
          <w:rFonts w:ascii="Times New Roman" w:eastAsia="Times New Roman" w:hAnsi="Times New Roman" w:cs="Times New Roman"/>
          <w:sz w:val="24"/>
          <w:szCs w:val="24"/>
        </w:rPr>
      </w:pPr>
      <w:hyperlink r:id="rId6">
        <w:r w:rsidR="57690959" w:rsidRPr="57690959">
          <w:rPr>
            <w:rStyle w:val="Hyperlink"/>
            <w:rFonts w:ascii="Times New Roman" w:eastAsia="Times New Roman" w:hAnsi="Times New Roman" w:cs="Times New Roman"/>
            <w:sz w:val="24"/>
            <w:szCs w:val="24"/>
          </w:rPr>
          <w:t>https://www.ageuk.org.uk/information-advice/</w:t>
        </w:r>
      </w:hyperlink>
    </w:p>
    <w:p w14:paraId="6DF67EB2" w14:textId="2CAD114E" w:rsidR="57690959" w:rsidRDefault="57690959" w:rsidP="57690959">
      <w:r>
        <w:rPr>
          <w:noProof/>
          <w:lang w:eastAsia="en-GB"/>
        </w:rPr>
        <w:lastRenderedPageBreak/>
        <w:drawing>
          <wp:inline distT="0" distB="0" distL="0" distR="0" wp14:anchorId="2DC01772" wp14:editId="78256C0E">
            <wp:extent cx="3429000" cy="3724275"/>
            <wp:effectExtent l="0" t="0" r="0" b="0"/>
            <wp:docPr id="1031943889" name="Picture 103194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429000" cy="3724275"/>
                    </a:xfrm>
                    <a:prstGeom prst="rect">
                      <a:avLst/>
                    </a:prstGeom>
                  </pic:spPr>
                </pic:pic>
              </a:graphicData>
            </a:graphic>
          </wp:inline>
        </w:drawing>
      </w:r>
    </w:p>
    <w:p w14:paraId="1026DC5B" w14:textId="5DE544BF" w:rsidR="57690959" w:rsidRDefault="57690959" w:rsidP="57690959">
      <w:pPr>
        <w:rPr>
          <w:rFonts w:ascii="Times New Roman" w:eastAsia="Times New Roman" w:hAnsi="Times New Roman" w:cs="Times New Roman"/>
          <w:sz w:val="24"/>
          <w:szCs w:val="24"/>
        </w:rPr>
      </w:pPr>
      <w:r w:rsidRPr="57690959">
        <w:rPr>
          <w:rFonts w:ascii="Times New Roman" w:eastAsia="Times New Roman" w:hAnsi="Times New Roman" w:cs="Times New Roman"/>
          <w:sz w:val="24"/>
          <w:szCs w:val="24"/>
        </w:rPr>
        <w:t xml:space="preserve">Benefits advice, </w:t>
      </w:r>
      <w:proofErr w:type="gramStart"/>
      <w:r w:rsidRPr="57690959">
        <w:rPr>
          <w:rFonts w:ascii="Times New Roman" w:eastAsia="Times New Roman" w:hAnsi="Times New Roman" w:cs="Times New Roman"/>
          <w:sz w:val="24"/>
          <w:szCs w:val="24"/>
        </w:rPr>
        <w:t>pensions</w:t>
      </w:r>
      <w:proofErr w:type="gramEnd"/>
      <w:r w:rsidRPr="57690959">
        <w:rPr>
          <w:rFonts w:ascii="Times New Roman" w:eastAsia="Times New Roman" w:hAnsi="Times New Roman" w:cs="Times New Roman"/>
          <w:sz w:val="24"/>
          <w:szCs w:val="24"/>
        </w:rPr>
        <w:t xml:space="preserve"> advice, debt and savings advice can be sought. The resident can discuss relationships with family, friends and possibly relationship advice, they may be feeling isolated and lonely, </w:t>
      </w:r>
      <w:proofErr w:type="gramStart"/>
      <w:r w:rsidRPr="57690959">
        <w:rPr>
          <w:rFonts w:ascii="Times New Roman" w:eastAsia="Times New Roman" w:hAnsi="Times New Roman" w:cs="Times New Roman"/>
          <w:sz w:val="24"/>
          <w:szCs w:val="24"/>
        </w:rPr>
        <w:t>Age</w:t>
      </w:r>
      <w:proofErr w:type="gramEnd"/>
      <w:r w:rsidRPr="57690959">
        <w:rPr>
          <w:rFonts w:ascii="Times New Roman" w:eastAsia="Times New Roman" w:hAnsi="Times New Roman" w:cs="Times New Roman"/>
          <w:sz w:val="24"/>
          <w:szCs w:val="24"/>
        </w:rPr>
        <w:t xml:space="preserve"> UK can try to help alleviate this by arranging a weekly friendship call. </w:t>
      </w:r>
    </w:p>
    <w:p w14:paraId="63A5A041" w14:textId="3D0C4AB1" w:rsidR="1D1B4375" w:rsidRDefault="1D1B4375" w:rsidP="1D1B4375">
      <w:pPr>
        <w:rPr>
          <w:rFonts w:ascii="Times New Roman" w:eastAsia="Times New Roman" w:hAnsi="Times New Roman" w:cs="Times New Roman"/>
          <w:sz w:val="24"/>
          <w:szCs w:val="24"/>
        </w:rPr>
      </w:pPr>
      <w:r w:rsidRPr="1D1B4375">
        <w:rPr>
          <w:rFonts w:ascii="Times New Roman" w:eastAsia="Times New Roman" w:hAnsi="Times New Roman" w:cs="Times New Roman"/>
          <w:sz w:val="24"/>
          <w:szCs w:val="24"/>
        </w:rPr>
        <w:t>Loneliness can have a major effect on those in later life:</w:t>
      </w:r>
    </w:p>
    <w:tbl>
      <w:tblPr>
        <w:tblStyle w:val="TableGrid"/>
        <w:tblW w:w="0" w:type="auto"/>
        <w:tblLayout w:type="fixed"/>
        <w:tblLook w:val="06A0" w:firstRow="1" w:lastRow="0" w:firstColumn="1" w:lastColumn="0" w:noHBand="1" w:noVBand="1"/>
      </w:tblPr>
      <w:tblGrid>
        <w:gridCol w:w="3009"/>
        <w:gridCol w:w="3009"/>
        <w:gridCol w:w="3009"/>
      </w:tblGrid>
      <w:tr w:rsidR="1D1B4375" w14:paraId="3E0BACEC" w14:textId="77777777" w:rsidTr="1D1B4375">
        <w:tc>
          <w:tcPr>
            <w:tcW w:w="3009" w:type="dxa"/>
          </w:tcPr>
          <w:p w14:paraId="1521CC95" w14:textId="22CC4C07" w:rsidR="1D1B4375" w:rsidRDefault="1D1B4375" w:rsidP="1D1B4375">
            <w:pPr>
              <w:rPr>
                <w:rFonts w:ascii="Times New Roman" w:eastAsia="Times New Roman" w:hAnsi="Times New Roman" w:cs="Times New Roman"/>
                <w:sz w:val="24"/>
                <w:szCs w:val="24"/>
              </w:rPr>
            </w:pPr>
            <w:r w:rsidRPr="1D1B4375">
              <w:rPr>
                <w:rFonts w:ascii="Times New Roman" w:eastAsia="Times New Roman" w:hAnsi="Times New Roman" w:cs="Times New Roman"/>
                <w:sz w:val="24"/>
                <w:szCs w:val="24"/>
              </w:rPr>
              <w:t>Loneliness in figures:</w:t>
            </w:r>
          </w:p>
        </w:tc>
        <w:tc>
          <w:tcPr>
            <w:tcW w:w="3009" w:type="dxa"/>
          </w:tcPr>
          <w:p w14:paraId="2C376B0A" w14:textId="13ECD48E" w:rsidR="1D1B4375" w:rsidRDefault="1D1B4375" w:rsidP="1D1B4375">
            <w:pPr>
              <w:rPr>
                <w:rFonts w:ascii="Times New Roman" w:eastAsia="Times New Roman" w:hAnsi="Times New Roman" w:cs="Times New Roman"/>
                <w:sz w:val="24"/>
                <w:szCs w:val="24"/>
              </w:rPr>
            </w:pPr>
          </w:p>
        </w:tc>
        <w:tc>
          <w:tcPr>
            <w:tcW w:w="3009" w:type="dxa"/>
          </w:tcPr>
          <w:p w14:paraId="3C9F1B03" w14:textId="13ECD48E" w:rsidR="1D1B4375" w:rsidRDefault="1D1B4375" w:rsidP="1D1B4375">
            <w:pPr>
              <w:rPr>
                <w:rFonts w:ascii="Times New Roman" w:eastAsia="Times New Roman" w:hAnsi="Times New Roman" w:cs="Times New Roman"/>
                <w:sz w:val="24"/>
                <w:szCs w:val="24"/>
              </w:rPr>
            </w:pPr>
          </w:p>
        </w:tc>
      </w:tr>
      <w:tr w:rsidR="1D1B4375" w14:paraId="22B86B87" w14:textId="77777777" w:rsidTr="1D1B4375">
        <w:tc>
          <w:tcPr>
            <w:tcW w:w="3009" w:type="dxa"/>
          </w:tcPr>
          <w:p w14:paraId="7079713F" w14:textId="52952DF5" w:rsidR="1D1B4375" w:rsidRDefault="1D1B4375" w:rsidP="1D1B4375">
            <w:r w:rsidRPr="1D1B4375">
              <w:rPr>
                <w:rFonts w:ascii="Times New Roman" w:eastAsia="Times New Roman" w:hAnsi="Times New Roman" w:cs="Times New Roman"/>
                <w:b/>
                <w:bCs/>
                <w:sz w:val="24"/>
                <w:szCs w:val="24"/>
              </w:rPr>
              <w:t>3.6 million</w:t>
            </w:r>
            <w:r>
              <w:br/>
            </w:r>
            <w:r w:rsidRPr="1D1B4375">
              <w:rPr>
                <w:rFonts w:ascii="Times New Roman" w:eastAsia="Times New Roman" w:hAnsi="Times New Roman" w:cs="Times New Roman"/>
                <w:b/>
                <w:bCs/>
                <w:sz w:val="24"/>
                <w:szCs w:val="24"/>
              </w:rPr>
              <w:t xml:space="preserve"> ... older people in the UK live alone, of whom over 2 million are aged 75+.</w:t>
            </w:r>
          </w:p>
        </w:tc>
        <w:tc>
          <w:tcPr>
            <w:tcW w:w="3009" w:type="dxa"/>
          </w:tcPr>
          <w:p w14:paraId="7C55F17A" w14:textId="48A1D6A5" w:rsidR="1D1B4375" w:rsidRDefault="1D1B4375" w:rsidP="1D1B4375">
            <w:r w:rsidRPr="1D1B4375">
              <w:rPr>
                <w:rFonts w:ascii="Times New Roman" w:eastAsia="Times New Roman" w:hAnsi="Times New Roman" w:cs="Times New Roman"/>
                <w:b/>
                <w:bCs/>
                <w:sz w:val="24"/>
                <w:szCs w:val="24"/>
              </w:rPr>
              <w:t>1.9 million</w:t>
            </w:r>
            <w:r>
              <w:br/>
            </w:r>
            <w:r w:rsidRPr="1D1B4375">
              <w:rPr>
                <w:rFonts w:ascii="Times New Roman" w:eastAsia="Times New Roman" w:hAnsi="Times New Roman" w:cs="Times New Roman"/>
                <w:b/>
                <w:bCs/>
                <w:sz w:val="24"/>
                <w:szCs w:val="24"/>
              </w:rPr>
              <w:t xml:space="preserve"> ... older people often feel ignored or invisible.</w:t>
            </w:r>
          </w:p>
        </w:tc>
        <w:tc>
          <w:tcPr>
            <w:tcW w:w="3009" w:type="dxa"/>
          </w:tcPr>
          <w:p w14:paraId="608F41F2" w14:textId="12D3346C" w:rsidR="1D1B4375" w:rsidRDefault="1D1B4375" w:rsidP="1D1B4375">
            <w:r w:rsidRPr="1D1B4375">
              <w:rPr>
                <w:rFonts w:ascii="Times New Roman" w:eastAsia="Times New Roman" w:hAnsi="Times New Roman" w:cs="Times New Roman"/>
                <w:b/>
                <w:bCs/>
                <w:sz w:val="24"/>
                <w:szCs w:val="24"/>
              </w:rPr>
              <w:t>15 cigarettes</w:t>
            </w:r>
            <w:r>
              <w:br/>
            </w:r>
            <w:r w:rsidRPr="1D1B4375">
              <w:rPr>
                <w:rFonts w:ascii="Times New Roman" w:eastAsia="Times New Roman" w:hAnsi="Times New Roman" w:cs="Times New Roman"/>
                <w:b/>
                <w:bCs/>
                <w:sz w:val="24"/>
                <w:szCs w:val="24"/>
              </w:rPr>
              <w:t xml:space="preserve"> Loneliness can be as harmful for our health as smoking 15 cigarettes a day.</w:t>
            </w:r>
          </w:p>
        </w:tc>
      </w:tr>
    </w:tbl>
    <w:p w14:paraId="79321AA2" w14:textId="4981E773" w:rsidR="1D1B4375" w:rsidRDefault="009021E5" w:rsidP="1D1B4375">
      <w:hyperlink r:id="rId8">
        <w:r w:rsidR="1D1B4375" w:rsidRPr="1D1B4375">
          <w:rPr>
            <w:rStyle w:val="Hyperlink"/>
            <w:rFonts w:ascii="Times New Roman" w:eastAsia="Times New Roman" w:hAnsi="Times New Roman" w:cs="Times New Roman"/>
            <w:sz w:val="24"/>
            <w:szCs w:val="24"/>
          </w:rPr>
          <w:t>https://www.ageuk.org.uk/information-advice/health-wellbeing/loneliness/</w:t>
        </w:r>
      </w:hyperlink>
    </w:p>
    <w:p w14:paraId="2898D183" w14:textId="785ED7AA" w:rsidR="1D1B4375" w:rsidRDefault="1D1B4375" w:rsidP="1D1B4375">
      <w:pPr>
        <w:rPr>
          <w:rFonts w:ascii="Times New Roman" w:eastAsia="Times New Roman" w:hAnsi="Times New Roman" w:cs="Times New Roman"/>
          <w:sz w:val="24"/>
          <w:szCs w:val="24"/>
        </w:rPr>
      </w:pPr>
      <w:r w:rsidRPr="1D1B4375">
        <w:rPr>
          <w:rFonts w:ascii="Times New Roman" w:eastAsia="Times New Roman" w:hAnsi="Times New Roman" w:cs="Times New Roman"/>
          <w:sz w:val="24"/>
          <w:szCs w:val="24"/>
        </w:rPr>
        <w:t>Age UK can also refer to services that enable the resident to access a befriending service to help those feeling lonely, and services such as a handyman that can attend to do manual work/ to small improvements in the residents' home. Other services are also available- see link below.</w:t>
      </w:r>
    </w:p>
    <w:p w14:paraId="5B4614A2" w14:textId="2C8C26D9" w:rsidR="1D1B4375" w:rsidRDefault="009021E5" w:rsidP="1D1B4375">
      <w:hyperlink r:id="rId9">
        <w:r w:rsidR="57690959" w:rsidRPr="57690959">
          <w:rPr>
            <w:rStyle w:val="Hyperlink"/>
            <w:rFonts w:ascii="Times New Roman" w:eastAsia="Times New Roman" w:hAnsi="Times New Roman" w:cs="Times New Roman"/>
            <w:sz w:val="24"/>
            <w:szCs w:val="24"/>
          </w:rPr>
          <w:t>https://www.ageuk.org.uk/services/</w:t>
        </w:r>
      </w:hyperlink>
    </w:p>
    <w:p w14:paraId="3F5BCA8E" w14:textId="43F59980" w:rsidR="57690959" w:rsidRDefault="57690959" w:rsidP="57690959">
      <w:r>
        <w:rPr>
          <w:noProof/>
          <w:lang w:eastAsia="en-GB"/>
        </w:rPr>
        <w:lastRenderedPageBreak/>
        <w:drawing>
          <wp:inline distT="0" distB="0" distL="0" distR="0" wp14:anchorId="63312FEE" wp14:editId="00FFD9A3">
            <wp:extent cx="3048000" cy="4572000"/>
            <wp:effectExtent l="0" t="0" r="0" b="0"/>
            <wp:docPr id="1957820546" name="Picture 1957820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8000" cy="4572000"/>
                    </a:xfrm>
                    <a:prstGeom prst="rect">
                      <a:avLst/>
                    </a:prstGeom>
                  </pic:spPr>
                </pic:pic>
              </a:graphicData>
            </a:graphic>
          </wp:inline>
        </w:drawing>
      </w:r>
    </w:p>
    <w:p w14:paraId="1A2C7D4C" w14:textId="58DBC90F"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United Kingdom has an ageing population (ONS, 2019a)</w:t>
      </w:r>
    </w:p>
    <w:p w14:paraId="0D064712" w14:textId="1A2F0F03"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Almost 12 million people (11,989,322) are aged 65 and above in the UK (ONS, 2019b)</w:t>
      </w:r>
    </w:p>
    <w:p w14:paraId="042EE69F" w14:textId="62D17948"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It is estimated that in 50 years, there will be an extra 8.6 million aged 65 and over, roughly equivalent to the population of London (ONS, 2019a)</w:t>
      </w:r>
    </w:p>
    <w:p w14:paraId="720EE2EC" w14:textId="29FD0FBF"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It is expected by 2030, that one in 5 people in the UK (21.8%) will be aged 65 and over (ONS, 2019c)</w:t>
      </w:r>
    </w:p>
    <w:p w14:paraId="309B63AE" w14:textId="54CDC07D"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The likelihood of being disabled or having complex health problems increases with age, this then impacts on the length of time the older person experiences poor health (ONS, 2019a)</w:t>
      </w:r>
    </w:p>
    <w:p w14:paraId="664086B1" w14:textId="12836977"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Elderly women are more likely to live alone than older men (ONS, 2019d)</w:t>
      </w:r>
    </w:p>
    <w:p w14:paraId="17285E37" w14:textId="61ACAE1B"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1 in 4 older adults who live alone are likely to have mental health conditions, compared to 1 in 5 who live with others (Dreyer et al., 2018).</w:t>
      </w:r>
    </w:p>
    <w:p w14:paraId="0D231449" w14:textId="50D17919"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Living in rural areas can disadvantage those aged 65+ due to lack of support, unable to access services and isolation (UNECE, 2017).</w:t>
      </w:r>
    </w:p>
    <w:p w14:paraId="6061BE61" w14:textId="46FB38A5"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 xml:space="preserve">As the population continues to age, and care needs increase, the need for social care </w:t>
      </w:r>
      <w:r w:rsidRPr="1D1B4375">
        <w:rPr>
          <w:rFonts w:ascii="Times New Roman" w:eastAsia="Times New Roman" w:hAnsi="Times New Roman" w:cs="Times New Roman"/>
          <w:color w:val="FF0000"/>
          <w:sz w:val="24"/>
          <w:szCs w:val="24"/>
        </w:rPr>
        <w:t xml:space="preserve">intensifies, </w:t>
      </w:r>
      <w:r w:rsidRPr="1D1B4375">
        <w:rPr>
          <w:rFonts w:ascii="Times New Roman" w:eastAsia="Times New Roman" w:hAnsi="Times New Roman" w:cs="Times New Roman"/>
          <w:sz w:val="24"/>
          <w:szCs w:val="24"/>
        </w:rPr>
        <w:t xml:space="preserve">this care can be provided by families or via home care homes or care packages delivered in the elderly </w:t>
      </w:r>
      <w:proofErr w:type="gramStart"/>
      <w:r w:rsidRPr="1D1B4375">
        <w:rPr>
          <w:rFonts w:ascii="Times New Roman" w:eastAsia="Times New Roman" w:hAnsi="Times New Roman" w:cs="Times New Roman"/>
          <w:sz w:val="24"/>
          <w:szCs w:val="24"/>
        </w:rPr>
        <w:t>persons</w:t>
      </w:r>
      <w:proofErr w:type="gramEnd"/>
      <w:r w:rsidRPr="1D1B4375">
        <w:rPr>
          <w:rFonts w:ascii="Times New Roman" w:eastAsia="Times New Roman" w:hAnsi="Times New Roman" w:cs="Times New Roman"/>
          <w:sz w:val="24"/>
          <w:szCs w:val="24"/>
        </w:rPr>
        <w:t xml:space="preserve"> home.</w:t>
      </w:r>
      <w:r w:rsidRPr="1D1B4375">
        <w:rPr>
          <w:rFonts w:ascii="Times New Roman" w:eastAsia="Times New Roman" w:hAnsi="Times New Roman" w:cs="Times New Roman"/>
          <w:color w:val="FF0000"/>
          <w:sz w:val="24"/>
          <w:szCs w:val="24"/>
        </w:rPr>
        <w:t xml:space="preserve"> (Kelly &amp; Kenny, 2018). </w:t>
      </w:r>
    </w:p>
    <w:p w14:paraId="38ED6C6B" w14:textId="0E611F5A" w:rsidR="1D1B4375" w:rsidRDefault="009021E5" w:rsidP="1D1B4375">
      <w:pPr>
        <w:rPr>
          <w:rFonts w:ascii="Times New Roman" w:eastAsia="Times New Roman" w:hAnsi="Times New Roman" w:cs="Times New Roman"/>
          <w:sz w:val="24"/>
          <w:szCs w:val="24"/>
        </w:rPr>
      </w:pPr>
      <w:hyperlink r:id="rId11">
        <w:r w:rsidR="1D1B4375" w:rsidRPr="1D1B4375">
          <w:rPr>
            <w:rStyle w:val="Hyperlink"/>
            <w:rFonts w:ascii="Times New Roman" w:eastAsia="Times New Roman" w:hAnsi="Times New Roman" w:cs="Times New Roman"/>
            <w:sz w:val="24"/>
            <w:szCs w:val="24"/>
          </w:rPr>
          <w:t>https://www.ageuk.org.uk/globalassets/age-uk/documents/reports-and-publications/later_life_uk_factsheet.pdf</w:t>
        </w:r>
      </w:hyperlink>
    </w:p>
    <w:p w14:paraId="5ABB53DC" w14:textId="091BE5E8" w:rsidR="1D1B4375" w:rsidRDefault="57690959" w:rsidP="1D1B4375">
      <w:pPr>
        <w:rPr>
          <w:rFonts w:ascii="Times New Roman" w:eastAsia="Times New Roman" w:hAnsi="Times New Roman" w:cs="Times New Roman"/>
          <w:sz w:val="24"/>
          <w:szCs w:val="24"/>
        </w:rPr>
      </w:pPr>
      <w:r w:rsidRPr="57690959">
        <w:rPr>
          <w:rFonts w:ascii="Times New Roman" w:eastAsia="Times New Roman" w:hAnsi="Times New Roman" w:cs="Times New Roman"/>
          <w:sz w:val="24"/>
          <w:szCs w:val="24"/>
        </w:rPr>
        <w:lastRenderedPageBreak/>
        <w:t xml:space="preserve">For further information: </w:t>
      </w:r>
      <w:hyperlink r:id="rId12">
        <w:r w:rsidRPr="57690959">
          <w:rPr>
            <w:rStyle w:val="Hyperlink"/>
            <w:rFonts w:ascii="Times New Roman" w:eastAsia="Times New Roman" w:hAnsi="Times New Roman" w:cs="Times New Roman"/>
            <w:sz w:val="24"/>
            <w:szCs w:val="24"/>
          </w:rPr>
          <w:t>https://www.ageuk.org.uk/</w:t>
        </w:r>
      </w:hyperlink>
    </w:p>
    <w:p w14:paraId="33B4CC3D" w14:textId="09E1C807" w:rsidR="57690959" w:rsidRDefault="57690959" w:rsidP="57690959"/>
    <w:p w14:paraId="7E352721" w14:textId="57192F36" w:rsidR="1D1B4375" w:rsidRDefault="1D1B4375" w:rsidP="1D1B4375">
      <w:pPr>
        <w:rPr>
          <w:rFonts w:ascii="Times New Roman" w:eastAsia="Times New Roman" w:hAnsi="Times New Roman" w:cs="Times New Roman"/>
          <w:sz w:val="24"/>
          <w:szCs w:val="24"/>
        </w:rPr>
      </w:pPr>
    </w:p>
    <w:p w14:paraId="25B5AB0D" w14:textId="48F1C7D5" w:rsidR="1D1B4375" w:rsidRDefault="1D1B4375" w:rsidP="1D1B4375">
      <w:pPr>
        <w:rPr>
          <w:rFonts w:ascii="Times New Roman" w:eastAsia="Times New Roman" w:hAnsi="Times New Roman" w:cs="Times New Roman"/>
          <w:b/>
          <w:bCs/>
          <w:sz w:val="24"/>
          <w:szCs w:val="24"/>
        </w:rPr>
      </w:pPr>
    </w:p>
    <w:p w14:paraId="0C51FC39" w14:textId="6FC6064B" w:rsidR="1D1B4375" w:rsidRDefault="1D1B4375" w:rsidP="1D1B4375">
      <w:pPr>
        <w:rPr>
          <w:rFonts w:ascii="Times New Roman" w:eastAsia="Times New Roman" w:hAnsi="Times New Roman" w:cs="Times New Roman"/>
          <w:b/>
          <w:bCs/>
          <w:sz w:val="24"/>
          <w:szCs w:val="24"/>
        </w:rPr>
      </w:pPr>
    </w:p>
    <w:p w14:paraId="48BA5D8F" w14:textId="6440F90C" w:rsidR="1D1B4375" w:rsidRDefault="1D1B4375" w:rsidP="1D1B4375">
      <w:pPr>
        <w:rPr>
          <w:rFonts w:ascii="Times New Roman" w:eastAsia="Times New Roman" w:hAnsi="Times New Roman" w:cs="Times New Roman"/>
          <w:b/>
          <w:bCs/>
          <w:sz w:val="24"/>
          <w:szCs w:val="24"/>
        </w:rPr>
      </w:pPr>
    </w:p>
    <w:p w14:paraId="4A8EB94B" w14:textId="100C5D4C" w:rsidR="1D1B4375" w:rsidRDefault="1D1B4375" w:rsidP="1D1B4375">
      <w:pPr>
        <w:rPr>
          <w:rFonts w:ascii="Times New Roman" w:eastAsia="Times New Roman" w:hAnsi="Times New Roman" w:cs="Times New Roman"/>
          <w:b/>
          <w:bCs/>
          <w:sz w:val="24"/>
          <w:szCs w:val="24"/>
        </w:rPr>
      </w:pPr>
    </w:p>
    <w:p w14:paraId="637C9CDE" w14:textId="4C77A09E" w:rsidR="1D1B4375" w:rsidRDefault="1D1B4375" w:rsidP="1D1B4375">
      <w:pPr>
        <w:rPr>
          <w:rFonts w:ascii="Times New Roman" w:eastAsia="Times New Roman" w:hAnsi="Times New Roman" w:cs="Times New Roman"/>
          <w:b/>
          <w:bCs/>
          <w:sz w:val="24"/>
          <w:szCs w:val="24"/>
        </w:rPr>
      </w:pPr>
    </w:p>
    <w:p w14:paraId="3EF21E2C" w14:textId="27C6A16A" w:rsidR="1D1B4375" w:rsidRDefault="1D1B4375" w:rsidP="1D1B4375">
      <w:pPr>
        <w:rPr>
          <w:rFonts w:ascii="Times New Roman" w:eastAsia="Times New Roman" w:hAnsi="Times New Roman" w:cs="Times New Roman"/>
          <w:b/>
          <w:bCs/>
          <w:sz w:val="24"/>
          <w:szCs w:val="24"/>
        </w:rPr>
      </w:pPr>
      <w:r w:rsidRPr="1D1B4375">
        <w:rPr>
          <w:rFonts w:ascii="Times New Roman" w:eastAsia="Times New Roman" w:hAnsi="Times New Roman" w:cs="Times New Roman"/>
          <w:b/>
          <w:bCs/>
          <w:sz w:val="24"/>
          <w:szCs w:val="24"/>
        </w:rPr>
        <w:t>References</w:t>
      </w:r>
    </w:p>
    <w:p w14:paraId="4A99D258" w14:textId="7BC7580D" w:rsidR="1D1B4375" w:rsidRDefault="1D1B4375" w:rsidP="1D1B4375">
      <w:pPr>
        <w:rPr>
          <w:rFonts w:ascii="Times New Roman" w:eastAsia="Times New Roman" w:hAnsi="Times New Roman" w:cs="Times New Roman"/>
          <w:b/>
          <w:bCs/>
          <w:sz w:val="24"/>
          <w:szCs w:val="24"/>
        </w:rPr>
      </w:pPr>
      <w:r w:rsidRPr="1D1B4375">
        <w:rPr>
          <w:rFonts w:ascii="Times New Roman" w:eastAsia="Times New Roman" w:hAnsi="Times New Roman" w:cs="Times New Roman"/>
          <w:b/>
          <w:bCs/>
          <w:sz w:val="24"/>
          <w:szCs w:val="24"/>
        </w:rPr>
        <w:t xml:space="preserve">Dreyer, K., </w:t>
      </w:r>
      <w:proofErr w:type="spellStart"/>
      <w:r w:rsidRPr="1D1B4375">
        <w:rPr>
          <w:rFonts w:ascii="Times New Roman" w:eastAsia="Times New Roman" w:hAnsi="Times New Roman" w:cs="Times New Roman"/>
          <w:b/>
          <w:bCs/>
          <w:sz w:val="24"/>
          <w:szCs w:val="24"/>
        </w:rPr>
        <w:t>Steventon</w:t>
      </w:r>
      <w:proofErr w:type="spellEnd"/>
      <w:r w:rsidRPr="1D1B4375">
        <w:rPr>
          <w:rFonts w:ascii="Times New Roman" w:eastAsia="Times New Roman" w:hAnsi="Times New Roman" w:cs="Times New Roman"/>
          <w:b/>
          <w:bCs/>
          <w:sz w:val="24"/>
          <w:szCs w:val="24"/>
        </w:rPr>
        <w:t xml:space="preserve">, A., Fisher, R., &amp; </w:t>
      </w:r>
      <w:proofErr w:type="spellStart"/>
      <w:r w:rsidRPr="1D1B4375">
        <w:rPr>
          <w:rFonts w:ascii="Times New Roman" w:eastAsia="Times New Roman" w:hAnsi="Times New Roman" w:cs="Times New Roman"/>
          <w:b/>
          <w:bCs/>
          <w:sz w:val="24"/>
          <w:szCs w:val="24"/>
        </w:rPr>
        <w:t>Deeny</w:t>
      </w:r>
      <w:proofErr w:type="spellEnd"/>
      <w:r w:rsidRPr="1D1B4375">
        <w:rPr>
          <w:rFonts w:ascii="Times New Roman" w:eastAsia="Times New Roman" w:hAnsi="Times New Roman" w:cs="Times New Roman"/>
          <w:b/>
          <w:bCs/>
          <w:sz w:val="24"/>
          <w:szCs w:val="24"/>
        </w:rPr>
        <w:t xml:space="preserve">, S.R. (2018). The association between living alone and health care utilisation in older adults: a retrospective cohort of electronic health records from a London general practice. </w:t>
      </w:r>
      <w:r w:rsidRPr="1D1B4375">
        <w:rPr>
          <w:rFonts w:ascii="Times New Roman" w:eastAsia="Times New Roman" w:hAnsi="Times New Roman" w:cs="Times New Roman"/>
          <w:b/>
          <w:bCs/>
          <w:i/>
          <w:iCs/>
          <w:sz w:val="24"/>
          <w:szCs w:val="24"/>
        </w:rPr>
        <w:t>BMC Geriatrics, 18</w:t>
      </w:r>
      <w:r w:rsidRPr="1D1B4375">
        <w:rPr>
          <w:rFonts w:ascii="Times New Roman" w:eastAsia="Times New Roman" w:hAnsi="Times New Roman" w:cs="Times New Roman"/>
          <w:b/>
          <w:bCs/>
          <w:sz w:val="24"/>
          <w:szCs w:val="24"/>
        </w:rPr>
        <w:t>(1)269.</w:t>
      </w:r>
    </w:p>
    <w:p w14:paraId="23BB78CD" w14:textId="01C3135B" w:rsidR="1D1B4375" w:rsidRDefault="1D1B4375" w:rsidP="1D1B4375">
      <w:pPr>
        <w:rPr>
          <w:rFonts w:ascii="Times New Roman" w:eastAsia="Times New Roman" w:hAnsi="Times New Roman" w:cs="Times New Roman"/>
          <w:b/>
          <w:bCs/>
          <w:sz w:val="24"/>
          <w:szCs w:val="24"/>
        </w:rPr>
      </w:pPr>
      <w:r w:rsidRPr="1D1B4375">
        <w:rPr>
          <w:rFonts w:ascii="Times New Roman" w:eastAsia="Times New Roman" w:hAnsi="Times New Roman" w:cs="Times New Roman"/>
          <w:b/>
          <w:bCs/>
          <w:sz w:val="24"/>
          <w:szCs w:val="24"/>
        </w:rPr>
        <w:t>Kelly, A., &amp; Kenny, C. (2018). Unpaid care. Retrieved from</w:t>
      </w:r>
    </w:p>
    <w:p w14:paraId="169983FF" w14:textId="41CC9803" w:rsidR="1D1B4375" w:rsidRDefault="009021E5" w:rsidP="1D1B4375">
      <w:pPr>
        <w:rPr>
          <w:rFonts w:ascii="Times New Roman" w:eastAsia="Times New Roman" w:hAnsi="Times New Roman" w:cs="Times New Roman"/>
          <w:b/>
          <w:bCs/>
          <w:sz w:val="24"/>
          <w:szCs w:val="24"/>
        </w:rPr>
      </w:pPr>
      <w:hyperlink r:id="rId13">
        <w:r w:rsidR="1D1B4375" w:rsidRPr="1D1B4375">
          <w:rPr>
            <w:rStyle w:val="Hyperlink"/>
            <w:rFonts w:ascii="Times New Roman" w:eastAsia="Times New Roman" w:hAnsi="Times New Roman" w:cs="Times New Roman"/>
            <w:b/>
            <w:bCs/>
            <w:sz w:val="24"/>
            <w:szCs w:val="24"/>
          </w:rPr>
          <w:t>https://researchbriefings.parliament.uk/ResearchBriefing/Summary/POST-PN-0582</w:t>
        </w:r>
      </w:hyperlink>
    </w:p>
    <w:p w14:paraId="38B844A4" w14:textId="785D518A" w:rsidR="1D1B4375" w:rsidRDefault="1D1B4375" w:rsidP="1D1B4375">
      <w:pPr>
        <w:rPr>
          <w:rFonts w:ascii="Times New Roman" w:eastAsia="Times New Roman" w:hAnsi="Times New Roman" w:cs="Times New Roman"/>
          <w:b/>
          <w:bCs/>
          <w:sz w:val="24"/>
          <w:szCs w:val="24"/>
        </w:rPr>
      </w:pPr>
      <w:r w:rsidRPr="1D1B4375">
        <w:rPr>
          <w:rFonts w:ascii="Times New Roman" w:eastAsia="Times New Roman" w:hAnsi="Times New Roman" w:cs="Times New Roman"/>
          <w:b/>
          <w:bCs/>
          <w:sz w:val="24"/>
          <w:szCs w:val="24"/>
        </w:rPr>
        <w:t>ONS (2019a). Living longer – Office for National Statistics. Retrieved July 13</w:t>
      </w:r>
      <w:r w:rsidRPr="1D1B4375">
        <w:rPr>
          <w:rFonts w:ascii="Times New Roman" w:eastAsia="Times New Roman" w:hAnsi="Times New Roman" w:cs="Times New Roman"/>
          <w:b/>
          <w:bCs/>
          <w:sz w:val="24"/>
          <w:szCs w:val="24"/>
          <w:vertAlign w:val="superscript"/>
        </w:rPr>
        <w:t>th</w:t>
      </w:r>
      <w:r w:rsidRPr="1D1B4375">
        <w:rPr>
          <w:rFonts w:ascii="Times New Roman" w:eastAsia="Times New Roman" w:hAnsi="Times New Roman" w:cs="Times New Roman"/>
          <w:b/>
          <w:bCs/>
          <w:sz w:val="24"/>
          <w:szCs w:val="24"/>
        </w:rPr>
        <w:t xml:space="preserve">, 2019 from </w:t>
      </w:r>
      <w:hyperlink r:id="rId14">
        <w:r w:rsidRPr="1D1B4375">
          <w:rPr>
            <w:rStyle w:val="Hyperlink"/>
            <w:rFonts w:ascii="Times New Roman" w:eastAsia="Times New Roman" w:hAnsi="Times New Roman" w:cs="Times New Roman"/>
            <w:b/>
            <w:bCs/>
            <w:sz w:val="24"/>
            <w:szCs w:val="24"/>
          </w:rPr>
          <w:t>https://www.ons.gov.uk/peoplepopulationandcommunity/birthsdeathsandmarriages/ageing/articles/livinglongerhowourpopulationischangingandwhyitmatters/2019-05-13</w:t>
        </w:r>
      </w:hyperlink>
    </w:p>
    <w:p w14:paraId="712F8624" w14:textId="02B07FDD" w:rsidR="1D1B4375" w:rsidRDefault="1D1B4375" w:rsidP="1D1B4375">
      <w:pPr>
        <w:rPr>
          <w:rFonts w:ascii="Times New Roman" w:eastAsia="Times New Roman" w:hAnsi="Times New Roman" w:cs="Times New Roman"/>
          <w:b/>
          <w:bCs/>
          <w:sz w:val="24"/>
          <w:szCs w:val="24"/>
        </w:rPr>
      </w:pPr>
      <w:r w:rsidRPr="1D1B4375">
        <w:rPr>
          <w:rFonts w:ascii="Times New Roman" w:eastAsia="Times New Roman" w:hAnsi="Times New Roman" w:cs="Times New Roman"/>
          <w:b/>
          <w:bCs/>
          <w:sz w:val="24"/>
          <w:szCs w:val="24"/>
        </w:rPr>
        <w:t>ONS (2019b). Estimates of the population for the UK, England and Wales, Scotland and Northern Ireland – Office for National Statistics. Retrieved July 13</w:t>
      </w:r>
      <w:r w:rsidRPr="1D1B4375">
        <w:rPr>
          <w:rFonts w:ascii="Times New Roman" w:eastAsia="Times New Roman" w:hAnsi="Times New Roman" w:cs="Times New Roman"/>
          <w:b/>
          <w:bCs/>
          <w:sz w:val="24"/>
          <w:szCs w:val="24"/>
          <w:vertAlign w:val="superscript"/>
        </w:rPr>
        <w:t>th</w:t>
      </w:r>
      <w:r w:rsidRPr="1D1B4375">
        <w:rPr>
          <w:rFonts w:ascii="Times New Roman" w:eastAsia="Times New Roman" w:hAnsi="Times New Roman" w:cs="Times New Roman"/>
          <w:b/>
          <w:bCs/>
          <w:sz w:val="24"/>
          <w:szCs w:val="24"/>
        </w:rPr>
        <w:t xml:space="preserve">, 2019, from </w:t>
      </w:r>
    </w:p>
    <w:p w14:paraId="688B53CB" w14:textId="26109481" w:rsidR="1D1B4375" w:rsidRDefault="009021E5" w:rsidP="1D1B4375">
      <w:pPr>
        <w:rPr>
          <w:rFonts w:ascii="Times New Roman" w:eastAsia="Times New Roman" w:hAnsi="Times New Roman" w:cs="Times New Roman"/>
          <w:b/>
          <w:bCs/>
          <w:sz w:val="24"/>
          <w:szCs w:val="24"/>
        </w:rPr>
      </w:pPr>
      <w:hyperlink r:id="rId15">
        <w:r w:rsidR="1D1B4375" w:rsidRPr="1D1B4375">
          <w:rPr>
            <w:rStyle w:val="Hyperlink"/>
            <w:rFonts w:ascii="Times New Roman" w:eastAsia="Times New Roman" w:hAnsi="Times New Roman" w:cs="Times New Roman"/>
            <w:b/>
            <w:bCs/>
            <w:sz w:val="24"/>
            <w:szCs w:val="24"/>
          </w:rPr>
          <w:t>https://www.ons.gov.uk/peoplepopulationandcommunity/populationandmigration/populationestimates/datasets/populationestimatesforukenglandandwalesscotlandandnorthernireland</w:t>
        </w:r>
      </w:hyperlink>
    </w:p>
    <w:p w14:paraId="6166DE56" w14:textId="21942A16" w:rsidR="1D1B4375" w:rsidRDefault="1D1B4375" w:rsidP="1D1B4375">
      <w:pPr>
        <w:rPr>
          <w:rFonts w:ascii="Times New Roman" w:eastAsia="Times New Roman" w:hAnsi="Times New Roman" w:cs="Times New Roman"/>
          <w:b/>
          <w:bCs/>
          <w:sz w:val="24"/>
          <w:szCs w:val="24"/>
          <w:vertAlign w:val="superscript"/>
        </w:rPr>
      </w:pPr>
      <w:r w:rsidRPr="1D1B4375">
        <w:rPr>
          <w:rFonts w:ascii="Times New Roman" w:eastAsia="Times New Roman" w:hAnsi="Times New Roman" w:cs="Times New Roman"/>
          <w:b/>
          <w:bCs/>
          <w:sz w:val="24"/>
          <w:szCs w:val="24"/>
        </w:rPr>
        <w:t>ONS (2019c). National population projections: 2016- based – Office for National Statistics. Retrieved July 13</w:t>
      </w:r>
      <w:r w:rsidRPr="1D1B4375">
        <w:rPr>
          <w:rFonts w:ascii="Times New Roman" w:eastAsia="Times New Roman" w:hAnsi="Times New Roman" w:cs="Times New Roman"/>
          <w:b/>
          <w:bCs/>
          <w:sz w:val="24"/>
          <w:szCs w:val="24"/>
          <w:vertAlign w:val="superscript"/>
        </w:rPr>
        <w:t>th</w:t>
      </w:r>
      <w:r w:rsidRPr="1D1B4375">
        <w:rPr>
          <w:rFonts w:ascii="Times New Roman" w:eastAsia="Times New Roman" w:hAnsi="Times New Roman" w:cs="Times New Roman"/>
          <w:b/>
          <w:bCs/>
          <w:sz w:val="24"/>
          <w:szCs w:val="24"/>
        </w:rPr>
        <w:t>, 2019 from</w:t>
      </w:r>
    </w:p>
    <w:p w14:paraId="6E3C00F4" w14:textId="1E1B95FD" w:rsidR="1D1B4375" w:rsidRDefault="009021E5" w:rsidP="1D1B4375">
      <w:pPr>
        <w:rPr>
          <w:rFonts w:ascii="Times New Roman" w:eastAsia="Times New Roman" w:hAnsi="Times New Roman" w:cs="Times New Roman"/>
          <w:b/>
          <w:bCs/>
          <w:sz w:val="24"/>
          <w:szCs w:val="24"/>
        </w:rPr>
      </w:pPr>
      <w:hyperlink r:id="rId16">
        <w:r w:rsidR="1D1B4375" w:rsidRPr="1D1B4375">
          <w:rPr>
            <w:rStyle w:val="Hyperlink"/>
            <w:rFonts w:ascii="Times New Roman" w:eastAsia="Times New Roman" w:hAnsi="Times New Roman" w:cs="Times New Roman"/>
            <w:b/>
            <w:bCs/>
            <w:sz w:val="24"/>
            <w:szCs w:val="24"/>
          </w:rPr>
          <w:t>https://www.ons.gov.uk/releases/nationalpopulationprojections2016basedstatisticalbulletin</w:t>
        </w:r>
      </w:hyperlink>
    </w:p>
    <w:p w14:paraId="1BE99E71" w14:textId="5CEFC7E9" w:rsidR="1D1B4375" w:rsidRDefault="1D1B4375" w:rsidP="1D1B4375">
      <w:pPr>
        <w:rPr>
          <w:rFonts w:ascii="Times New Roman" w:eastAsia="Times New Roman" w:hAnsi="Times New Roman" w:cs="Times New Roman"/>
          <w:b/>
          <w:bCs/>
          <w:sz w:val="24"/>
          <w:szCs w:val="24"/>
        </w:rPr>
      </w:pPr>
      <w:r w:rsidRPr="1D1B4375">
        <w:rPr>
          <w:rFonts w:ascii="Times New Roman" w:eastAsia="Times New Roman" w:hAnsi="Times New Roman" w:cs="Times New Roman"/>
          <w:b/>
          <w:bCs/>
          <w:sz w:val="24"/>
          <w:szCs w:val="24"/>
        </w:rPr>
        <w:t>ONS, (2019d) Health state life expectancies, UK QMI – Office for National Statistics. Retrieved July 13</w:t>
      </w:r>
      <w:r w:rsidRPr="1D1B4375">
        <w:rPr>
          <w:rFonts w:ascii="Times New Roman" w:eastAsia="Times New Roman" w:hAnsi="Times New Roman" w:cs="Times New Roman"/>
          <w:b/>
          <w:bCs/>
          <w:sz w:val="24"/>
          <w:szCs w:val="24"/>
          <w:vertAlign w:val="superscript"/>
        </w:rPr>
        <w:t>th</w:t>
      </w:r>
      <w:r w:rsidRPr="1D1B4375">
        <w:rPr>
          <w:rFonts w:ascii="Times New Roman" w:eastAsia="Times New Roman" w:hAnsi="Times New Roman" w:cs="Times New Roman"/>
          <w:b/>
          <w:bCs/>
          <w:sz w:val="24"/>
          <w:szCs w:val="24"/>
        </w:rPr>
        <w:t xml:space="preserve">, 2019 from </w:t>
      </w:r>
    </w:p>
    <w:p w14:paraId="77FF1A94" w14:textId="7302BF1B" w:rsidR="1D1B4375" w:rsidRDefault="009021E5" w:rsidP="1D1B4375">
      <w:pPr>
        <w:rPr>
          <w:rFonts w:ascii="Times New Roman" w:eastAsia="Times New Roman" w:hAnsi="Times New Roman" w:cs="Times New Roman"/>
          <w:b/>
          <w:bCs/>
          <w:sz w:val="24"/>
          <w:szCs w:val="24"/>
        </w:rPr>
      </w:pPr>
      <w:hyperlink r:id="rId17">
        <w:r w:rsidR="1D1B4375" w:rsidRPr="1D1B4375">
          <w:rPr>
            <w:rStyle w:val="Hyperlink"/>
            <w:rFonts w:ascii="Times New Roman" w:eastAsia="Times New Roman" w:hAnsi="Times New Roman" w:cs="Times New Roman"/>
            <w:b/>
            <w:bCs/>
            <w:sz w:val="24"/>
            <w:szCs w:val="24"/>
          </w:rPr>
          <w:t>https://www.ons.gov.uk/peoplepopulationandcommunity/healthandsocialcare/healthandlifeexpectancies/methodologies/healthstatelifeexpectanciesukqmi</w:t>
        </w:r>
      </w:hyperlink>
    </w:p>
    <w:p w14:paraId="610229E2" w14:textId="227B68F1" w:rsidR="1D1B4375" w:rsidRDefault="1D1B4375" w:rsidP="1D1B4375">
      <w:pPr>
        <w:rPr>
          <w:rFonts w:ascii="Times New Roman" w:eastAsia="Times New Roman" w:hAnsi="Times New Roman" w:cs="Times New Roman"/>
          <w:b/>
          <w:bCs/>
          <w:sz w:val="24"/>
          <w:szCs w:val="24"/>
        </w:rPr>
      </w:pPr>
      <w:r w:rsidRPr="1D1B4375">
        <w:rPr>
          <w:rFonts w:ascii="Times New Roman" w:eastAsia="Times New Roman" w:hAnsi="Times New Roman" w:cs="Times New Roman"/>
          <w:b/>
          <w:bCs/>
          <w:sz w:val="24"/>
          <w:szCs w:val="24"/>
        </w:rPr>
        <w:t xml:space="preserve">UNECE. (2017). </w:t>
      </w:r>
      <w:r w:rsidRPr="1D1B4375">
        <w:rPr>
          <w:rFonts w:ascii="Times New Roman" w:eastAsia="Times New Roman" w:hAnsi="Times New Roman" w:cs="Times New Roman"/>
          <w:b/>
          <w:bCs/>
          <w:i/>
          <w:iCs/>
          <w:sz w:val="24"/>
          <w:szCs w:val="24"/>
        </w:rPr>
        <w:t xml:space="preserve">Older persons in rural and remote areas Policy brief. </w:t>
      </w:r>
      <w:r w:rsidRPr="1D1B4375">
        <w:rPr>
          <w:rFonts w:ascii="Times New Roman" w:eastAsia="Times New Roman" w:hAnsi="Times New Roman" w:cs="Times New Roman"/>
          <w:b/>
          <w:bCs/>
          <w:sz w:val="24"/>
          <w:szCs w:val="24"/>
        </w:rPr>
        <w:t>Retrieved from www.unece.org/pau/welcome.html.</w:t>
      </w:r>
    </w:p>
    <w:p w14:paraId="2F273463" w14:textId="6BF296FF" w:rsidR="1D1B4375" w:rsidRDefault="1D1B4375" w:rsidP="1D1B4375">
      <w:pPr>
        <w:rPr>
          <w:rFonts w:ascii="Times New Roman" w:eastAsia="Times New Roman" w:hAnsi="Times New Roman" w:cs="Times New Roman"/>
          <w:b/>
          <w:bCs/>
          <w:sz w:val="24"/>
          <w:szCs w:val="24"/>
        </w:rPr>
      </w:pPr>
    </w:p>
    <w:p w14:paraId="0DF12829" w14:textId="5BFB56AD" w:rsidR="1D1B4375" w:rsidRDefault="1D1B4375" w:rsidP="1D1B4375">
      <w:pPr>
        <w:rPr>
          <w:rFonts w:ascii="Times New Roman" w:eastAsia="Times New Roman" w:hAnsi="Times New Roman" w:cs="Times New Roman"/>
          <w:b/>
          <w:bCs/>
          <w:sz w:val="24"/>
          <w:szCs w:val="24"/>
        </w:rPr>
      </w:pPr>
    </w:p>
    <w:p w14:paraId="3DE95AD8" w14:textId="0CAE8FF0"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lastRenderedPageBreak/>
        <w:t>Houses in poor condition can lead to health-related illnesses, however appropriate housing can keep older residents healthy, support them to live independently and reduce the need for social care (House of Commons, 2018)</w:t>
      </w:r>
    </w:p>
    <w:p w14:paraId="1929929A" w14:textId="32F1DD9A"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 xml:space="preserve">Poor housing costs the NHS an estimated £1.4 billion per year, half is </w:t>
      </w:r>
      <w:r w:rsidRPr="1D1B4375">
        <w:rPr>
          <w:rFonts w:ascii="Times New Roman" w:eastAsia="Times New Roman" w:hAnsi="Times New Roman" w:cs="Times New Roman"/>
          <w:color w:val="FF0000"/>
          <w:sz w:val="24"/>
          <w:szCs w:val="24"/>
        </w:rPr>
        <w:t>attributed</w:t>
      </w:r>
      <w:r w:rsidRPr="1D1B4375">
        <w:rPr>
          <w:rFonts w:ascii="Times New Roman" w:eastAsia="Times New Roman" w:hAnsi="Times New Roman" w:cs="Times New Roman"/>
          <w:sz w:val="24"/>
          <w:szCs w:val="24"/>
        </w:rPr>
        <w:t xml:space="preserve"> to poor housing amongst older adults (House of Commons, 2018)</w:t>
      </w:r>
    </w:p>
    <w:p w14:paraId="6553CE2F" w14:textId="7F7F0261" w:rsidR="1D1B4375" w:rsidRDefault="1D1B4375" w:rsidP="1D1B4375">
      <w:pPr>
        <w:pStyle w:val="ListParagraph"/>
        <w:numPr>
          <w:ilvl w:val="0"/>
          <w:numId w:val="1"/>
        </w:numPr>
        <w:rPr>
          <w:sz w:val="24"/>
          <w:szCs w:val="24"/>
        </w:rPr>
      </w:pPr>
      <w:r w:rsidRPr="1D1B4375">
        <w:rPr>
          <w:rFonts w:ascii="Times New Roman" w:eastAsia="Times New Roman" w:hAnsi="Times New Roman" w:cs="Times New Roman"/>
          <w:sz w:val="24"/>
          <w:szCs w:val="24"/>
        </w:rPr>
        <w:t>Only 5% of those aged 65 + live in specialist homes (House of Commons, 2018)</w:t>
      </w:r>
    </w:p>
    <w:p w14:paraId="24B72B3D" w14:textId="3E0965BB" w:rsidR="1D1B4375" w:rsidRDefault="1D1B4375" w:rsidP="1D1B4375">
      <w:pPr>
        <w:rPr>
          <w:rFonts w:ascii="Times New Roman" w:eastAsia="Times New Roman" w:hAnsi="Times New Roman" w:cs="Times New Roman"/>
          <w:sz w:val="24"/>
          <w:szCs w:val="24"/>
        </w:rPr>
      </w:pPr>
      <w:r w:rsidRPr="1D1B4375">
        <w:rPr>
          <w:rFonts w:ascii="Times New Roman" w:eastAsia="Times New Roman" w:hAnsi="Times New Roman" w:cs="Times New Roman"/>
          <w:sz w:val="24"/>
          <w:szCs w:val="24"/>
        </w:rPr>
        <w:t xml:space="preserve">References </w:t>
      </w:r>
    </w:p>
    <w:p w14:paraId="24F7738A" w14:textId="3C35F1ED" w:rsidR="1D1B4375" w:rsidRDefault="1D1B4375" w:rsidP="1D1B4375">
      <w:pPr>
        <w:rPr>
          <w:rFonts w:ascii="Times New Roman" w:eastAsia="Times New Roman" w:hAnsi="Times New Roman" w:cs="Times New Roman"/>
          <w:sz w:val="24"/>
          <w:szCs w:val="24"/>
        </w:rPr>
      </w:pPr>
      <w:r w:rsidRPr="1D1B4375">
        <w:rPr>
          <w:rFonts w:ascii="Times New Roman" w:eastAsia="Times New Roman" w:hAnsi="Times New Roman" w:cs="Times New Roman"/>
          <w:sz w:val="24"/>
          <w:szCs w:val="24"/>
        </w:rPr>
        <w:t xml:space="preserve">House of Commons. (2018). </w:t>
      </w:r>
      <w:r w:rsidRPr="1D1B4375">
        <w:rPr>
          <w:rFonts w:ascii="Times New Roman" w:eastAsia="Times New Roman" w:hAnsi="Times New Roman" w:cs="Times New Roman"/>
          <w:i/>
          <w:iCs/>
          <w:sz w:val="24"/>
          <w:szCs w:val="24"/>
        </w:rPr>
        <w:t>House of Commons Communities and Local Government Committee Housing for older people Second Report of Session 2017-2019 Report, together with formal minutes relating to the report</w:t>
      </w:r>
      <w:r w:rsidRPr="1D1B4375">
        <w:rPr>
          <w:rFonts w:ascii="Times New Roman" w:eastAsia="Times New Roman" w:hAnsi="Times New Roman" w:cs="Times New Roman"/>
          <w:sz w:val="24"/>
          <w:szCs w:val="24"/>
        </w:rPr>
        <w:t>. Retrieved from www.parliament.uk</w:t>
      </w:r>
    </w:p>
    <w:p w14:paraId="5E1CC3D8" w14:textId="3DE499B2" w:rsidR="1D1B4375" w:rsidRDefault="1D1B4375" w:rsidP="1D1B4375">
      <w:pPr>
        <w:rPr>
          <w:rFonts w:ascii="Times New Roman" w:eastAsia="Times New Roman" w:hAnsi="Times New Roman" w:cs="Times New Roman"/>
          <w:sz w:val="24"/>
          <w:szCs w:val="24"/>
        </w:rPr>
      </w:pPr>
    </w:p>
    <w:p w14:paraId="7CA72459" w14:textId="6230E817" w:rsidR="1D1B4375" w:rsidRDefault="1D1B4375" w:rsidP="1D1B4375">
      <w:pPr>
        <w:rPr>
          <w:rFonts w:ascii="Times New Roman" w:eastAsia="Times New Roman" w:hAnsi="Times New Roman" w:cs="Times New Roman"/>
          <w:sz w:val="24"/>
          <w:szCs w:val="24"/>
        </w:rPr>
      </w:pPr>
    </w:p>
    <w:p w14:paraId="70D1575A" w14:textId="00C99805" w:rsidR="1D1B4375" w:rsidRDefault="1D1B4375" w:rsidP="1D1B4375"/>
    <w:p w14:paraId="2E7058FF" w14:textId="0068FA3D" w:rsidR="1D1B4375" w:rsidRDefault="1D1B4375" w:rsidP="1D1B4375">
      <w:pPr>
        <w:rPr>
          <w:rFonts w:ascii="Times New Roman" w:eastAsia="Times New Roman" w:hAnsi="Times New Roman" w:cs="Times New Roman"/>
          <w:sz w:val="24"/>
          <w:szCs w:val="24"/>
        </w:rPr>
      </w:pPr>
    </w:p>
    <w:sectPr w:rsidR="1D1B437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F5BBE"/>
    <w:multiLevelType w:val="hybridMultilevel"/>
    <w:tmpl w:val="863C0D5A"/>
    <w:lvl w:ilvl="0" w:tplc="78E45F22">
      <w:start w:val="1"/>
      <w:numFmt w:val="bullet"/>
      <w:lvlText w:val=""/>
      <w:lvlJc w:val="left"/>
      <w:pPr>
        <w:ind w:left="720" w:hanging="360"/>
      </w:pPr>
      <w:rPr>
        <w:rFonts w:ascii="Symbol" w:hAnsi="Symbol" w:hint="default"/>
      </w:rPr>
    </w:lvl>
    <w:lvl w:ilvl="1" w:tplc="2B40AF40">
      <w:start w:val="1"/>
      <w:numFmt w:val="bullet"/>
      <w:lvlText w:val="o"/>
      <w:lvlJc w:val="left"/>
      <w:pPr>
        <w:ind w:left="1440" w:hanging="360"/>
      </w:pPr>
      <w:rPr>
        <w:rFonts w:ascii="Courier New" w:hAnsi="Courier New" w:hint="default"/>
      </w:rPr>
    </w:lvl>
    <w:lvl w:ilvl="2" w:tplc="A4D61EEC">
      <w:start w:val="1"/>
      <w:numFmt w:val="bullet"/>
      <w:lvlText w:val=""/>
      <w:lvlJc w:val="left"/>
      <w:pPr>
        <w:ind w:left="2160" w:hanging="360"/>
      </w:pPr>
      <w:rPr>
        <w:rFonts w:ascii="Wingdings" w:hAnsi="Wingdings" w:hint="default"/>
      </w:rPr>
    </w:lvl>
    <w:lvl w:ilvl="3" w:tplc="85A476D8">
      <w:start w:val="1"/>
      <w:numFmt w:val="bullet"/>
      <w:lvlText w:val=""/>
      <w:lvlJc w:val="left"/>
      <w:pPr>
        <w:ind w:left="2880" w:hanging="360"/>
      </w:pPr>
      <w:rPr>
        <w:rFonts w:ascii="Symbol" w:hAnsi="Symbol" w:hint="default"/>
      </w:rPr>
    </w:lvl>
    <w:lvl w:ilvl="4" w:tplc="E0B2BB1C">
      <w:start w:val="1"/>
      <w:numFmt w:val="bullet"/>
      <w:lvlText w:val="o"/>
      <w:lvlJc w:val="left"/>
      <w:pPr>
        <w:ind w:left="3600" w:hanging="360"/>
      </w:pPr>
      <w:rPr>
        <w:rFonts w:ascii="Courier New" w:hAnsi="Courier New" w:hint="default"/>
      </w:rPr>
    </w:lvl>
    <w:lvl w:ilvl="5" w:tplc="9C5C2484">
      <w:start w:val="1"/>
      <w:numFmt w:val="bullet"/>
      <w:lvlText w:val=""/>
      <w:lvlJc w:val="left"/>
      <w:pPr>
        <w:ind w:left="4320" w:hanging="360"/>
      </w:pPr>
      <w:rPr>
        <w:rFonts w:ascii="Wingdings" w:hAnsi="Wingdings" w:hint="default"/>
      </w:rPr>
    </w:lvl>
    <w:lvl w:ilvl="6" w:tplc="1EAC1966">
      <w:start w:val="1"/>
      <w:numFmt w:val="bullet"/>
      <w:lvlText w:val=""/>
      <w:lvlJc w:val="left"/>
      <w:pPr>
        <w:ind w:left="5040" w:hanging="360"/>
      </w:pPr>
      <w:rPr>
        <w:rFonts w:ascii="Symbol" w:hAnsi="Symbol" w:hint="default"/>
      </w:rPr>
    </w:lvl>
    <w:lvl w:ilvl="7" w:tplc="D8FE133C">
      <w:start w:val="1"/>
      <w:numFmt w:val="bullet"/>
      <w:lvlText w:val="o"/>
      <w:lvlJc w:val="left"/>
      <w:pPr>
        <w:ind w:left="5760" w:hanging="360"/>
      </w:pPr>
      <w:rPr>
        <w:rFonts w:ascii="Courier New" w:hAnsi="Courier New" w:hint="default"/>
      </w:rPr>
    </w:lvl>
    <w:lvl w:ilvl="8" w:tplc="514C53A6">
      <w:start w:val="1"/>
      <w:numFmt w:val="bullet"/>
      <w:lvlText w:val=""/>
      <w:lvlJc w:val="left"/>
      <w:pPr>
        <w:ind w:left="6480" w:hanging="360"/>
      </w:pPr>
      <w:rPr>
        <w:rFonts w:ascii="Wingdings" w:hAnsi="Wingdings" w:hint="default"/>
      </w:rPr>
    </w:lvl>
  </w:abstractNum>
  <w:abstractNum w:abstractNumId="1" w15:restartNumberingAfterBreak="0">
    <w:nsid w:val="32E41C0E"/>
    <w:multiLevelType w:val="hybridMultilevel"/>
    <w:tmpl w:val="0C6E2A58"/>
    <w:lvl w:ilvl="0" w:tplc="C2DC13F8">
      <w:start w:val="1"/>
      <w:numFmt w:val="bullet"/>
      <w:lvlText w:val=""/>
      <w:lvlJc w:val="left"/>
      <w:pPr>
        <w:ind w:left="720" w:hanging="360"/>
      </w:pPr>
      <w:rPr>
        <w:rFonts w:ascii="Symbol" w:hAnsi="Symbol" w:hint="default"/>
      </w:rPr>
    </w:lvl>
    <w:lvl w:ilvl="1" w:tplc="8A0ED37E">
      <w:start w:val="1"/>
      <w:numFmt w:val="bullet"/>
      <w:lvlText w:val="o"/>
      <w:lvlJc w:val="left"/>
      <w:pPr>
        <w:ind w:left="1440" w:hanging="360"/>
      </w:pPr>
      <w:rPr>
        <w:rFonts w:ascii="Courier New" w:hAnsi="Courier New" w:hint="default"/>
      </w:rPr>
    </w:lvl>
    <w:lvl w:ilvl="2" w:tplc="1B9698C4">
      <w:start w:val="1"/>
      <w:numFmt w:val="bullet"/>
      <w:lvlText w:val=""/>
      <w:lvlJc w:val="left"/>
      <w:pPr>
        <w:ind w:left="2160" w:hanging="360"/>
      </w:pPr>
      <w:rPr>
        <w:rFonts w:ascii="Wingdings" w:hAnsi="Wingdings" w:hint="default"/>
      </w:rPr>
    </w:lvl>
    <w:lvl w:ilvl="3" w:tplc="2FE4BFBC">
      <w:start w:val="1"/>
      <w:numFmt w:val="bullet"/>
      <w:lvlText w:val=""/>
      <w:lvlJc w:val="left"/>
      <w:pPr>
        <w:ind w:left="2880" w:hanging="360"/>
      </w:pPr>
      <w:rPr>
        <w:rFonts w:ascii="Symbol" w:hAnsi="Symbol" w:hint="default"/>
      </w:rPr>
    </w:lvl>
    <w:lvl w:ilvl="4" w:tplc="0E1A3CA8">
      <w:start w:val="1"/>
      <w:numFmt w:val="bullet"/>
      <w:lvlText w:val="o"/>
      <w:lvlJc w:val="left"/>
      <w:pPr>
        <w:ind w:left="3600" w:hanging="360"/>
      </w:pPr>
      <w:rPr>
        <w:rFonts w:ascii="Courier New" w:hAnsi="Courier New" w:hint="default"/>
      </w:rPr>
    </w:lvl>
    <w:lvl w:ilvl="5" w:tplc="4BF0AD74">
      <w:start w:val="1"/>
      <w:numFmt w:val="bullet"/>
      <w:lvlText w:val=""/>
      <w:lvlJc w:val="left"/>
      <w:pPr>
        <w:ind w:left="4320" w:hanging="360"/>
      </w:pPr>
      <w:rPr>
        <w:rFonts w:ascii="Wingdings" w:hAnsi="Wingdings" w:hint="default"/>
      </w:rPr>
    </w:lvl>
    <w:lvl w:ilvl="6" w:tplc="D3388518">
      <w:start w:val="1"/>
      <w:numFmt w:val="bullet"/>
      <w:lvlText w:val=""/>
      <w:lvlJc w:val="left"/>
      <w:pPr>
        <w:ind w:left="5040" w:hanging="360"/>
      </w:pPr>
      <w:rPr>
        <w:rFonts w:ascii="Symbol" w:hAnsi="Symbol" w:hint="default"/>
      </w:rPr>
    </w:lvl>
    <w:lvl w:ilvl="7" w:tplc="6D34F83C">
      <w:start w:val="1"/>
      <w:numFmt w:val="bullet"/>
      <w:lvlText w:val="o"/>
      <w:lvlJc w:val="left"/>
      <w:pPr>
        <w:ind w:left="5760" w:hanging="360"/>
      </w:pPr>
      <w:rPr>
        <w:rFonts w:ascii="Courier New" w:hAnsi="Courier New" w:hint="default"/>
      </w:rPr>
    </w:lvl>
    <w:lvl w:ilvl="8" w:tplc="DC70454C">
      <w:start w:val="1"/>
      <w:numFmt w:val="bullet"/>
      <w:lvlText w:val=""/>
      <w:lvlJc w:val="left"/>
      <w:pPr>
        <w:ind w:left="6480" w:hanging="360"/>
      </w:pPr>
      <w:rPr>
        <w:rFonts w:ascii="Wingdings" w:hAnsi="Wingdings" w:hint="default"/>
      </w:rPr>
    </w:lvl>
  </w:abstractNum>
  <w:abstractNum w:abstractNumId="2" w15:restartNumberingAfterBreak="0">
    <w:nsid w:val="3B533122"/>
    <w:multiLevelType w:val="hybridMultilevel"/>
    <w:tmpl w:val="3B56B65E"/>
    <w:lvl w:ilvl="0" w:tplc="CDA26BFE">
      <w:start w:val="1"/>
      <w:numFmt w:val="bullet"/>
      <w:lvlText w:val=""/>
      <w:lvlJc w:val="left"/>
      <w:pPr>
        <w:ind w:left="720" w:hanging="360"/>
      </w:pPr>
      <w:rPr>
        <w:rFonts w:ascii="Symbol" w:hAnsi="Symbol" w:hint="default"/>
      </w:rPr>
    </w:lvl>
    <w:lvl w:ilvl="1" w:tplc="81203D84">
      <w:start w:val="1"/>
      <w:numFmt w:val="bullet"/>
      <w:lvlText w:val="o"/>
      <w:lvlJc w:val="left"/>
      <w:pPr>
        <w:ind w:left="1440" w:hanging="360"/>
      </w:pPr>
      <w:rPr>
        <w:rFonts w:ascii="Courier New" w:hAnsi="Courier New" w:hint="default"/>
      </w:rPr>
    </w:lvl>
    <w:lvl w:ilvl="2" w:tplc="61DA812E">
      <w:start w:val="1"/>
      <w:numFmt w:val="bullet"/>
      <w:lvlText w:val=""/>
      <w:lvlJc w:val="left"/>
      <w:pPr>
        <w:ind w:left="2160" w:hanging="360"/>
      </w:pPr>
      <w:rPr>
        <w:rFonts w:ascii="Wingdings" w:hAnsi="Wingdings" w:hint="default"/>
      </w:rPr>
    </w:lvl>
    <w:lvl w:ilvl="3" w:tplc="2B6AF362">
      <w:start w:val="1"/>
      <w:numFmt w:val="bullet"/>
      <w:lvlText w:val=""/>
      <w:lvlJc w:val="left"/>
      <w:pPr>
        <w:ind w:left="2880" w:hanging="360"/>
      </w:pPr>
      <w:rPr>
        <w:rFonts w:ascii="Symbol" w:hAnsi="Symbol" w:hint="default"/>
      </w:rPr>
    </w:lvl>
    <w:lvl w:ilvl="4" w:tplc="C1D6E4C8">
      <w:start w:val="1"/>
      <w:numFmt w:val="bullet"/>
      <w:lvlText w:val="o"/>
      <w:lvlJc w:val="left"/>
      <w:pPr>
        <w:ind w:left="3600" w:hanging="360"/>
      </w:pPr>
      <w:rPr>
        <w:rFonts w:ascii="Courier New" w:hAnsi="Courier New" w:hint="default"/>
      </w:rPr>
    </w:lvl>
    <w:lvl w:ilvl="5" w:tplc="8F96F3CC">
      <w:start w:val="1"/>
      <w:numFmt w:val="bullet"/>
      <w:lvlText w:val=""/>
      <w:lvlJc w:val="left"/>
      <w:pPr>
        <w:ind w:left="4320" w:hanging="360"/>
      </w:pPr>
      <w:rPr>
        <w:rFonts w:ascii="Wingdings" w:hAnsi="Wingdings" w:hint="default"/>
      </w:rPr>
    </w:lvl>
    <w:lvl w:ilvl="6" w:tplc="66DEB4B4">
      <w:start w:val="1"/>
      <w:numFmt w:val="bullet"/>
      <w:lvlText w:val=""/>
      <w:lvlJc w:val="left"/>
      <w:pPr>
        <w:ind w:left="5040" w:hanging="360"/>
      </w:pPr>
      <w:rPr>
        <w:rFonts w:ascii="Symbol" w:hAnsi="Symbol" w:hint="default"/>
      </w:rPr>
    </w:lvl>
    <w:lvl w:ilvl="7" w:tplc="0CDE1E4E">
      <w:start w:val="1"/>
      <w:numFmt w:val="bullet"/>
      <w:lvlText w:val="o"/>
      <w:lvlJc w:val="left"/>
      <w:pPr>
        <w:ind w:left="5760" w:hanging="360"/>
      </w:pPr>
      <w:rPr>
        <w:rFonts w:ascii="Courier New" w:hAnsi="Courier New" w:hint="default"/>
      </w:rPr>
    </w:lvl>
    <w:lvl w:ilvl="8" w:tplc="1E226516">
      <w:start w:val="1"/>
      <w:numFmt w:val="bullet"/>
      <w:lvlText w:val=""/>
      <w:lvlJc w:val="left"/>
      <w:pPr>
        <w:ind w:left="6480" w:hanging="360"/>
      </w:pPr>
      <w:rPr>
        <w:rFonts w:ascii="Wingdings" w:hAnsi="Wingdings" w:hint="default"/>
      </w:rPr>
    </w:lvl>
  </w:abstractNum>
  <w:abstractNum w:abstractNumId="3" w15:restartNumberingAfterBreak="0">
    <w:nsid w:val="7E217E1C"/>
    <w:multiLevelType w:val="hybridMultilevel"/>
    <w:tmpl w:val="8542A700"/>
    <w:lvl w:ilvl="0" w:tplc="5AC49364">
      <w:start w:val="1"/>
      <w:numFmt w:val="bullet"/>
      <w:lvlText w:val=""/>
      <w:lvlJc w:val="left"/>
      <w:pPr>
        <w:ind w:left="720" w:hanging="360"/>
      </w:pPr>
      <w:rPr>
        <w:rFonts w:ascii="Symbol" w:hAnsi="Symbol" w:hint="default"/>
      </w:rPr>
    </w:lvl>
    <w:lvl w:ilvl="1" w:tplc="EDE6394A">
      <w:start w:val="1"/>
      <w:numFmt w:val="bullet"/>
      <w:lvlText w:val="o"/>
      <w:lvlJc w:val="left"/>
      <w:pPr>
        <w:ind w:left="1440" w:hanging="360"/>
      </w:pPr>
      <w:rPr>
        <w:rFonts w:ascii="Courier New" w:hAnsi="Courier New" w:hint="default"/>
      </w:rPr>
    </w:lvl>
    <w:lvl w:ilvl="2" w:tplc="24564536">
      <w:start w:val="1"/>
      <w:numFmt w:val="bullet"/>
      <w:lvlText w:val=""/>
      <w:lvlJc w:val="left"/>
      <w:pPr>
        <w:ind w:left="2160" w:hanging="360"/>
      </w:pPr>
      <w:rPr>
        <w:rFonts w:ascii="Wingdings" w:hAnsi="Wingdings" w:hint="default"/>
      </w:rPr>
    </w:lvl>
    <w:lvl w:ilvl="3" w:tplc="7B7254BA">
      <w:start w:val="1"/>
      <w:numFmt w:val="bullet"/>
      <w:lvlText w:val=""/>
      <w:lvlJc w:val="left"/>
      <w:pPr>
        <w:ind w:left="2880" w:hanging="360"/>
      </w:pPr>
      <w:rPr>
        <w:rFonts w:ascii="Symbol" w:hAnsi="Symbol" w:hint="default"/>
      </w:rPr>
    </w:lvl>
    <w:lvl w:ilvl="4" w:tplc="B46C081A">
      <w:start w:val="1"/>
      <w:numFmt w:val="bullet"/>
      <w:lvlText w:val="o"/>
      <w:lvlJc w:val="left"/>
      <w:pPr>
        <w:ind w:left="3600" w:hanging="360"/>
      </w:pPr>
      <w:rPr>
        <w:rFonts w:ascii="Courier New" w:hAnsi="Courier New" w:hint="default"/>
      </w:rPr>
    </w:lvl>
    <w:lvl w:ilvl="5" w:tplc="21B0D91C">
      <w:start w:val="1"/>
      <w:numFmt w:val="bullet"/>
      <w:lvlText w:val=""/>
      <w:lvlJc w:val="left"/>
      <w:pPr>
        <w:ind w:left="4320" w:hanging="360"/>
      </w:pPr>
      <w:rPr>
        <w:rFonts w:ascii="Wingdings" w:hAnsi="Wingdings" w:hint="default"/>
      </w:rPr>
    </w:lvl>
    <w:lvl w:ilvl="6" w:tplc="820ED504">
      <w:start w:val="1"/>
      <w:numFmt w:val="bullet"/>
      <w:lvlText w:val=""/>
      <w:lvlJc w:val="left"/>
      <w:pPr>
        <w:ind w:left="5040" w:hanging="360"/>
      </w:pPr>
      <w:rPr>
        <w:rFonts w:ascii="Symbol" w:hAnsi="Symbol" w:hint="default"/>
      </w:rPr>
    </w:lvl>
    <w:lvl w:ilvl="7" w:tplc="B6625774">
      <w:start w:val="1"/>
      <w:numFmt w:val="bullet"/>
      <w:lvlText w:val="o"/>
      <w:lvlJc w:val="left"/>
      <w:pPr>
        <w:ind w:left="5760" w:hanging="360"/>
      </w:pPr>
      <w:rPr>
        <w:rFonts w:ascii="Courier New" w:hAnsi="Courier New" w:hint="default"/>
      </w:rPr>
    </w:lvl>
    <w:lvl w:ilvl="8" w:tplc="841A529A">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FE3769"/>
    <w:rsid w:val="00AC3850"/>
    <w:rsid w:val="1D1B4375"/>
    <w:rsid w:val="2EFE3769"/>
    <w:rsid w:val="5769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3769"/>
  <w15:chartTrackingRefBased/>
  <w15:docId w15:val="{41092F34-62FD-4077-BA77-38A001C2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information-advice/health-wellbeing/loneliness/" TargetMode="External"/><Relationship Id="rId13" Type="http://schemas.openxmlformats.org/officeDocument/2006/relationships/hyperlink" Target="https://researchbriefings.parliament.uk/ResearchBriefing/Summary/POST-PN-058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hyperlink" Target="https://www.ageuk.org.uk/" TargetMode="External"/><Relationship Id="rId17" Type="http://schemas.openxmlformats.org/officeDocument/2006/relationships/hyperlink" Target="https://www.ons.gov.uk/peoplepopulationandcommunity/healthandsocialcare/healthandlifeexpectancies/methodologies/healthstatelifeexpectanciesukqmi" TargetMode="External"/><Relationship Id="rId2" Type="http://schemas.openxmlformats.org/officeDocument/2006/relationships/styles" Target="styles.xml"/><Relationship Id="rId16" Type="http://schemas.openxmlformats.org/officeDocument/2006/relationships/hyperlink" Target="https://www.ons.gov.uk/releases/nationalpopulationprojections2016basedstatisticalbulletin" TargetMode="External"/><Relationship Id="rId1" Type="http://schemas.openxmlformats.org/officeDocument/2006/relationships/numbering" Target="numbering.xml"/><Relationship Id="rId6" Type="http://schemas.openxmlformats.org/officeDocument/2006/relationships/hyperlink" Target="https://www.ageuk.org.uk/information-advice/" TargetMode="External"/><Relationship Id="rId11" Type="http://schemas.openxmlformats.org/officeDocument/2006/relationships/hyperlink" Target="https://www.ageuk.org.uk/globalassets/age-uk/documents/reports-and-publications/later_life_uk_factsheet.pdf" TargetMode="External"/><Relationship Id="rId5" Type="http://schemas.openxmlformats.org/officeDocument/2006/relationships/image" Target="media/image1.png"/><Relationship Id="rId15" Type="http://schemas.openxmlformats.org/officeDocument/2006/relationships/hyperlink" Target="https://www.ons.gov.uk/peoplepopulationandcommunity/populationandmigration/populationestimates/datasets/populationestimatesforukenglandandwalesscotlandandnorthernireland"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geuk.org.uk/services/" TargetMode="External"/><Relationship Id="rId14" Type="http://schemas.openxmlformats.org/officeDocument/2006/relationships/hyperlink" Target="https://www.ons.gov.uk/peoplepopulationandcommunity/birthsdeathsandmarriages/ageing/articles/livinglongerhowourpopulationischangingandwhyitmatters/2019-05-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1081</Words>
  <Characters>6164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Harcombe-edwards (1804541)</dc:creator>
  <cp:keywords/>
  <dc:description/>
  <cp:lastModifiedBy>Helen Harcombe-edwards (1804541)</cp:lastModifiedBy>
  <cp:revision>2</cp:revision>
  <dcterms:created xsi:type="dcterms:W3CDTF">2019-07-18T18:43:00Z</dcterms:created>
  <dcterms:modified xsi:type="dcterms:W3CDTF">2019-07-18T18:43:00Z</dcterms:modified>
</cp:coreProperties>
</file>