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77B9D" w:rsidRDefault="00000000">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Reflection on the Primary Quantitative Research Process</w:t>
      </w:r>
    </w:p>
    <w:p w14:paraId="00000002" w14:textId="77777777" w:rsidR="00177B9D" w:rsidRDefault="00000000">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Employee Engagement and Service Quality in UK Gambling: A Quantitative Study of Admiral Casinos</w:t>
      </w:r>
    </w:p>
    <w:p w14:paraId="00000003" w14:textId="77777777" w:rsidR="00177B9D" w:rsidRDefault="00177B9D">
      <w:pPr>
        <w:spacing w:line="360" w:lineRule="auto"/>
        <w:jc w:val="both"/>
        <w:rPr>
          <w:rFonts w:ascii="Times New Roman" w:eastAsia="Times New Roman" w:hAnsi="Times New Roman" w:cs="Times New Roman"/>
          <w:sz w:val="24"/>
          <w:szCs w:val="24"/>
        </w:rPr>
      </w:pPr>
    </w:p>
    <w:p w14:paraId="00000004" w14:textId="77777777" w:rsidR="00177B9D"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Introduction</w:t>
      </w:r>
    </w:p>
    <w:p w14:paraId="00000005" w14:textId="77777777" w:rsidR="00177B9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reflection assesses the key quantitative research process completed in relation to the dissertation entitled, Employee Engagement and Service Quality in UK Gambling: A Quantitative Study of Admiral Casinos. A reflection framework to be applied here is Gibbs Reflective Cycle as it suggests a specific combination of reviewing the experiences and analysing the results of learning, and the improvement points to be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in the future. The reflection is based on planning, implementation and evaluation of the research process.</w:t>
      </w:r>
    </w:p>
    <w:p w14:paraId="00000006" w14:textId="77777777" w:rsidR="00177B9D"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Description</w:t>
      </w:r>
    </w:p>
    <w:p w14:paraId="00000007" w14:textId="77777777" w:rsidR="00177B9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the study was to investigate employee engagement and employee-perceived service quality between frontline employees in Admiral Casinos. The choice of a quantitative research design was the possibility to obtain measurable data by a fairly large number of participants. Structured questions and Likert-scale statements encompassing employee engagement,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support, leadership, training, recognition, and service quality were then used to create an online questionnaire (Bolat et al., 2021). 60 valid respondents were selected to obtain the data as per their eligibility criteria. Descriptive statistics, reliability analysis, and correlation analysis were used to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data collected to test the research hypothesis and to answer the research questions.</w:t>
      </w:r>
    </w:p>
    <w:p w14:paraId="00000008" w14:textId="77777777" w:rsidR="00177B9D"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Feelings</w:t>
      </w:r>
    </w:p>
    <w:p w14:paraId="00000009" w14:textId="77777777" w:rsidR="00177B9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excited and nervous at the start of the project. I wanted to investigate an actual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problem but was worried about how to create a good questionnaire and have sufficient responses. In the data-collection phase I was concerned with how participants would respond, and potential for incomplete response (Bolat et al., 2021). But the more I went through the research process and the more I started analysing the data I got more confident. I was pleased by seeing some significant patterns in the results and I felt content to finish the project a success. Towards the culmination of my study, I was proud of everything that I had accomplished and more assured of my research skills.</w:t>
      </w:r>
    </w:p>
    <w:p w14:paraId="0000000A" w14:textId="77777777" w:rsidR="00177B9D"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Evaluation</w:t>
      </w:r>
    </w:p>
    <w:p w14:paraId="0000000B" w14:textId="77777777" w:rsidR="00177B9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 were a number of elements of the research process that were successful. The questionnaire offered an effective and convenient way of gathering data on the employees in various positions and shifts (Jamieson et al., 2023). Quantitative methods allowed the objective measurement of employee engagement and quality of service provided and the trends and relations were easier to identify. Strong theoretical-founded literature review also gave a good theoretical basis, which helped to interpret findings.</w:t>
      </w:r>
    </w:p>
    <w:p w14:paraId="0000000C" w14:textId="77777777" w:rsidR="00177B9D"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Analysis</w:t>
      </w:r>
    </w:p>
    <w:p w14:paraId="0000000D" w14:textId="77777777" w:rsidR="00177B9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successful results of the study were owed much to proper planning and following a well-organized methodology. The questionnaire was tailored on proven theories and past research and that enhanced its relevance and reliability (Ocampo et al., 2025). Ethical issues were handled in the most appropriate way and anonymity believed to prompt honest responses among the participants was upheld. The statistical analysis was useful in coming up with objective results and enhanced the validity of the research.</w:t>
      </w:r>
    </w:p>
    <w:p w14:paraId="0000000E" w14:textId="77777777" w:rsidR="00177B9D"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Conclusion</w:t>
      </w:r>
    </w:p>
    <w:p w14:paraId="0000000F" w14:textId="77777777" w:rsidR="00177B9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experience of conducting the research was an opportunity to learn, on the whole, which strengthened my concept of the method of business research and quantitative analysis. The research was able to meet its aims and produce valuable information on employee engagement and service quality in Admiral Casinos. </w:t>
      </w:r>
    </w:p>
    <w:p w14:paraId="00000010" w14:textId="77777777" w:rsidR="00177B9D"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Action Plan</w:t>
      </w:r>
    </w:p>
    <w:p w14:paraId="00000011" w14:textId="77777777" w:rsidR="00177B9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future studies, I would seek to expand the sample and adopt a wider range of sampling procedures to enhance representativeness. Another approach that would be implemented by me is a mixed-methods approach that incorporates interviews or focus groups to get a better understanding of employee experiences (Ocampo et al., 2025). Besides, I would also provide a greater amount of time on the participant recruitment and piloting testing in order to improve the quality of obtained data and reinforce the overall research process.</w:t>
      </w:r>
    </w:p>
    <w:p w14:paraId="00000012" w14:textId="77777777" w:rsidR="00177B9D" w:rsidRDefault="00000000">
      <w:pPr>
        <w:spacing w:line="360" w:lineRule="auto"/>
        <w:jc w:val="both"/>
        <w:rPr>
          <w:rFonts w:ascii="Times New Roman" w:eastAsia="Times New Roman" w:hAnsi="Times New Roman" w:cs="Times New Roman"/>
          <w:sz w:val="24"/>
          <w:szCs w:val="24"/>
        </w:rPr>
      </w:pPr>
      <w:r>
        <w:br w:type="page"/>
      </w:r>
    </w:p>
    <w:p w14:paraId="00000013" w14:textId="77777777" w:rsidR="00177B9D"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Reference List</w:t>
      </w:r>
    </w:p>
    <w:p w14:paraId="51D245FD" w14:textId="77777777" w:rsidR="006C1951" w:rsidRPr="006C1951" w:rsidRDefault="006C1951">
      <w:pPr>
        <w:spacing w:line="360" w:lineRule="auto"/>
        <w:jc w:val="both"/>
        <w:rPr>
          <w:rFonts w:ascii="Times New Roman" w:eastAsia="Times New Roman" w:hAnsi="Times New Roman" w:cs="Times New Roman"/>
          <w:sz w:val="24"/>
          <w:szCs w:val="24"/>
        </w:rPr>
      </w:pPr>
      <w:r w:rsidRPr="006C1951">
        <w:rPr>
          <w:rFonts w:ascii="Times New Roman" w:eastAsia="Times New Roman" w:hAnsi="Times New Roman" w:cs="Times New Roman"/>
          <w:sz w:val="24"/>
          <w:szCs w:val="24"/>
        </w:rPr>
        <w:t xml:space="preserve">Bolat, E., Wang, R., Bush-Evans, R., Arden-Close, E., Hodge, S., McAlaney, J., Thomas, S. and </w:t>
      </w:r>
      <w:proofErr w:type="spellStart"/>
      <w:r w:rsidRPr="006C1951">
        <w:rPr>
          <w:rFonts w:ascii="Times New Roman" w:eastAsia="Times New Roman" w:hAnsi="Times New Roman" w:cs="Times New Roman"/>
          <w:sz w:val="24"/>
          <w:szCs w:val="24"/>
        </w:rPr>
        <w:t>Phalp</w:t>
      </w:r>
      <w:proofErr w:type="spellEnd"/>
      <w:r w:rsidRPr="006C1951">
        <w:rPr>
          <w:rFonts w:ascii="Times New Roman" w:eastAsia="Times New Roman" w:hAnsi="Times New Roman" w:cs="Times New Roman"/>
          <w:sz w:val="24"/>
          <w:szCs w:val="24"/>
        </w:rPr>
        <w:t xml:space="preserve">, K.T., 2021. Transparency in Responsible Gambling Messaging and Communication: A Content Analysis of the UK’s Gambling Operators’ Websites </w:t>
      </w:r>
      <w:proofErr w:type="spellStart"/>
      <w:r w:rsidRPr="006C1951">
        <w:rPr>
          <w:rFonts w:ascii="Times New Roman" w:eastAsia="Times New Roman" w:hAnsi="Times New Roman" w:cs="Times New Roman"/>
          <w:sz w:val="24"/>
          <w:szCs w:val="24"/>
        </w:rPr>
        <w:t>EROGamb</w:t>
      </w:r>
      <w:proofErr w:type="spellEnd"/>
      <w:r w:rsidRPr="006C1951">
        <w:rPr>
          <w:rFonts w:ascii="Times New Roman" w:eastAsia="Times New Roman" w:hAnsi="Times New Roman" w:cs="Times New Roman"/>
          <w:sz w:val="24"/>
          <w:szCs w:val="24"/>
        </w:rPr>
        <w:t xml:space="preserve"> Website Transparency and Responsible Gambling Report. Bournemouth University.  </w:t>
      </w:r>
      <w:hyperlink r:id="rId6">
        <w:r w:rsidRPr="006C1951">
          <w:rPr>
            <w:rFonts w:ascii="Times New Roman" w:eastAsia="Times New Roman" w:hAnsi="Times New Roman" w:cs="Times New Roman"/>
            <w:color w:val="1155CC"/>
            <w:sz w:val="24"/>
            <w:szCs w:val="24"/>
            <w:u w:val="single"/>
          </w:rPr>
          <w:t>http://eprints.bournemouth.ac.uk/36740/7/EROGamb%202%20Website%20Transparency%20and%20Responsible%20Gambling%20Report.pdf</w:t>
        </w:r>
      </w:hyperlink>
      <w:r w:rsidRPr="006C1951">
        <w:rPr>
          <w:rFonts w:ascii="Times New Roman" w:eastAsia="Times New Roman" w:hAnsi="Times New Roman" w:cs="Times New Roman"/>
          <w:sz w:val="24"/>
          <w:szCs w:val="24"/>
        </w:rPr>
        <w:t xml:space="preserve"> </w:t>
      </w:r>
    </w:p>
    <w:p w14:paraId="0AD3DDBF" w14:textId="77777777" w:rsidR="006C1951" w:rsidRPr="006C1951" w:rsidRDefault="006C1951">
      <w:pPr>
        <w:spacing w:line="360" w:lineRule="auto"/>
        <w:jc w:val="both"/>
        <w:rPr>
          <w:rFonts w:ascii="Times New Roman" w:eastAsia="Times New Roman" w:hAnsi="Times New Roman" w:cs="Times New Roman"/>
          <w:sz w:val="24"/>
          <w:szCs w:val="24"/>
        </w:rPr>
      </w:pPr>
      <w:r w:rsidRPr="006C1951">
        <w:rPr>
          <w:rFonts w:ascii="Times New Roman" w:eastAsia="Times New Roman" w:hAnsi="Times New Roman" w:cs="Times New Roman"/>
          <w:sz w:val="24"/>
          <w:szCs w:val="24"/>
        </w:rPr>
        <w:t xml:space="preserve">Jamieson, M.K., Govaart, G.H. and Pownall, M., 2023. Reflexivity in quantitative research: A rationale and beginner's guide. Social and personality psychology compass, 17(4), p.e12735.  </w:t>
      </w:r>
      <w:hyperlink r:id="rId7">
        <w:r w:rsidRPr="006C1951">
          <w:rPr>
            <w:rFonts w:ascii="Times New Roman" w:eastAsia="Times New Roman" w:hAnsi="Times New Roman" w:cs="Times New Roman"/>
            <w:color w:val="1155CC"/>
            <w:sz w:val="24"/>
            <w:szCs w:val="24"/>
            <w:u w:val="single"/>
          </w:rPr>
          <w:t>https://compass.onlinelibrary.wiley.com/doi/abs/10.1111/spc3.12735</w:t>
        </w:r>
      </w:hyperlink>
      <w:r w:rsidRPr="006C1951">
        <w:rPr>
          <w:rFonts w:ascii="Times New Roman" w:eastAsia="Times New Roman" w:hAnsi="Times New Roman" w:cs="Times New Roman"/>
          <w:sz w:val="24"/>
          <w:szCs w:val="24"/>
        </w:rPr>
        <w:t xml:space="preserve"> </w:t>
      </w:r>
    </w:p>
    <w:p w14:paraId="7CEE8BE6" w14:textId="77777777" w:rsidR="006C1951" w:rsidRPr="006C1951" w:rsidRDefault="006C1951">
      <w:pPr>
        <w:spacing w:line="360" w:lineRule="auto"/>
        <w:jc w:val="both"/>
        <w:rPr>
          <w:rFonts w:ascii="Times New Roman" w:eastAsia="Times New Roman" w:hAnsi="Times New Roman" w:cs="Times New Roman"/>
          <w:sz w:val="24"/>
          <w:szCs w:val="24"/>
        </w:rPr>
      </w:pPr>
      <w:r w:rsidRPr="006C1951">
        <w:rPr>
          <w:rFonts w:ascii="Times New Roman" w:eastAsia="Times New Roman" w:hAnsi="Times New Roman" w:cs="Times New Roman"/>
          <w:sz w:val="24"/>
          <w:szCs w:val="24"/>
        </w:rPr>
        <w:t xml:space="preserve">Ocampo, F.A., McIntyre, B.G., Massey, D. and Saunders, R., 2025. Nursing student reflections on a research internship: A reflective discussion following the Gibbs' reflective cycle. Nurse education today, 145, p.106481. </w:t>
      </w:r>
      <w:hyperlink r:id="rId8">
        <w:r w:rsidRPr="006C1951">
          <w:rPr>
            <w:rFonts w:ascii="Times New Roman" w:eastAsia="Times New Roman" w:hAnsi="Times New Roman" w:cs="Times New Roman"/>
            <w:color w:val="1155CC"/>
            <w:sz w:val="24"/>
            <w:szCs w:val="24"/>
            <w:u w:val="single"/>
          </w:rPr>
          <w:t>https://www.sciencedirect.com/science/article/pii/S0260691724003915</w:t>
        </w:r>
      </w:hyperlink>
      <w:r w:rsidRPr="006C1951">
        <w:rPr>
          <w:rFonts w:ascii="Times New Roman" w:eastAsia="Times New Roman" w:hAnsi="Times New Roman" w:cs="Times New Roman"/>
          <w:sz w:val="24"/>
          <w:szCs w:val="24"/>
        </w:rPr>
        <w:t xml:space="preserve"> </w:t>
      </w:r>
    </w:p>
    <w:p w14:paraId="00000017" w14:textId="77777777" w:rsidR="00177B9D" w:rsidRDefault="00177B9D">
      <w:pPr>
        <w:spacing w:line="360" w:lineRule="auto"/>
        <w:jc w:val="both"/>
        <w:rPr>
          <w:rFonts w:ascii="Times New Roman" w:eastAsia="Times New Roman" w:hAnsi="Times New Roman" w:cs="Times New Roman"/>
          <w:sz w:val="24"/>
          <w:szCs w:val="24"/>
        </w:rPr>
      </w:pPr>
    </w:p>
    <w:p w14:paraId="00000018" w14:textId="77777777" w:rsidR="00177B9D" w:rsidRDefault="00177B9D">
      <w:pPr>
        <w:spacing w:line="360" w:lineRule="auto"/>
        <w:jc w:val="both"/>
        <w:rPr>
          <w:rFonts w:ascii="Times New Roman" w:eastAsia="Times New Roman" w:hAnsi="Times New Roman" w:cs="Times New Roman"/>
          <w:sz w:val="24"/>
          <w:szCs w:val="24"/>
        </w:rPr>
      </w:pPr>
    </w:p>
    <w:sectPr w:rsidR="00177B9D" w:rsidSect="006C1951">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A32D5" w14:textId="77777777" w:rsidR="00767C3A" w:rsidRDefault="00767C3A" w:rsidP="006C1951">
      <w:pPr>
        <w:spacing w:line="240" w:lineRule="auto"/>
      </w:pPr>
      <w:r>
        <w:separator/>
      </w:r>
    </w:p>
  </w:endnote>
  <w:endnote w:type="continuationSeparator" w:id="0">
    <w:p w14:paraId="0D748778" w14:textId="77777777" w:rsidR="00767C3A" w:rsidRDefault="00767C3A" w:rsidP="006C19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2E67CEB-3603-4CAD-AA9E-7B30430D3836}"/>
  </w:font>
  <w:font w:name="Cambria">
    <w:panose1 w:val="02040503050406030204"/>
    <w:charset w:val="00"/>
    <w:family w:val="roman"/>
    <w:pitch w:val="variable"/>
    <w:sig w:usb0="E00006FF" w:usb1="420024FF" w:usb2="02000000" w:usb3="00000000" w:csb0="0000019F" w:csb1="00000000"/>
    <w:embedRegular r:id="rId2" w:fontKey="{A0841611-2CBD-45A6-9FC8-1E2009695E5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583696"/>
      <w:docPartObj>
        <w:docPartGallery w:val="Page Numbers (Bottom of Page)"/>
        <w:docPartUnique/>
      </w:docPartObj>
    </w:sdtPr>
    <w:sdtContent>
      <w:sdt>
        <w:sdtPr>
          <w:id w:val="-1769616900"/>
          <w:docPartObj>
            <w:docPartGallery w:val="Page Numbers (Top of Page)"/>
            <w:docPartUnique/>
          </w:docPartObj>
        </w:sdtPr>
        <w:sdtContent>
          <w:p w14:paraId="39C893BF" w14:textId="3DDA6860" w:rsidR="006C1951" w:rsidRDefault="006C195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72F87F1" w14:textId="77777777" w:rsidR="006C1951" w:rsidRDefault="006C1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993340" w14:textId="77777777" w:rsidR="00767C3A" w:rsidRDefault="00767C3A" w:rsidP="006C1951">
      <w:pPr>
        <w:spacing w:line="240" w:lineRule="auto"/>
      </w:pPr>
      <w:r>
        <w:separator/>
      </w:r>
    </w:p>
  </w:footnote>
  <w:footnote w:type="continuationSeparator" w:id="0">
    <w:p w14:paraId="26FC94EF" w14:textId="77777777" w:rsidR="00767C3A" w:rsidRDefault="00767C3A" w:rsidP="006C195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7B9D"/>
    <w:rsid w:val="00177B9D"/>
    <w:rsid w:val="00623872"/>
    <w:rsid w:val="006C1951"/>
    <w:rsid w:val="00767C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2BF431-ACB4-4F83-9B1C-4CC0CC277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C1951"/>
    <w:pPr>
      <w:tabs>
        <w:tab w:val="center" w:pos="4513"/>
        <w:tab w:val="right" w:pos="9026"/>
      </w:tabs>
      <w:spacing w:line="240" w:lineRule="auto"/>
    </w:pPr>
  </w:style>
  <w:style w:type="character" w:customStyle="1" w:styleId="HeaderChar">
    <w:name w:val="Header Char"/>
    <w:basedOn w:val="DefaultParagraphFont"/>
    <w:link w:val="Header"/>
    <w:uiPriority w:val="99"/>
    <w:rsid w:val="006C1951"/>
  </w:style>
  <w:style w:type="paragraph" w:styleId="Footer">
    <w:name w:val="footer"/>
    <w:basedOn w:val="Normal"/>
    <w:link w:val="FooterChar"/>
    <w:uiPriority w:val="99"/>
    <w:unhideWhenUsed/>
    <w:rsid w:val="006C1951"/>
    <w:pPr>
      <w:tabs>
        <w:tab w:val="center" w:pos="4513"/>
        <w:tab w:val="right" w:pos="9026"/>
      </w:tabs>
      <w:spacing w:line="240" w:lineRule="auto"/>
    </w:pPr>
  </w:style>
  <w:style w:type="character" w:customStyle="1" w:styleId="FooterChar">
    <w:name w:val="Footer Char"/>
    <w:basedOn w:val="DefaultParagraphFont"/>
    <w:link w:val="Footer"/>
    <w:uiPriority w:val="99"/>
    <w:rsid w:val="006C19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260691724003915" TargetMode="External"/><Relationship Id="rId3" Type="http://schemas.openxmlformats.org/officeDocument/2006/relationships/webSettings" Target="webSettings.xml"/><Relationship Id="rId7" Type="http://schemas.openxmlformats.org/officeDocument/2006/relationships/hyperlink" Target="https://compass.onlinelibrary.wiley.com/doi/abs/10.1111/spc3.1273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prints.bournemouth.ac.uk/36740/7/EROGamb%202%20Website%20Transparency%20and%20Responsible%20Gambling%20Report.pdf"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810</Words>
  <Characters>4620</Characters>
  <DocSecurity>0</DocSecurity>
  <Lines>38</Lines>
  <Paragraphs>10</Paragraphs>
  <ScaleCrop>false</ScaleCrop>
  <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2026-07-23T05:21:00Z</dcterms:created>
  <dcterms:modified xsi:type="dcterms:W3CDTF">2026-07-23T05:21:00Z</dcterms:modified>
</cp:coreProperties>
</file>