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png" ContentType="image/png"/>
  <Override PartName="/word/media/image2.png" ContentType="image/png"/>
  <Override PartName="/word/media/image3.png" ContentType="image/png"/>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settings.xml" ContentType="application/vnd.openxmlformats-officedocument.wordprocessingml.settings+xml"/>
  <Override PartName="/word/fontTable.xml" ContentType="application/vnd.openxmlformats-officedocument.wordprocessingml.fontTable+xml"/>
  <Override PartName="/word/theme/theme1.xml" ContentType="application/vnd.openxmlformats-officedocument.theme+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259" w:before="240" w:after="240"/>
        <w:jc w:val="left"/>
        <w:rPr>
          <w:b/>
          <w:bCs/>
        </w:rPr>
      </w:pPr>
      <w:r>
        <w:rPr>
          <w:b/>
          <w:bCs/>
        </w:rPr>
      </w:r>
    </w:p>
    <w:p>
      <w:pPr>
        <w:pStyle w:val="Normal"/>
        <w:spacing w:lineRule="auto" w:line="259"/>
        <w:jc w:val="left"/>
        <w:rPr>
          <w:b/>
          <w:bCs/>
        </w:rPr>
      </w:pPr>
      <w:r>
        <w:rPr>
          <w:b/>
          <w:bCs/>
        </w:rPr>
      </w:r>
    </w:p>
    <w:p>
      <w:pPr>
        <w:pStyle w:val="Normal"/>
        <w:jc w:val="center"/>
        <w:rPr>
          <w:b/>
          <w:bCs/>
        </w:rPr>
      </w:pPr>
      <w:r>
        <w:rPr/>
        <w:drawing>
          <wp:inline distT="0" distB="0" distL="0" distR="0">
            <wp:extent cx="3419475" cy="1134110"/>
            <wp:effectExtent l="0" t="0" r="0" b="0"/>
            <wp:docPr id="1"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ifysgol Cymru Y Drindod Dewi Sant (University of Wales Trinity Saint  David) – UniNet project"/>
                    <pic:cNvPicPr>
                      <a:picLocks noChangeAspect="1" noChangeArrowheads="1"/>
                    </pic:cNvPicPr>
                  </pic:nvPicPr>
                  <pic:blipFill>
                    <a:blip r:embed="rId2"/>
                    <a:stretch>
                      <a:fillRect/>
                    </a:stretch>
                  </pic:blipFill>
                  <pic:spPr bwMode="auto">
                    <a:xfrm>
                      <a:off x="0" y="0"/>
                      <a:ext cx="3419475" cy="1134110"/>
                    </a:xfrm>
                    <a:prstGeom prst="rect">
                      <a:avLst/>
                    </a:prstGeom>
                  </pic:spPr>
                </pic:pic>
              </a:graphicData>
            </a:graphic>
          </wp:inline>
        </w:drawing>
      </w:r>
    </w:p>
    <w:p>
      <w:pPr>
        <w:pStyle w:val="Normal"/>
        <w:spacing w:lineRule="auto" w:line="259"/>
        <w:rPr>
          <w:b/>
          <w:bCs/>
          <w:sz w:val="36"/>
          <w:szCs w:val="36"/>
        </w:rPr>
      </w:pPr>
      <w:r>
        <w:rPr>
          <w:b/>
          <w:bCs/>
          <w:sz w:val="36"/>
          <w:szCs w:val="36"/>
        </w:rPr>
      </w:r>
    </w:p>
    <w:p>
      <w:pPr>
        <w:pStyle w:val="Normal"/>
        <w:spacing w:lineRule="auto" w:line="259"/>
        <w:jc w:val="center"/>
        <w:rPr>
          <w:b/>
          <w:bCs/>
          <w:sz w:val="36"/>
          <w:szCs w:val="36"/>
        </w:rPr>
      </w:pPr>
      <w:r>
        <w:rPr>
          <w:b/>
          <w:bCs/>
          <w:sz w:val="36"/>
          <w:szCs w:val="36"/>
        </w:rPr>
      </w:r>
    </w:p>
    <w:p>
      <w:pPr>
        <w:pStyle w:val="Normal"/>
        <w:spacing w:lineRule="auto" w:line="259"/>
        <w:jc w:val="center"/>
        <w:rPr>
          <w:b/>
          <w:bCs/>
          <w:sz w:val="36"/>
          <w:szCs w:val="36"/>
        </w:rPr>
      </w:pPr>
      <w:r>
        <w:rPr>
          <w:b/>
          <w:bCs/>
          <w:sz w:val="44"/>
          <w:szCs w:val="44"/>
        </w:rPr>
        <w:t>MSc Data and Artificial Intelligence</w:t>
      </w:r>
    </w:p>
    <w:p>
      <w:pPr>
        <w:pStyle w:val="Normal"/>
        <w:spacing w:lineRule="auto" w:line="259"/>
        <w:jc w:val="center"/>
        <w:rPr>
          <w:b/>
          <w:bCs/>
          <w:sz w:val="36"/>
          <w:szCs w:val="36"/>
        </w:rPr>
      </w:pPr>
      <w:r>
        <w:rPr>
          <w:b/>
          <w:bCs/>
          <w:sz w:val="36"/>
          <w:szCs w:val="36"/>
        </w:rPr>
        <w:t>Data Security, Governance and Compliance</w:t>
      </w:r>
    </w:p>
    <w:p>
      <w:pPr>
        <w:pStyle w:val="Normal"/>
        <w:spacing w:lineRule="auto" w:line="259"/>
        <w:jc w:val="center"/>
        <w:rPr>
          <w:b/>
          <w:bCs/>
          <w:sz w:val="36"/>
          <w:szCs w:val="36"/>
        </w:rPr>
      </w:pPr>
      <w:r>
        <w:rPr>
          <w:b/>
          <w:bCs/>
          <w:sz w:val="36"/>
          <w:szCs w:val="36"/>
        </w:rPr>
        <w:t>Module Code: ACCA7028</w:t>
      </w:r>
    </w:p>
    <w:p>
      <w:pPr>
        <w:pStyle w:val="Normal"/>
        <w:spacing w:lineRule="auto" w:line="259"/>
        <w:jc w:val="center"/>
        <w:rPr>
          <w:rFonts w:cs="Times New Roman"/>
          <w:b/>
          <w:bCs/>
          <w:sz w:val="36"/>
          <w:szCs w:val="36"/>
        </w:rPr>
      </w:pPr>
      <w:r>
        <w:rPr>
          <w:rFonts w:cs="Times New Roman"/>
          <w:b/>
          <w:bCs/>
          <w:sz w:val="36"/>
          <w:szCs w:val="36"/>
        </w:rPr>
        <w:t>Scenario based report on AeroLink Logistics (ALL)</w:t>
      </w:r>
    </w:p>
    <w:p>
      <w:pPr>
        <w:pStyle w:val="Normal"/>
        <w:jc w:val="center"/>
        <w:rPr>
          <w:b/>
          <w:bCs/>
          <w:sz w:val="36"/>
          <w:szCs w:val="36"/>
        </w:rPr>
      </w:pPr>
      <w:r>
        <w:rPr>
          <w:b/>
          <w:bCs/>
          <w:sz w:val="36"/>
          <w:szCs w:val="36"/>
        </w:rPr>
        <w:t>Submitted By</w:t>
      </w:r>
    </w:p>
    <w:p>
      <w:pPr>
        <w:pStyle w:val="Normal"/>
        <w:jc w:val="center"/>
        <w:rPr>
          <w:sz w:val="36"/>
          <w:szCs w:val="36"/>
        </w:rPr>
      </w:pPr>
      <w:r>
        <w:rPr>
          <w:sz w:val="36"/>
          <w:szCs w:val="36"/>
        </w:rPr>
        <w:t>Name of the Student:</w:t>
      </w:r>
    </w:p>
    <w:p>
      <w:pPr>
        <w:pStyle w:val="Normal"/>
        <w:jc w:val="center"/>
        <w:rPr>
          <w:sz w:val="36"/>
          <w:szCs w:val="36"/>
        </w:rPr>
      </w:pPr>
      <w:r>
        <w:rPr>
          <w:sz w:val="36"/>
          <w:szCs w:val="36"/>
        </w:rPr>
        <w:t>Rushita Rameshbhai Dodiya</w:t>
      </w:r>
    </w:p>
    <w:p>
      <w:pPr>
        <w:pStyle w:val="Normal"/>
        <w:jc w:val="center"/>
        <w:rPr>
          <w:sz w:val="36"/>
          <w:szCs w:val="36"/>
        </w:rPr>
      </w:pPr>
      <w:r>
        <w:rPr>
          <w:sz w:val="36"/>
          <w:szCs w:val="36"/>
        </w:rPr>
        <w:t>Student ID:</w:t>
      </w:r>
    </w:p>
    <w:p>
      <w:pPr>
        <w:pStyle w:val="Normal"/>
        <w:jc w:val="center"/>
        <w:rPr>
          <w:sz w:val="36"/>
          <w:szCs w:val="36"/>
        </w:rPr>
      </w:pPr>
      <w:r>
        <w:rPr>
          <w:sz w:val="36"/>
          <w:szCs w:val="36"/>
        </w:rPr>
        <w:t>2522630</w:t>
      </w:r>
    </w:p>
    <w:p>
      <w:pPr>
        <w:pStyle w:val="Normal"/>
        <w:jc w:val="center"/>
        <w:rPr>
          <w:sz w:val="36"/>
          <w:szCs w:val="36"/>
        </w:rPr>
      </w:pPr>
      <w:r>
        <w:rPr>
          <w:sz w:val="36"/>
          <w:szCs w:val="36"/>
        </w:rPr>
      </w:r>
    </w:p>
    <w:p>
      <w:pPr>
        <w:pStyle w:val="Normal"/>
        <w:jc w:val="center"/>
        <w:rPr>
          <w:b/>
          <w:bCs/>
          <w:sz w:val="36"/>
          <w:szCs w:val="36"/>
        </w:rPr>
      </w:pPr>
      <w:r>
        <w:rPr>
          <w:b/>
          <w:bCs/>
          <w:sz w:val="36"/>
          <w:szCs w:val="36"/>
        </w:rPr>
        <w:t>Submitted TO</w:t>
      </w:r>
    </w:p>
    <w:p>
      <w:pPr>
        <w:pStyle w:val="Title"/>
        <w:rPr>
          <w:b/>
          <w:bCs/>
          <w:sz w:val="40"/>
          <w:lang w:val="en-GB"/>
        </w:rPr>
      </w:pPr>
      <w:r>
        <w:rPr>
          <w:rFonts w:cs="Times New Roman"/>
          <w:b/>
          <w:bCs/>
          <w:sz w:val="36"/>
          <w:szCs w:val="36"/>
          <w:lang w:val="en-GB"/>
        </w:rPr>
        <w:tab/>
        <w:t>Professor Name:</w:t>
      </w:r>
      <w:r>
        <w:rPr>
          <w:rFonts w:cs="Times New Roman"/>
          <w:b/>
          <w:bCs/>
          <w:sz w:val="36"/>
          <w:szCs w:val="36"/>
          <w:lang w:val="en-GB"/>
        </w:rPr>
        <w:t>Dr.</w:t>
      </w:r>
      <w:r>
        <w:rPr>
          <w:rFonts w:cs="Arial" w:ascii="Arial" w:hAnsi="Arial"/>
          <w:b/>
          <w:bCs/>
          <w:sz w:val="36"/>
          <w:szCs w:val="36"/>
          <w:lang w:val="fi-FI"/>
        </w:rPr>
        <w:t>Vijeyananthan Thayananthan</w:t>
      </w:r>
      <w:r>
        <w:br w:type="page"/>
      </w:r>
    </w:p>
    <w:p>
      <w:pPr>
        <w:pStyle w:val="Normal"/>
        <w:spacing w:before="0" w:after="240"/>
        <w:jc w:val="center"/>
        <w:rPr>
          <w:sz w:val="28"/>
          <w:szCs w:val="24"/>
        </w:rPr>
      </w:pPr>
      <w:r>
        <w:rPr>
          <w:b/>
          <w:bCs/>
          <w:sz w:val="28"/>
          <w:szCs w:val="24"/>
        </w:rPr>
        <w:t>Abstract</w:t>
      </w:r>
    </w:p>
    <w:p>
      <w:pPr>
        <w:pStyle w:val="Normal"/>
        <w:rPr/>
      </w:pPr>
      <w:r>
        <w:rPr/>
        <w:t xml:space="preserve">AeroLink Logistics (ALL) is a multinational logistics provider that has been hit hard by recent breaches and this critical security, governance and compliance weaknesses are being assessed. ALL is defined by a complex environment with 88% outsourcing of cloud services, unmanaged cloud access from anywhere in the world and widely distributed IoT sensors in the environment, with no centralised risk management or formal structures for data protection audits. </w:t>
      </w:r>
    </w:p>
    <w:p>
      <w:pPr>
        <w:pStyle w:val="Normal"/>
        <w:rPr/>
      </w:pPr>
      <w:r>
        <w:rPr/>
        <w:t xml:space="preserve">This paper compares four well-known information security frameworks: NIST CSF 2.0, ISO/IEC 27001, COBIT 2019, and ITIL, which are considered to be relevant in the context of the abovementioned systemic exposure vectors. The evaluation concludes that the operational context of ALL is so complex and dynamic that it can't be easily protected by a stand-alone framework. Hence, integrated hybrid model is proposed in the place of ultimate strategic solution. This multi-layered approach is an effective synthesis of top-down board accountability, Zero-Trust technical controls and demanding third party Service Level Agreement (SLA) management. </w:t>
      </w:r>
    </w:p>
    <w:p>
      <w:pPr>
        <w:pStyle w:val="Normal"/>
        <w:rPr>
          <w:b/>
          <w:bCs/>
          <w:i/>
          <w:i/>
          <w:iCs/>
        </w:rPr>
      </w:pPr>
      <w:r>
        <w:rPr>
          <w:b/>
          <w:bCs/>
          <w:i/>
          <w:iCs/>
        </w:rPr>
      </w:r>
    </w:p>
    <w:p>
      <w:pPr>
        <w:pStyle w:val="Normal"/>
        <w:rPr>
          <w:i/>
          <w:i/>
          <w:iCs/>
        </w:rPr>
      </w:pPr>
      <w:r>
        <w:rPr>
          <w:b/>
          <w:bCs/>
          <w:i/>
          <w:iCs/>
        </w:rPr>
        <w:t>Keywords:</w:t>
      </w:r>
      <w:r>
        <w:rPr>
          <w:i/>
          <w:iCs/>
        </w:rPr>
        <w:t xml:space="preserve"> Security Governance, Cloud Outsourcing, Vendor SLAs, Risk Management, Framework Integration.</w:t>
      </w:r>
    </w:p>
    <w:sdt>
      <w:sdtPr>
        <w:docPartObj>
          <w:docPartGallery w:val="Table of Contents"/>
          <w:docPartUnique w:val="true"/>
        </w:docPartObj>
      </w:sdtPr>
      <w:sdtContent>
        <w:p>
          <w:pPr>
            <w:pStyle w:val="TOCHeading"/>
            <w:spacing w:lineRule="auto" w:line="360" w:before="0" w:after="0"/>
            <w:jc w:val="center"/>
            <w:rPr/>
          </w:pPr>
          <w:r>
            <w:br w:type="page"/>
          </w:r>
          <w:r>
            <w:rPr>
              <w:rFonts w:cs="Times New Roman" w:ascii="Times New Roman" w:hAnsi="Times New Roman"/>
              <w:b/>
              <w:bCs/>
            </w:rPr>
            <w:t>Table of Contents</w:t>
          </w:r>
        </w:p>
        <w:p>
          <w:pPr>
            <w:pStyle w:val="TOC1"/>
            <w:tabs>
              <w:tab w:val="clear" w:pos="720"/>
              <w:tab w:val="right" w:pos="9016" w:leader="dot"/>
            </w:tabs>
            <w:rPr/>
          </w:pPr>
          <w:r>
            <w:fldChar w:fldCharType="begin"/>
          </w:r>
          <w:r>
            <w:rPr>
              <w:webHidden/>
              <w:rStyle w:val="IndexLink"/>
              <w:vanish w:val="false"/>
            </w:rPr>
            <w:instrText xml:space="preserve"> TOC \z \o "1-3" \u \h</w:instrText>
          </w:r>
          <w:r>
            <w:rPr>
              <w:webHidden/>
              <w:rStyle w:val="IndexLink"/>
              <w:vanish w:val="false"/>
            </w:rPr>
            <w:fldChar w:fldCharType="separate"/>
          </w:r>
          <w:hyperlink w:anchor="_Toc233718941">
            <w:r>
              <w:rPr>
                <w:webHidden/>
                <w:rStyle w:val="IndexLink"/>
                <w:vanish w:val="false"/>
              </w:rPr>
              <w:t>1. Introduction</w:t>
            </w:r>
            <w:r>
              <w:rPr>
                <w:webHidden/>
              </w:rPr>
              <w:fldChar w:fldCharType="begin"/>
            </w:r>
            <w:r>
              <w:rPr>
                <w:webHidden/>
              </w:rPr>
              <w:instrText xml:space="preserve">PAGEREF _Toc233718941 \h</w:instrText>
            </w:r>
            <w:r>
              <w:rPr>
                <w:webHidden/>
              </w:rPr>
              <w:fldChar w:fldCharType="separate"/>
            </w:r>
            <w:r>
              <w:rPr>
                <w:rStyle w:val="IndexLink"/>
                <w:vanish w:val="false"/>
              </w:rPr>
              <w:tab/>
              <w:t>4</w:t>
            </w:r>
            <w:r>
              <w:rPr>
                <w:webHidden/>
              </w:rPr>
              <w:fldChar w:fldCharType="end"/>
            </w:r>
          </w:hyperlink>
        </w:p>
        <w:p>
          <w:pPr>
            <w:pStyle w:val="TOC1"/>
            <w:tabs>
              <w:tab w:val="clear" w:pos="720"/>
              <w:tab w:val="right" w:pos="9016" w:leader="dot"/>
            </w:tabs>
            <w:rPr/>
          </w:pPr>
          <w:hyperlink w:anchor="_Toc233718942">
            <w:r>
              <w:rPr>
                <w:webHidden/>
              </w:rPr>
              <w:fldChar w:fldCharType="begin"/>
            </w:r>
            <w:r>
              <w:rPr>
                <w:webHidden/>
              </w:rPr>
              <w:instrText xml:space="preserve">PAGEREF _Toc233718942 \h</w:instrText>
            </w:r>
            <w:r>
              <w:rPr>
                <w:webHidden/>
              </w:rPr>
              <w:fldChar w:fldCharType="separate"/>
            </w:r>
            <w:r>
              <w:rPr>
                <w:webHidden/>
                <w:rStyle w:val="IndexLink"/>
                <w:vanish w:val="false"/>
              </w:rPr>
              <w:t>2. Assumptions</w:t>
              <w:tab/>
              <w:t>4</w:t>
            </w:r>
            <w:r>
              <w:rPr>
                <w:webHidden/>
              </w:rPr>
              <w:fldChar w:fldCharType="end"/>
            </w:r>
          </w:hyperlink>
        </w:p>
        <w:p>
          <w:pPr>
            <w:pStyle w:val="TOC1"/>
            <w:tabs>
              <w:tab w:val="clear" w:pos="720"/>
              <w:tab w:val="right" w:pos="9016" w:leader="dot"/>
            </w:tabs>
            <w:rPr/>
          </w:pPr>
          <w:hyperlink w:anchor="_Toc233718943">
            <w:r>
              <w:rPr>
                <w:webHidden/>
              </w:rPr>
              <w:fldChar w:fldCharType="begin"/>
            </w:r>
            <w:r>
              <w:rPr>
                <w:webHidden/>
              </w:rPr>
              <w:instrText xml:space="preserve">PAGEREF _Toc233718943 \h</w:instrText>
            </w:r>
            <w:r>
              <w:rPr>
                <w:webHidden/>
              </w:rPr>
              <w:fldChar w:fldCharType="separate"/>
            </w:r>
            <w:r>
              <w:rPr>
                <w:webHidden/>
                <w:rStyle w:val="IndexLink"/>
                <w:vanish w:val="false"/>
              </w:rPr>
              <w:t>3. Case Problem Analysis</w:t>
              <w:tab/>
              <w:t>5</w:t>
            </w:r>
            <w:r>
              <w:rPr>
                <w:webHidden/>
              </w:rPr>
              <w:fldChar w:fldCharType="end"/>
            </w:r>
          </w:hyperlink>
        </w:p>
        <w:p>
          <w:pPr>
            <w:pStyle w:val="TOC1"/>
            <w:tabs>
              <w:tab w:val="clear" w:pos="720"/>
              <w:tab w:val="right" w:pos="9016" w:leader="dot"/>
            </w:tabs>
            <w:rPr/>
          </w:pPr>
          <w:hyperlink w:anchor="_Toc233718944">
            <w:r>
              <w:rPr>
                <w:webHidden/>
              </w:rPr>
              <w:fldChar w:fldCharType="begin"/>
            </w:r>
            <w:r>
              <w:rPr>
                <w:webHidden/>
              </w:rPr>
              <w:instrText xml:space="preserve">PAGEREF _Toc233718944 \h</w:instrText>
            </w:r>
            <w:r>
              <w:rPr>
                <w:webHidden/>
              </w:rPr>
              <w:fldChar w:fldCharType="separate"/>
            </w:r>
            <w:r>
              <w:rPr>
                <w:webHidden/>
                <w:rStyle w:val="IndexLink"/>
                <w:vanish w:val="false"/>
              </w:rPr>
              <w:t>4. Framework Review and Comparison</w:t>
              <w:tab/>
              <w:t>6</w:t>
            </w:r>
            <w:r>
              <w:rPr>
                <w:webHidden/>
              </w:rPr>
              <w:fldChar w:fldCharType="end"/>
            </w:r>
          </w:hyperlink>
        </w:p>
        <w:p>
          <w:pPr>
            <w:pStyle w:val="TOC1"/>
            <w:tabs>
              <w:tab w:val="clear" w:pos="720"/>
              <w:tab w:val="right" w:pos="9016" w:leader="dot"/>
            </w:tabs>
            <w:rPr/>
          </w:pPr>
          <w:hyperlink w:anchor="_Toc233718945">
            <w:r>
              <w:rPr>
                <w:webHidden/>
              </w:rPr>
              <w:fldChar w:fldCharType="begin"/>
            </w:r>
            <w:r>
              <w:rPr>
                <w:webHidden/>
              </w:rPr>
              <w:instrText xml:space="preserve">PAGEREF _Toc233718945 \h</w:instrText>
            </w:r>
            <w:r>
              <w:rPr>
                <w:webHidden/>
              </w:rPr>
              <w:fldChar w:fldCharType="separate"/>
            </w:r>
            <w:r>
              <w:rPr>
                <w:webHidden/>
                <w:rStyle w:val="IndexLink"/>
                <w:vanish w:val="false"/>
              </w:rPr>
              <w:t>5. Proposed Security Governance Model</w:t>
              <w:tab/>
              <w:t>9</w:t>
            </w:r>
            <w:r>
              <w:rPr>
                <w:webHidden/>
              </w:rPr>
              <w:fldChar w:fldCharType="end"/>
            </w:r>
          </w:hyperlink>
        </w:p>
        <w:p>
          <w:pPr>
            <w:pStyle w:val="TOC1"/>
            <w:tabs>
              <w:tab w:val="clear" w:pos="720"/>
              <w:tab w:val="right" w:pos="9016" w:leader="dot"/>
            </w:tabs>
            <w:rPr/>
          </w:pPr>
          <w:hyperlink w:anchor="_Toc233718946">
            <w:r>
              <w:rPr>
                <w:webHidden/>
              </w:rPr>
              <w:fldChar w:fldCharType="begin"/>
            </w:r>
            <w:r>
              <w:rPr>
                <w:webHidden/>
              </w:rPr>
              <w:instrText xml:space="preserve">PAGEREF _Toc233718946 \h</w:instrText>
            </w:r>
            <w:r>
              <w:rPr>
                <w:webHidden/>
              </w:rPr>
              <w:fldChar w:fldCharType="separate"/>
            </w:r>
            <w:r>
              <w:rPr>
                <w:webHidden/>
                <w:rStyle w:val="IndexLink"/>
                <w:vanish w:val="false"/>
              </w:rPr>
              <w:t>6. Continuous Updates to Regulations and Standards</w:t>
              <w:tab/>
              <w:t>12</w:t>
            </w:r>
            <w:r>
              <w:rPr>
                <w:webHidden/>
              </w:rPr>
              <w:fldChar w:fldCharType="end"/>
            </w:r>
          </w:hyperlink>
        </w:p>
        <w:p>
          <w:pPr>
            <w:pStyle w:val="TOC1"/>
            <w:tabs>
              <w:tab w:val="clear" w:pos="720"/>
              <w:tab w:val="right" w:pos="9016" w:leader="dot"/>
            </w:tabs>
            <w:rPr/>
          </w:pPr>
          <w:hyperlink w:anchor="_Toc233718947">
            <w:r>
              <w:rPr>
                <w:webHidden/>
              </w:rPr>
              <w:fldChar w:fldCharType="begin"/>
            </w:r>
            <w:r>
              <w:rPr>
                <w:webHidden/>
              </w:rPr>
              <w:instrText xml:space="preserve">PAGEREF _Toc233718947 \h</w:instrText>
            </w:r>
            <w:r>
              <w:rPr>
                <w:webHidden/>
              </w:rPr>
              <w:fldChar w:fldCharType="separate"/>
            </w:r>
            <w:r>
              <w:rPr>
                <w:webHidden/>
                <w:rStyle w:val="IndexLink"/>
                <w:vanish w:val="false"/>
              </w:rPr>
              <w:t>7. Conclusion</w:t>
              <w:tab/>
              <w:t>13</w:t>
            </w:r>
            <w:r>
              <w:rPr>
                <w:webHidden/>
              </w:rPr>
              <w:fldChar w:fldCharType="end"/>
            </w:r>
          </w:hyperlink>
        </w:p>
        <w:p>
          <w:pPr>
            <w:pStyle w:val="TOC1"/>
            <w:tabs>
              <w:tab w:val="clear" w:pos="720"/>
              <w:tab w:val="right" w:pos="9016" w:leader="dot"/>
            </w:tabs>
            <w:rPr/>
          </w:pPr>
          <w:hyperlink w:anchor="_Toc233718948">
            <w:r>
              <w:rPr>
                <w:webHidden/>
              </w:rPr>
              <w:fldChar w:fldCharType="begin"/>
            </w:r>
            <w:r>
              <w:rPr>
                <w:webHidden/>
              </w:rPr>
              <w:instrText xml:space="preserve">PAGEREF _Toc233718948 \h</w:instrText>
            </w:r>
            <w:r>
              <w:rPr>
                <w:webHidden/>
              </w:rPr>
              <w:fldChar w:fldCharType="separate"/>
            </w:r>
            <w:r>
              <w:rPr>
                <w:webHidden/>
                <w:rStyle w:val="IndexLink"/>
                <w:vanish w:val="false"/>
              </w:rPr>
              <w:t>References</w:t>
              <w:tab/>
              <w:t>14</w:t>
            </w:r>
            <w:r>
              <w:rPr>
                <w:webHidden/>
              </w:rPr>
              <w:fldChar w:fldCharType="end"/>
            </w:r>
          </w:hyperlink>
        </w:p>
        <w:p>
          <w:pPr>
            <w:pStyle w:val="Normal"/>
            <w:rPr>
              <w:b/>
              <w:bCs/>
            </w:rPr>
          </w:pPr>
          <w:r>
            <w:rPr>
              <w:b/>
              <w:bCs/>
            </w:rPr>
          </w:r>
          <w:r>
            <w:rPr>
              <w:b/>
              <w:bCs/>
            </w:rPr>
            <w:fldChar w:fldCharType="end"/>
          </w:r>
        </w:p>
      </w:sdtContent>
    </w:sdt>
    <w:p>
      <w:pPr>
        <w:pStyle w:val="Normal"/>
        <w:jc w:val="center"/>
        <w:rPr>
          <w:b/>
          <w:bCs/>
        </w:rPr>
      </w:pPr>
      <w:r>
        <w:rPr>
          <w:b/>
          <w:bCs/>
        </w:rPr>
        <w:t>List of Tables</w:t>
      </w:r>
    </w:p>
    <w:p>
      <w:pPr>
        <w:pStyle w:val="TableofFigures"/>
        <w:tabs>
          <w:tab w:val="clear" w:pos="720"/>
          <w:tab w:val="right" w:pos="9016" w:leader="dot"/>
        </w:tabs>
        <w:rPr/>
      </w:pPr>
      <w:r>
        <w:fldChar w:fldCharType="begin"/>
      </w:r>
      <w:r>
        <w:rPr>
          <w:rStyle w:val="IndexLink"/>
        </w:rPr>
        <w:instrText xml:space="preserve"> TOC \c "Table" \h </w:instrText>
      </w:r>
      <w:r>
        <w:rPr>
          <w:rStyle w:val="IndexLink"/>
        </w:rPr>
        <w:fldChar w:fldCharType="separate"/>
      </w:r>
      <w:hyperlink w:anchor="_Toc236146706">
        <w:r>
          <w:rPr>
            <w:rStyle w:val="IndexLink"/>
          </w:rPr>
          <w:t xml:space="preserve">Table 1: </w:t>
        </w:r>
        <w:r>
          <w:rPr>
            <w:rStyle w:val="IndexLink"/>
            <w:b/>
            <w:bCs/>
          </w:rPr>
          <w:t>Operational and Security Assumptions</w:t>
        </w:r>
        <w:r>
          <w:rPr>
            <w:webHidden/>
          </w:rPr>
          <w:fldChar w:fldCharType="begin"/>
        </w:r>
        <w:r>
          <w:rPr>
            <w:webHidden/>
          </w:rPr>
          <w:instrText xml:space="preserve">PAGEREF _Toc236146706 \h</w:instrText>
        </w:r>
        <w:r>
          <w:rPr>
            <w:webHidden/>
          </w:rPr>
          <w:fldChar w:fldCharType="separate"/>
        </w:r>
        <w:r>
          <w:rPr>
            <w:rStyle w:val="IndexLink"/>
            <w:vanish w:val="false"/>
          </w:rPr>
          <w:tab/>
          <w:t>4</w:t>
        </w:r>
        <w:r>
          <w:rPr>
            <w:webHidden/>
          </w:rPr>
          <w:fldChar w:fldCharType="end"/>
        </w:r>
      </w:hyperlink>
    </w:p>
    <w:p>
      <w:pPr>
        <w:pStyle w:val="TableofFigures"/>
        <w:tabs>
          <w:tab w:val="clear" w:pos="720"/>
          <w:tab w:val="right" w:pos="9016" w:leader="dot"/>
        </w:tabs>
        <w:rPr/>
      </w:pPr>
      <w:hyperlink w:anchor="_Toc236146707">
        <w:r>
          <w:rPr>
            <w:rStyle w:val="IndexLink"/>
          </w:rPr>
          <w:t xml:space="preserve">Table 2: </w:t>
        </w:r>
        <w:r>
          <w:rPr>
            <w:rStyle w:val="IndexLink"/>
            <w:b/>
            <w:bCs/>
          </w:rPr>
          <w:t>Case Problem Analysis</w:t>
        </w:r>
        <w:r>
          <w:rPr>
            <w:webHidden/>
          </w:rPr>
          <w:fldChar w:fldCharType="begin"/>
        </w:r>
        <w:r>
          <w:rPr>
            <w:webHidden/>
          </w:rPr>
          <w:instrText xml:space="preserve">PAGEREF _Toc236146707 \h</w:instrText>
        </w:r>
        <w:r>
          <w:rPr>
            <w:webHidden/>
          </w:rPr>
          <w:fldChar w:fldCharType="separate"/>
        </w:r>
        <w:r>
          <w:rPr>
            <w:rStyle w:val="IndexLink"/>
            <w:vanish w:val="false"/>
          </w:rPr>
          <w:tab/>
          <w:t>5</w:t>
        </w:r>
        <w:r>
          <w:rPr>
            <w:webHidden/>
          </w:rPr>
          <w:fldChar w:fldCharType="end"/>
        </w:r>
      </w:hyperlink>
    </w:p>
    <w:p>
      <w:pPr>
        <w:pStyle w:val="TableofFigures"/>
        <w:tabs>
          <w:tab w:val="clear" w:pos="720"/>
          <w:tab w:val="right" w:pos="9016" w:leader="dot"/>
        </w:tabs>
        <w:rPr/>
      </w:pPr>
      <w:hyperlink w:anchor="_Toc236146708">
        <w:r>
          <w:rPr>
            <w:rStyle w:val="IndexLink"/>
          </w:rPr>
          <w:t xml:space="preserve">Table 3: </w:t>
        </w:r>
        <w:r>
          <w:rPr>
            <w:rStyle w:val="IndexLink"/>
            <w:b/>
            <w:bCs/>
          </w:rPr>
          <w:t>Comparative Analysis of Security Frameworks</w:t>
        </w:r>
        <w:r>
          <w:rPr>
            <w:webHidden/>
          </w:rPr>
          <w:fldChar w:fldCharType="begin"/>
        </w:r>
        <w:r>
          <w:rPr>
            <w:webHidden/>
          </w:rPr>
          <w:instrText xml:space="preserve">PAGEREF _Toc236146708 \h</w:instrText>
        </w:r>
        <w:r>
          <w:rPr>
            <w:webHidden/>
          </w:rPr>
          <w:fldChar w:fldCharType="separate"/>
        </w:r>
        <w:r>
          <w:rPr>
            <w:rStyle w:val="IndexLink"/>
            <w:vanish w:val="false"/>
          </w:rPr>
          <w:tab/>
          <w:t>6</w:t>
        </w:r>
        <w:r>
          <w:rPr>
            <w:webHidden/>
          </w:rPr>
          <w:fldChar w:fldCharType="end"/>
        </w:r>
      </w:hyperlink>
    </w:p>
    <w:p>
      <w:pPr>
        <w:pStyle w:val="TableofFigures"/>
        <w:tabs>
          <w:tab w:val="clear" w:pos="720"/>
          <w:tab w:val="right" w:pos="9016" w:leader="dot"/>
        </w:tabs>
        <w:rPr/>
      </w:pPr>
      <w:hyperlink w:anchor="_Toc236146709">
        <w:r>
          <w:rPr>
            <w:rStyle w:val="IndexLink"/>
          </w:rPr>
          <w:t xml:space="preserve">Table 4: </w:t>
        </w:r>
        <w:r>
          <w:rPr>
            <w:rStyle w:val="IndexLink"/>
            <w:b/>
            <w:bCs/>
          </w:rPr>
          <w:t>Quantitative Risk Register</w:t>
        </w:r>
        <w:r>
          <w:rPr>
            <w:webHidden/>
          </w:rPr>
          <w:fldChar w:fldCharType="begin"/>
        </w:r>
        <w:r>
          <w:rPr>
            <w:webHidden/>
          </w:rPr>
          <w:instrText xml:space="preserve">PAGEREF _Toc236146709 \h</w:instrText>
        </w:r>
        <w:r>
          <w:rPr>
            <w:webHidden/>
          </w:rPr>
          <w:fldChar w:fldCharType="separate"/>
        </w:r>
        <w:r>
          <w:rPr>
            <w:rStyle w:val="IndexLink"/>
            <w:vanish w:val="false"/>
          </w:rPr>
          <w:tab/>
          <w:t>10</w:t>
        </w:r>
        <w:r>
          <w:rPr>
            <w:webHidden/>
          </w:rPr>
          <w:fldChar w:fldCharType="end"/>
        </w:r>
      </w:hyperlink>
    </w:p>
    <w:p>
      <w:pPr>
        <w:pStyle w:val="TableofFigures"/>
        <w:tabs>
          <w:tab w:val="clear" w:pos="720"/>
          <w:tab w:val="right" w:pos="9016" w:leader="dot"/>
        </w:tabs>
        <w:rPr/>
      </w:pPr>
      <w:hyperlink w:anchor="_Toc236146710">
        <w:r>
          <w:rPr>
            <w:rStyle w:val="IndexLink"/>
          </w:rPr>
          <w:t xml:space="preserve">Table 5: </w:t>
        </w:r>
        <w:r>
          <w:rPr>
            <w:rStyle w:val="IndexLink"/>
            <w:b/>
            <w:bCs/>
          </w:rPr>
          <w:t>Control Mapping Framework</w:t>
        </w:r>
        <w:r>
          <w:rPr>
            <w:webHidden/>
          </w:rPr>
          <w:fldChar w:fldCharType="begin"/>
        </w:r>
        <w:r>
          <w:rPr>
            <w:webHidden/>
          </w:rPr>
          <w:instrText xml:space="preserve">PAGEREF _Toc236146710 \h</w:instrText>
        </w:r>
        <w:r>
          <w:rPr>
            <w:webHidden/>
          </w:rPr>
          <w:fldChar w:fldCharType="separate"/>
        </w:r>
        <w:r>
          <w:rPr>
            <w:rStyle w:val="IndexLink"/>
            <w:vanish w:val="false"/>
          </w:rPr>
          <w:tab/>
          <w:t>11</w:t>
        </w:r>
        <w:r>
          <w:rPr>
            <w:webHidden/>
          </w:rPr>
          <w:fldChar w:fldCharType="end"/>
        </w:r>
      </w:hyperlink>
    </w:p>
    <w:p>
      <w:pPr>
        <w:pStyle w:val="TableofFigures"/>
        <w:tabs>
          <w:tab w:val="clear" w:pos="720"/>
          <w:tab w:val="right" w:pos="9016" w:leader="dot"/>
        </w:tabs>
        <w:rPr/>
      </w:pPr>
      <w:hyperlink w:anchor="_Toc236146711">
        <w:r>
          <w:rPr>
            <w:rStyle w:val="IndexLink"/>
          </w:rPr>
          <w:t xml:space="preserve">Table 6: </w:t>
        </w:r>
        <w:r>
          <w:rPr>
            <w:rStyle w:val="IndexLink"/>
            <w:b/>
            <w:bCs/>
          </w:rPr>
          <w:t>Implementation Roadmap</w:t>
        </w:r>
        <w:r>
          <w:rPr>
            <w:webHidden/>
          </w:rPr>
          <w:fldChar w:fldCharType="begin"/>
        </w:r>
        <w:r>
          <w:rPr>
            <w:webHidden/>
          </w:rPr>
          <w:instrText xml:space="preserve">PAGEREF _Toc236146711 \h</w:instrText>
        </w:r>
        <w:r>
          <w:rPr>
            <w:webHidden/>
          </w:rPr>
          <w:fldChar w:fldCharType="separate"/>
        </w:r>
        <w:r>
          <w:rPr>
            <w:rStyle w:val="IndexLink"/>
            <w:vanish w:val="false"/>
          </w:rPr>
          <w:tab/>
          <w:t>12</w:t>
        </w:r>
        <w:r>
          <w:rPr>
            <w:webHidden/>
          </w:rPr>
          <w:fldChar w:fldCharType="end"/>
        </w:r>
      </w:hyperlink>
      <w:r>
        <w:rPr>
          <w:rStyle w:val="IndexLink"/>
          <w:vanish w:val="false"/>
        </w:rPr>
        <w:fldChar w:fldCharType="end"/>
      </w:r>
    </w:p>
    <w:p>
      <w:pPr>
        <w:pStyle w:val="Normal"/>
        <w:rPr/>
      </w:pPr>
      <w:r>
        <w:rPr/>
      </w:r>
    </w:p>
    <w:p>
      <w:pPr>
        <w:pStyle w:val="Normal"/>
        <w:jc w:val="center"/>
        <w:rPr>
          <w:b/>
          <w:bCs/>
        </w:rPr>
      </w:pPr>
      <w:r>
        <w:rPr>
          <w:b/>
          <w:bCs/>
        </w:rPr>
        <w:t>List of Figures</w:t>
      </w:r>
    </w:p>
    <w:p>
      <w:pPr>
        <w:pStyle w:val="TableofFigures"/>
        <w:tabs>
          <w:tab w:val="clear" w:pos="720"/>
          <w:tab w:val="right" w:pos="9016" w:leader="dot"/>
        </w:tabs>
        <w:rPr>
          <w:rFonts w:ascii="Calibri" w:hAnsi="Calibri" w:eastAsia="" w:asciiTheme="minorHAnsi" w:eastAsiaTheme="minorEastAsia" w:hAnsiTheme="minorHAnsi"/>
          <w:szCs w:val="24"/>
          <w:lang w:eastAsia="en-IN"/>
        </w:rPr>
      </w:pPr>
      <w:r>
        <w:fldChar w:fldCharType="begin"/>
      </w:r>
      <w:r>
        <w:rPr>
          <w:rStyle w:val="IndexLink"/>
        </w:rPr>
        <w:instrText xml:space="preserve"> TOC \c "Figure" \h </w:instrText>
      </w:r>
      <w:r>
        <w:rPr>
          <w:rStyle w:val="IndexLink"/>
        </w:rPr>
        <w:fldChar w:fldCharType="separate"/>
      </w:r>
      <w:hyperlink w:anchor="_Toc236146717">
        <w:r>
          <w:rPr>
            <w:rStyle w:val="IndexLink"/>
          </w:rPr>
          <w:t xml:space="preserve">Figure 1: </w:t>
        </w:r>
        <w:r>
          <w:rPr>
            <w:rStyle w:val="IndexLink"/>
            <w:b/>
            <w:bCs/>
          </w:rPr>
          <w:t>Pie Chart illustrating 88% Cloud Outsourcing vs Internal Infrastructure</w:t>
        </w:r>
        <w:r>
          <w:rPr>
            <w:webHidden/>
          </w:rPr>
          <w:fldChar w:fldCharType="begin"/>
        </w:r>
        <w:r>
          <w:rPr>
            <w:webHidden/>
          </w:rPr>
          <w:instrText xml:space="preserve">PAGEREF _Toc236146717 \h</w:instrText>
        </w:r>
        <w:r>
          <w:rPr>
            <w:webHidden/>
          </w:rPr>
          <w:fldChar w:fldCharType="separate"/>
        </w:r>
        <w:r>
          <w:rPr>
            <w:rStyle w:val="IndexLink"/>
            <w:vanish w:val="false"/>
          </w:rPr>
          <w:tab/>
          <w:t>5</w:t>
        </w:r>
        <w:r>
          <w:rPr>
            <w:webHidden/>
          </w:rPr>
          <w:fldChar w:fldCharType="end"/>
        </w:r>
      </w:hyperlink>
    </w:p>
    <w:p>
      <w:pPr>
        <w:pStyle w:val="TableofFigures"/>
        <w:tabs>
          <w:tab w:val="clear" w:pos="720"/>
          <w:tab w:val="right" w:pos="9016" w:leader="dot"/>
        </w:tabs>
        <w:rPr>
          <w:rFonts w:ascii="Calibri" w:hAnsi="Calibri" w:eastAsia="" w:asciiTheme="minorHAnsi" w:eastAsiaTheme="minorEastAsia" w:hAnsiTheme="minorHAnsi"/>
          <w:szCs w:val="24"/>
          <w:lang w:eastAsia="en-IN"/>
        </w:rPr>
      </w:pPr>
      <w:hyperlink w:anchor="_Toc236146718">
        <w:r>
          <w:rPr>
            <w:rStyle w:val="IndexLink"/>
          </w:rPr>
          <w:t xml:space="preserve">Figure 2: </w:t>
        </w:r>
        <w:r>
          <w:rPr>
            <w:rStyle w:val="IndexLink"/>
            <w:b/>
            <w:bCs/>
          </w:rPr>
          <w:t>Flowchart demonstrating the AI-Enhanced 6-Layer Security Governance Model</w:t>
        </w:r>
        <w:r>
          <w:rPr>
            <w:webHidden/>
          </w:rPr>
          <w:fldChar w:fldCharType="begin"/>
        </w:r>
        <w:r>
          <w:rPr>
            <w:webHidden/>
          </w:rPr>
          <w:instrText xml:space="preserve">PAGEREF _Toc236146718 \h</w:instrText>
        </w:r>
        <w:r>
          <w:rPr>
            <w:webHidden/>
          </w:rPr>
          <w:fldChar w:fldCharType="separate"/>
        </w:r>
        <w:r>
          <w:rPr>
            <w:rStyle w:val="IndexLink"/>
            <w:vanish w:val="false"/>
          </w:rPr>
          <w:tab/>
          <w:t>9</w:t>
        </w:r>
        <w:r>
          <w:rPr>
            <w:webHidden/>
          </w:rPr>
          <w:fldChar w:fldCharType="end"/>
        </w:r>
      </w:hyperlink>
      <w:r>
        <w:rPr>
          <w:rStyle w:val="IndexLink"/>
          <w:vanish w:val="false"/>
        </w:rPr>
        <w:fldChar w:fldCharType="end"/>
      </w:r>
    </w:p>
    <w:p>
      <w:pPr>
        <w:pStyle w:val="Normal"/>
        <w:rPr/>
      </w:pPr>
      <w:r>
        <w:rPr/>
      </w:r>
    </w:p>
    <w:p>
      <w:pPr>
        <w:pStyle w:val="Normal"/>
        <w:spacing w:lineRule="auto" w:line="259" w:before="0" w:after="160"/>
        <w:jc w:val="left"/>
        <w:rPr>
          <w:rFonts w:eastAsia="" w:cs="" w:cstheme="majorBidi" w:eastAsiaTheme="majorEastAsia"/>
          <w:b/>
          <w:sz w:val="28"/>
          <w:szCs w:val="40"/>
        </w:rPr>
      </w:pPr>
      <w:r>
        <w:rPr>
          <w:rFonts w:eastAsia="" w:cs="" w:cstheme="majorBidi" w:eastAsiaTheme="majorEastAsia"/>
          <w:b/>
          <w:sz w:val="28"/>
          <w:szCs w:val="40"/>
        </w:rPr>
      </w:r>
      <w:r>
        <w:br w:type="page"/>
      </w:r>
    </w:p>
    <w:p>
      <w:pPr>
        <w:pStyle w:val="Heading1"/>
        <w:spacing w:before="0" w:after="80"/>
        <w:rPr/>
      </w:pPr>
      <w:bookmarkStart w:id="0" w:name="_Toc233718941"/>
      <w:r>
        <w:rPr/>
        <w:t>1. Introduction</w:t>
      </w:r>
      <w:bookmarkEnd w:id="0"/>
      <w:r>
        <w:rPr/>
        <w:t xml:space="preserve">  </w:t>
      </w:r>
    </w:p>
    <w:p>
      <w:pPr>
        <w:pStyle w:val="Normal"/>
        <w:rPr/>
      </w:pPr>
      <w:r>
        <w:rPr/>
        <w:t>AeroLink Logistics (ALL) has enhanced its cyber risk greatly in the process of its digital transformation. Today, almost 88% of the information technology infrastructure is provided as cloud-based services, including Internet of Things (IoT) tracking sensors and artificial intelligence (AI) driven analytics. These technologies have made operations more efficient, but they've also increased the organisation's attack surface and created new security issues.</w:t>
      </w:r>
    </w:p>
    <w:p>
      <w:pPr>
        <w:pStyle w:val="Normal"/>
        <w:rPr/>
      </w:pPr>
      <w:r>
        <w:rPr/>
        <w:t>The absence of good governance and compliance is a major concern. ALL lacks a consistent cybersecurity approach, a centralized risk management process and periodic security audits based on accepted security standards like the GDPR and ISO 27001. Consequently, security duties are unclear, important risks are not dealt with and there are gaps in the overall security strategy within the organisation.</w:t>
      </w:r>
    </w:p>
    <w:p>
      <w:pPr>
        <w:pStyle w:val="Normal"/>
        <w:rPr/>
      </w:pPr>
      <w:r>
        <w:rPr/>
        <w:t xml:space="preserve">These risks have been magnified with the move to remote operations. Workers and logistics partners use personal devices that are not managed by the enterprise to have access to company systems from different locations. The organisation has introduced several vulnerabilities for cyber threats due to weak access control, lack of vendor responsibility, and weak security policies. These vulnerabilities have already led to a number of security incidents, such as the disclosure of customers' personally identifiable information (PII) and unauthorised access to sensitive shipment information. These incidents are pointing to an urgent need for increased governance, better access controls and a more formal cyber security program. </w:t>
      </w:r>
    </w:p>
    <w:p>
      <w:pPr>
        <w:pStyle w:val="Heading1"/>
        <w:rPr/>
      </w:pPr>
      <w:bookmarkStart w:id="1" w:name="_Toc233718942"/>
      <w:r>
        <w:rPr/>
        <w:t>2. Assumptions</w:t>
      </w:r>
      <w:bookmarkEnd w:id="1"/>
      <w:r>
        <w:rPr/>
        <w:t xml:space="preserve"> </w:t>
      </w:r>
    </w:p>
    <w:p>
      <w:pPr>
        <w:pStyle w:val="Normal"/>
        <w:rPr/>
      </w:pPr>
      <w:r>
        <w:rPr/>
        <w:t xml:space="preserve">To provide some context to the proposed security governance model for AeroLink Logistics (ALL), a few initial assumptions need to be made about the operating environment of ALL. These lead to the scope of the controls recommended, operational, financial and regulatory assumptions. </w:t>
      </w:r>
    </w:p>
    <w:p>
      <w:pPr>
        <w:pStyle w:val="Caption"/>
        <w:rPr>
          <w:b/>
          <w:bCs/>
          <w:i w:val="false"/>
          <w:i w:val="false"/>
          <w:iCs w:val="false"/>
        </w:rPr>
      </w:pPr>
      <w:bookmarkStart w:id="2" w:name="_Toc236146706"/>
      <w:r>
        <w:rPr/>
        <w:t xml:space="preserve">Table </w:t>
      </w:r>
      <w:r>
        <w:rPr/>
        <w:fldChar w:fldCharType="begin"/>
      </w:r>
      <w:r>
        <w:rPr/>
        <w:instrText xml:space="preserve"> SEQ Table \* ARABIC </w:instrText>
      </w:r>
      <w:r>
        <w:rPr/>
        <w:fldChar w:fldCharType="separate"/>
      </w:r>
      <w:r>
        <w:rPr/>
        <w:t>1</w:t>
      </w:r>
      <w:r>
        <w:rPr/>
        <w:fldChar w:fldCharType="end"/>
      </w:r>
      <w:r>
        <w:rPr/>
        <w:t xml:space="preserve">: </w:t>
      </w:r>
      <w:r>
        <w:rPr>
          <w:b/>
          <w:bCs/>
          <w:i w:val="false"/>
          <w:iCs w:val="false"/>
        </w:rPr>
        <w:t>Operational and Security Assumptions</w:t>
      </w:r>
      <w:bookmarkEnd w:id="2"/>
    </w:p>
    <w:tbl>
      <w:tblPr>
        <w:tblStyle w:val="GridTable4"/>
        <w:tblW w:w="9016" w:type="dxa"/>
        <w:jc w:val="left"/>
        <w:tblInd w:w="0" w:type="dxa"/>
        <w:tblLayout w:type="fixed"/>
        <w:tblCellMar>
          <w:top w:w="0" w:type="dxa"/>
          <w:left w:w="108" w:type="dxa"/>
          <w:bottom w:w="0" w:type="dxa"/>
          <w:right w:w="108" w:type="dxa"/>
        </w:tblCellMar>
        <w:tblLook w:val="04a0" w:noHBand="0" w:noVBand="1" w:firstColumn="1" w:lastRow="0" w:lastColumn="0" w:firstRow="1"/>
      </w:tblPr>
      <w:tblGrid>
        <w:gridCol w:w="2726"/>
        <w:gridCol w:w="6289"/>
      </w:tblGrid>
      <w:tr>
        <w:trPr>
          <w:cnfStyle w:val="100000000000" w:firstRow="1" w:lastRow="0" w:firstColumn="0" w:lastColumn="0" w:oddVBand="0" w:evenVBand="0" w:oddHBand="0" w:evenHBand="0" w:firstRowFirstColumn="0" w:firstRowLastColumn="0" w:lastRowFirstColumn="0" w:lastRowLastColumn="0"/>
        </w:trPr>
        <w:tc>
          <w:tcPr>
            <w:tcW w:w="2726" w:type="dxa"/>
            <w:cnfStyle w:val="001000000000" w:firstRow="0" w:lastRow="0" w:firstColumn="1" w:lastColumn="0" w:oddVBand="0" w:evenVBand="0" w:oddHBand="0" w:evenHBand="0" w:firstRowFirstColumn="0" w:firstRowLastColumn="0" w:lastRowFirstColumn="0" w:lastRowLastColumn="0"/>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16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Assumption</w:t>
            </w:r>
          </w:p>
        </w:tc>
        <w:tc>
          <w:tcPr>
            <w:tcW w:w="6289" w:type="dxa"/>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160"/>
              <w:cnfStyle w:val="100000000000" w:firstRow="1" w:lastRow="0" w:firstColumn="0" w:lastColumn="0" w:oddVBand="0" w:evenVBand="0" w:oddHBand="0" w:evenHBand="0" w:firstRowFirstColumn="0" w:firstRowLastColumn="0" w:lastRowFirstColumn="0" w:lastRowLastColumn="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Implication for Security Design</w:t>
            </w:r>
          </w:p>
        </w:tc>
      </w:tr>
      <w:tr>
        <w:trPr>
          <w:cnfStyle w:val="000000100000" w:firstRow="0" w:lastRow="0" w:firstColumn="0" w:lastColumn="0" w:oddVBand="0" w:evenVBand="0" w:oddHBand="1" w:evenHBand="0" w:firstRowFirstColumn="0" w:firstRowLastColumn="0" w:lastRowFirstColumn="0" w:lastRowLastColumn="0"/>
        </w:trPr>
        <w:tc>
          <w:tcPr>
            <w:tcW w:w="2726" w:type="dxa"/>
            <w:cnfStyle w:val="001000000000" w:firstRow="0" w:lastRow="0" w:firstColumn="1" w:lastColumn="0" w:oddVBand="0" w:evenVBand="0" w:oddHBand="0" w:evenHBand="0" w:firstRowFirstColumn="0" w:firstRowLastColumn="0" w:lastRowFirstColumn="0" w:lastRowLastColumn="0"/>
            <w:tcBorders/>
            <w:shd w:color="auto" w:fill="CCCCCC" w:themeFill="text1" w:themeFillTint="33" w:val="clear"/>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Multinational operations processing EU/UK client data</w:t>
            </w:r>
          </w:p>
        </w:tc>
        <w:tc>
          <w:tcPr>
            <w:tcW w:w="6289"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Legally binding GDPR compliance, data privacy and sovereignty controls are essential for ALL given the large quantities of regional data handled [3].</w:t>
            </w:r>
          </w:p>
        </w:tc>
      </w:tr>
      <w:tr>
        <w:trPr/>
        <w:tc>
          <w:tcPr>
            <w:tcW w:w="2726" w:type="dxa"/>
            <w:cnfStyle w:val="001000000000" w:firstRow="0" w:lastRow="0" w:firstColumn="1" w:lastColumn="0" w:oddVBand="0" w:evenVBand="0" w:oddHBand="0" w:evenHBand="0" w:firstRowFirstColumn="0" w:firstRowLastColumn="0" w:lastRowFirstColumn="0" w:lastRowLastColumn="0"/>
            <w:tcBorders/>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Moderate security budget</w:t>
            </w:r>
          </w:p>
        </w:tc>
        <w:tc>
          <w:tcPr>
            <w:tcW w:w="6289"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Financial resources are finite so implementation of controls must be rigorously prioritised according to the risk [16].</w:t>
            </w:r>
          </w:p>
        </w:tc>
      </w:tr>
      <w:tr>
        <w:trPr>
          <w:cnfStyle w:val="000000100000" w:firstRow="0" w:lastRow="0" w:firstColumn="0" w:lastColumn="0" w:oddVBand="0" w:evenVBand="0" w:oddHBand="1" w:evenHBand="0" w:firstRowFirstColumn="0" w:firstRowLastColumn="0" w:lastRowFirstColumn="0" w:lastRowLastColumn="0"/>
        </w:trPr>
        <w:tc>
          <w:tcPr>
            <w:tcW w:w="2726" w:type="dxa"/>
            <w:cnfStyle w:val="001000000000" w:firstRow="0" w:lastRow="0" w:firstColumn="1" w:lastColumn="0" w:oddVBand="0" w:evenVBand="0" w:oddHBand="0" w:evenHBand="0" w:firstRowFirstColumn="0" w:firstRowLastColumn="0" w:lastRowFirstColumn="0" w:lastRowLastColumn="0"/>
            <w:tcBorders/>
            <w:shd w:color="auto" w:fill="CCCCCC" w:themeFill="text1" w:themeFillTint="33" w:val="clear"/>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Low existing security maturity</w:t>
            </w:r>
          </w:p>
        </w:tc>
        <w:tc>
          <w:tcPr>
            <w:tcW w:w="6289"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Proposal solution: Not only deploy advanced technical tools, but should be accompanied by fundamental governance path, basic access control and policy building.</w:t>
            </w:r>
          </w:p>
        </w:tc>
      </w:tr>
      <w:tr>
        <w:trPr/>
        <w:tc>
          <w:tcPr>
            <w:tcW w:w="2726" w:type="dxa"/>
            <w:cnfStyle w:val="001000000000" w:firstRow="0" w:lastRow="0" w:firstColumn="1" w:lastColumn="0" w:oddVBand="0" w:evenVBand="0" w:oddHBand="0" w:evenHBand="0" w:firstRowFirstColumn="0" w:firstRowLastColumn="0" w:lastRowFirstColumn="0" w:lastRowLastColumn="0"/>
            <w:tcBorders/>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88% outsourced infrastructure (IaaS/SaaS)</w:t>
            </w:r>
          </w:p>
        </w:tc>
        <w:tc>
          <w:tcPr>
            <w:tcW w:w="6289"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As ALL has no physical control of the majority of its IT estate, the security controls most important are the rigor in the management of vendors and SLAs enforcement.</w:t>
            </w:r>
          </w:p>
        </w:tc>
      </w:tr>
      <w:tr>
        <w:trPr>
          <w:cnfStyle w:val="000000100000" w:firstRow="0" w:lastRow="0" w:firstColumn="0" w:lastColumn="0" w:oddVBand="0" w:evenVBand="0" w:oddHBand="1" w:evenHBand="0" w:firstRowFirstColumn="0" w:firstRowLastColumn="0" w:lastRowFirstColumn="0" w:lastRowLastColumn="0"/>
        </w:trPr>
        <w:tc>
          <w:tcPr>
            <w:tcW w:w="2726" w:type="dxa"/>
            <w:cnfStyle w:val="001000000000" w:firstRow="0" w:lastRow="0" w:firstColumn="1" w:lastColumn="0" w:oddVBand="0" w:evenVBand="0" w:oddHBand="0" w:evenHBand="0" w:firstRowFirstColumn="0" w:firstRowLastColumn="0" w:lastRowFirstColumn="0" w:lastRowLastColumn="0"/>
            <w:tcBorders/>
            <w:shd w:color="auto" w:fill="CCCCCC" w:themeFill="text1" w:themeFillTint="33" w:val="clear"/>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Pervasive unmanaged remote access</w:t>
            </w:r>
          </w:p>
        </w:tc>
        <w:tc>
          <w:tcPr>
            <w:tcW w:w="6289"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To secure unmanaged endpoints, strong identity management, multifactor authentication (MFA), and zero trust principles must be implemented, all while allowing for global access across time zones [17].</w:t>
            </w:r>
          </w:p>
        </w:tc>
      </w:tr>
    </w:tbl>
    <w:p>
      <w:pPr>
        <w:pStyle w:val="Heading1"/>
        <w:rPr/>
      </w:pPr>
      <w:bookmarkStart w:id="3" w:name="_Toc233718943"/>
      <w:r>
        <w:rPr/>
        <w:t>3. Case Problem Analysis</w:t>
      </w:r>
      <w:bookmarkEnd w:id="3"/>
      <w:r>
        <w:rPr/>
        <w:t xml:space="preserve"> </w:t>
      </w:r>
    </w:p>
    <w:p>
      <w:pPr>
        <w:pStyle w:val="Normal"/>
        <w:jc w:val="center"/>
        <w:rPr/>
      </w:pPr>
      <w:r>
        <w:rPr/>
        <w:drawing>
          <wp:inline distT="0" distB="0" distL="0" distR="0">
            <wp:extent cx="3657600" cy="3395980"/>
            <wp:effectExtent l="0" t="0" r="0" b="0"/>
            <wp:docPr id="2"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
                    <pic:cNvPicPr>
                      <a:picLocks noChangeAspect="1" noChangeArrowheads="1"/>
                    </pic:cNvPicPr>
                  </pic:nvPicPr>
                  <pic:blipFill>
                    <a:blip r:embed="rId3"/>
                    <a:srcRect l="0" t="7133" r="0" b="0"/>
                    <a:stretch>
                      <a:fillRect/>
                    </a:stretch>
                  </pic:blipFill>
                  <pic:spPr bwMode="auto">
                    <a:xfrm>
                      <a:off x="0" y="0"/>
                      <a:ext cx="3657600" cy="3395980"/>
                    </a:xfrm>
                    <a:prstGeom prst="rect">
                      <a:avLst/>
                    </a:prstGeom>
                  </pic:spPr>
                </pic:pic>
              </a:graphicData>
            </a:graphic>
          </wp:inline>
        </w:drawing>
      </w:r>
    </w:p>
    <w:p>
      <w:pPr>
        <w:pStyle w:val="Caption"/>
        <w:jc w:val="center"/>
        <w:rPr/>
      </w:pPr>
      <w:bookmarkStart w:id="4" w:name="_Toc236146717"/>
      <w:r>
        <w:rPr/>
        <w:t xml:space="preserve">Figure </w:t>
      </w:r>
      <w:r>
        <w:rPr/>
        <w:fldChar w:fldCharType="begin"/>
      </w:r>
      <w:r>
        <w:rPr/>
        <w:instrText xml:space="preserve"> SEQ Figure \* ARABIC </w:instrText>
      </w:r>
      <w:r>
        <w:rPr/>
        <w:fldChar w:fldCharType="separate"/>
      </w:r>
      <w:r>
        <w:rPr/>
        <w:t>1</w:t>
      </w:r>
      <w:r>
        <w:rPr/>
        <w:fldChar w:fldCharType="end"/>
      </w:r>
      <w:r>
        <w:rPr/>
        <w:t xml:space="preserve">: </w:t>
      </w:r>
      <w:r>
        <w:rPr>
          <w:b/>
          <w:bCs/>
          <w:i w:val="false"/>
          <w:iCs w:val="false"/>
        </w:rPr>
        <w:t>Pie Chart illustrating 88% Cloud Outsourcing vs Internal Infrastructure</w:t>
      </w:r>
      <w:bookmarkEnd w:id="4"/>
    </w:p>
    <w:p>
      <w:pPr>
        <w:pStyle w:val="Normal"/>
        <w:jc w:val="center"/>
        <w:rPr>
          <w:i/>
          <w:i/>
          <w:iCs/>
        </w:rPr>
      </w:pPr>
      <w:r>
        <w:rPr>
          <w:i/>
          <w:iCs/>
        </w:rPr>
        <w:t>(Source: Self-developed)</w:t>
      </w:r>
    </w:p>
    <w:p>
      <w:pPr>
        <w:pStyle w:val="Normal"/>
        <w:rPr/>
      </w:pPr>
      <w:r>
        <w:rPr/>
        <w:t xml:space="preserve">AeroLink Logistics (ALL) demonstrates a misalignment in which its entire security position resembles nothing of its quick technological rise. In order to understand the root causes of the various data breaches that have had recently, it is very important to categorise the vulnerabilities in terms of governance, compliance and operational aspects in the case of AeroLink. </w:t>
      </w:r>
    </w:p>
    <w:p>
      <w:pPr>
        <w:pStyle w:val="Caption"/>
        <w:rPr>
          <w:b/>
          <w:bCs/>
          <w:i w:val="false"/>
          <w:i w:val="false"/>
          <w:iCs w:val="false"/>
        </w:rPr>
      </w:pPr>
      <w:bookmarkStart w:id="5" w:name="_Toc236146707"/>
      <w:r>
        <w:rPr/>
        <w:t xml:space="preserve">Table </w:t>
      </w:r>
      <w:r>
        <w:rPr/>
        <w:fldChar w:fldCharType="begin"/>
      </w:r>
      <w:r>
        <w:rPr/>
        <w:instrText xml:space="preserve"> SEQ Table \* ARABIC </w:instrText>
      </w:r>
      <w:r>
        <w:rPr/>
        <w:fldChar w:fldCharType="separate"/>
      </w:r>
      <w:r>
        <w:rPr/>
        <w:t>2</w:t>
      </w:r>
      <w:r>
        <w:rPr/>
        <w:fldChar w:fldCharType="end"/>
      </w:r>
      <w:r>
        <w:rPr/>
        <w:t xml:space="preserve">: </w:t>
      </w:r>
      <w:r>
        <w:rPr>
          <w:b/>
          <w:bCs/>
          <w:i w:val="false"/>
          <w:iCs w:val="false"/>
        </w:rPr>
        <w:t>Case Problem Analysis</w:t>
      </w:r>
      <w:bookmarkEnd w:id="5"/>
    </w:p>
    <w:tbl>
      <w:tblPr>
        <w:tblStyle w:val="GridTable4"/>
        <w:tblW w:w="9016" w:type="dxa"/>
        <w:jc w:val="left"/>
        <w:tblInd w:w="0" w:type="dxa"/>
        <w:tblLayout w:type="fixed"/>
        <w:tblCellMar>
          <w:top w:w="0" w:type="dxa"/>
          <w:left w:w="108" w:type="dxa"/>
          <w:bottom w:w="0" w:type="dxa"/>
          <w:right w:w="108" w:type="dxa"/>
        </w:tblCellMar>
        <w:tblLook w:val="04a0" w:noHBand="0" w:noVBand="1" w:firstColumn="1" w:lastRow="0" w:lastColumn="0" w:firstRow="1"/>
      </w:tblPr>
      <w:tblGrid>
        <w:gridCol w:w="1810"/>
        <w:gridCol w:w="3494"/>
        <w:gridCol w:w="3712"/>
      </w:tblGrid>
      <w:tr>
        <w:trPr>
          <w:cnfStyle w:val="100000000000" w:firstRow="1" w:lastRow="0" w:firstColumn="0" w:lastColumn="0" w:oddVBand="0" w:evenVBand="0" w:oddHBand="0" w:evenHBand="0" w:firstRowFirstColumn="0" w:firstRowLastColumn="0" w:lastRowFirstColumn="0" w:lastRowLastColumn="0"/>
        </w:trPr>
        <w:tc>
          <w:tcPr>
            <w:tcW w:w="1810" w:type="dxa"/>
            <w:cnfStyle w:val="001000000000" w:firstRow="0" w:lastRow="0" w:firstColumn="1" w:lastColumn="0" w:oddVBand="0" w:evenVBand="0" w:oddHBand="0" w:evenHBand="0" w:firstRowFirstColumn="0" w:firstRowLastColumn="0" w:lastRowFirstColumn="0" w:lastRowLastColumn="0"/>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16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Problem Area</w:t>
            </w:r>
          </w:p>
        </w:tc>
        <w:tc>
          <w:tcPr>
            <w:tcW w:w="3494" w:type="dxa"/>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160"/>
              <w:cnfStyle w:val="100000000000" w:firstRow="1" w:lastRow="0" w:firstColumn="0" w:lastColumn="0" w:oddVBand="0" w:evenVBand="0" w:oddHBand="0" w:evenHBand="0" w:firstRowFirstColumn="0" w:firstRowLastColumn="0" w:lastRowFirstColumn="0" w:lastRowLastColumn="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AeroLink Issue</w:t>
            </w:r>
          </w:p>
        </w:tc>
        <w:tc>
          <w:tcPr>
            <w:tcW w:w="3712" w:type="dxa"/>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160"/>
              <w:cnfStyle w:val="100000000000" w:firstRow="1" w:lastRow="0" w:firstColumn="0" w:lastColumn="0" w:oddVBand="0" w:evenVBand="0" w:oddHBand="0" w:evenHBand="0" w:firstRowFirstColumn="0" w:firstRowLastColumn="0" w:lastRowFirstColumn="0" w:lastRowLastColumn="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Risk Created</w:t>
            </w:r>
          </w:p>
        </w:tc>
      </w:tr>
      <w:tr>
        <w:trPr>
          <w:cnfStyle w:val="000000100000" w:firstRow="0" w:lastRow="0" w:firstColumn="0" w:lastColumn="0" w:oddVBand="0" w:evenVBand="0" w:oddHBand="1" w:evenHBand="0" w:firstRowFirstColumn="0" w:firstRowLastColumn="0" w:lastRowFirstColumn="0" w:lastRowLastColumn="0"/>
        </w:trPr>
        <w:tc>
          <w:tcPr>
            <w:tcW w:w="1810" w:type="dxa"/>
            <w:cnfStyle w:val="001000000000" w:firstRow="0" w:lastRow="0" w:firstColumn="1" w:lastColumn="0" w:oddVBand="0" w:evenVBand="0" w:oddHBand="0" w:evenHBand="0" w:firstRowFirstColumn="0" w:firstRowLastColumn="0" w:lastRowFirstColumn="0" w:lastRowLastColumn="0"/>
            <w:tcBorders/>
            <w:shd w:color="auto" w:fill="CCCCCC" w:themeFill="text1" w:themeFillTint="33" w:val="clear"/>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Governance</w:t>
            </w:r>
          </w:p>
        </w:tc>
        <w:tc>
          <w:tcPr>
            <w:tcW w:w="3494"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Lack of overall structure; lack of clear roles</w:t>
            </w:r>
          </w:p>
        </w:tc>
        <w:tc>
          <w:tcPr>
            <w:tcW w:w="3712"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There is a lack of accountability thus hindering consistent and strategic decision-making.</w:t>
            </w:r>
          </w:p>
        </w:tc>
      </w:tr>
      <w:tr>
        <w:trPr/>
        <w:tc>
          <w:tcPr>
            <w:tcW w:w="1810" w:type="dxa"/>
            <w:cnfStyle w:val="001000000000" w:firstRow="0" w:lastRow="0" w:firstColumn="1" w:lastColumn="0" w:oddVBand="0" w:evenVBand="0" w:oddHBand="0" w:evenHBand="0" w:firstRowFirstColumn="0" w:firstRowLastColumn="0" w:lastRowFirstColumn="0" w:lastRowLastColumn="0"/>
            <w:tcBorders/>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Compliance</w:t>
            </w:r>
          </w:p>
        </w:tc>
        <w:tc>
          <w:tcPr>
            <w:tcW w:w="3494"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An audit to GDPR and/or ISO 27001 is not carried out formally.</w:t>
            </w:r>
          </w:p>
        </w:tc>
        <w:tc>
          <w:tcPr>
            <w:tcW w:w="3712"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Exposure to extreme legal, financial and reputational exposures [2].</w:t>
            </w:r>
          </w:p>
        </w:tc>
      </w:tr>
      <w:tr>
        <w:trPr>
          <w:cnfStyle w:val="000000100000" w:firstRow="0" w:lastRow="0" w:firstColumn="0" w:lastColumn="0" w:oddVBand="0" w:evenVBand="0" w:oddHBand="1" w:evenHBand="0" w:firstRowFirstColumn="0" w:firstRowLastColumn="0" w:lastRowFirstColumn="0" w:lastRowLastColumn="0"/>
        </w:trPr>
        <w:tc>
          <w:tcPr>
            <w:tcW w:w="1810" w:type="dxa"/>
            <w:cnfStyle w:val="001000000000" w:firstRow="0" w:lastRow="0" w:firstColumn="1" w:lastColumn="0" w:oddVBand="0" w:evenVBand="0" w:oddHBand="0" w:evenHBand="0" w:firstRowFirstColumn="0" w:firstRowLastColumn="0" w:lastRowFirstColumn="0" w:lastRowLastColumn="0"/>
            <w:tcBorders/>
            <w:shd w:color="auto" w:fill="CCCCCC" w:themeFill="text1" w:themeFillTint="33" w:val="clear"/>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Cloud/Vendor Risk</w:t>
            </w:r>
          </w:p>
        </w:tc>
        <w:tc>
          <w:tcPr>
            <w:tcW w:w="3494"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Outsourcing of IT infrastructure using IaaS (66%)/SaaS (22%) products is at the levels of 88%.</w:t>
            </w:r>
          </w:p>
        </w:tc>
        <w:tc>
          <w:tcPr>
            <w:tcW w:w="3712"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Lack of control and visibility over third party security posture.</w:t>
            </w:r>
          </w:p>
        </w:tc>
      </w:tr>
      <w:tr>
        <w:trPr/>
        <w:tc>
          <w:tcPr>
            <w:tcW w:w="1810" w:type="dxa"/>
            <w:cnfStyle w:val="001000000000" w:firstRow="0" w:lastRow="0" w:firstColumn="1" w:lastColumn="0" w:oddVBand="0" w:evenVBand="0" w:oddHBand="0" w:evenHBand="0" w:firstRowFirstColumn="0" w:firstRowLastColumn="0" w:lastRowFirstColumn="0" w:lastRowLastColumn="0"/>
            <w:tcBorders/>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Access Control</w:t>
            </w:r>
          </w:p>
        </w:tc>
        <w:tc>
          <w:tcPr>
            <w:tcW w:w="3494"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Access from unmanaged devices globally</w:t>
            </w:r>
          </w:p>
        </w:tc>
        <w:tc>
          <w:tcPr>
            <w:tcW w:w="3712"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Integrate paths that are frictionless and lead inexorably to unauthorised access and/or data exfiltration.</w:t>
            </w:r>
          </w:p>
        </w:tc>
      </w:tr>
      <w:tr>
        <w:trPr>
          <w:cnfStyle w:val="000000100000" w:firstRow="0" w:lastRow="0" w:firstColumn="0" w:lastColumn="0" w:oddVBand="0" w:evenVBand="0" w:oddHBand="1" w:evenHBand="0" w:firstRowFirstColumn="0" w:firstRowLastColumn="0" w:lastRowFirstColumn="0" w:lastRowLastColumn="0"/>
        </w:trPr>
        <w:tc>
          <w:tcPr>
            <w:tcW w:w="1810" w:type="dxa"/>
            <w:cnfStyle w:val="001000000000" w:firstRow="0" w:lastRow="0" w:firstColumn="1" w:lastColumn="0" w:oddVBand="0" w:evenVBand="0" w:oddHBand="0" w:evenHBand="0" w:firstRowFirstColumn="0" w:firstRowLastColumn="0" w:lastRowFirstColumn="0" w:lastRowLastColumn="0"/>
            <w:tcBorders/>
            <w:shd w:color="auto" w:fill="CCCCCC" w:themeFill="text1" w:themeFillTint="33" w:val="clear"/>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Incident Response</w:t>
            </w:r>
          </w:p>
        </w:tc>
        <w:tc>
          <w:tcPr>
            <w:tcW w:w="3494"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Lately security incidents that have not seemed to be coordinated</w:t>
            </w:r>
          </w:p>
        </w:tc>
        <w:tc>
          <w:tcPr>
            <w:tcW w:w="3712"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Low efforts to contain threats and high risk of repeat events.</w:t>
            </w:r>
          </w:p>
        </w:tc>
      </w:tr>
      <w:tr>
        <w:trPr/>
        <w:tc>
          <w:tcPr>
            <w:tcW w:w="1810" w:type="dxa"/>
            <w:cnfStyle w:val="001000000000" w:firstRow="0" w:lastRow="0" w:firstColumn="1" w:lastColumn="0" w:oddVBand="0" w:evenVBand="0" w:oddHBand="0" w:evenHBand="0" w:firstRowFirstColumn="0" w:firstRowLastColumn="0" w:lastRowFirstColumn="0" w:lastRowLastColumn="0"/>
            <w:tcBorders/>
          </w:tcPr>
          <w:p>
            <w:pPr>
              <w:pStyle w:val="Normal"/>
              <w:widowControl/>
              <w:suppressAutoHyphens w:val="true"/>
              <w:spacing w:before="240" w:after="160"/>
              <w:rPr>
                <w:rFonts w:eastAsia="Calibri" w:cs=""/>
                <w:b/>
                <w:bCs/>
                <w:kern w:val="2"/>
                <w:szCs w:val="22"/>
                <w:lang w:val="en-IN" w:eastAsia="en-US" w:bidi="ar-SA"/>
              </w:rPr>
            </w:pPr>
            <w:r>
              <w:rPr>
                <w:rFonts w:eastAsia="Calibri" w:cs=""/>
                <w:b/>
                <w:bCs/>
                <w:kern w:val="2"/>
                <w:szCs w:val="22"/>
                <w:lang w:val="en-IN" w:eastAsia="en-US" w:bidi="ar-SA"/>
              </w:rPr>
              <w:t>Business Continuity</w:t>
            </w:r>
          </w:p>
        </w:tc>
        <w:tc>
          <w:tcPr>
            <w:tcW w:w="3494"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Limited formal membership continuity planning</w:t>
            </w:r>
          </w:p>
        </w:tc>
        <w:tc>
          <w:tcPr>
            <w:tcW w:w="3712"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Potential disruptions in operational services in global logistics [9].</w:t>
            </w:r>
          </w:p>
        </w:tc>
      </w:tr>
    </w:tbl>
    <w:p>
      <w:pPr>
        <w:pStyle w:val="Heading2"/>
        <w:rPr/>
      </w:pPr>
      <w:r>
        <w:rPr/>
        <w:t xml:space="preserve">3.1. Critical Analysis </w:t>
      </w:r>
    </w:p>
    <w:p>
      <w:pPr>
        <w:pStyle w:val="Normal"/>
        <w:rPr/>
      </w:pPr>
      <w:r>
        <w:rPr/>
        <w:t xml:space="preserve">As shown in </w:t>
      </w:r>
      <w:r>
        <w:rPr>
          <w:b/>
          <w:bCs/>
          <w:i/>
          <w:iCs/>
        </w:rPr>
        <w:t>Table 2</w:t>
      </w:r>
      <w:r>
        <w:rPr/>
        <w:t xml:space="preserve">, ALL's vulnerabilities are brought about by systemic failures of governance and management processes and not just isolated technical issues. The first and biggest problem is the lack of any kind of security composition. Security roles are not assigned, meaning that the organisation is leaderless, without the ability to actively manage security or to enforce Security Service Level Agreements (SLAs) by vendors [1]. </w:t>
      </w:r>
    </w:p>
    <w:p>
      <w:pPr>
        <w:pStyle w:val="Normal"/>
        <w:rPr/>
      </w:pPr>
      <w:r>
        <w:rPr/>
        <w:t xml:space="preserve">Additionally, ALL's use of outsourced cloud services and its allowing of remote access with unmanaged devices have effectively eliminated the network perimeter. It's easy to see that when they have no stringent access controls, no compliance management to overlook or audit this decentralised area, the effects of the recent PII and client shipment violations (disaster or not) was inevitable [2]. </w:t>
      </w:r>
    </w:p>
    <w:p>
      <w:pPr>
        <w:pStyle w:val="Heading1"/>
        <w:rPr/>
      </w:pPr>
      <w:bookmarkStart w:id="6" w:name="_Toc233718944"/>
      <w:r>
        <w:rPr/>
        <w:t>4. Framework Review and Comparison</w:t>
      </w:r>
      <w:bookmarkEnd w:id="6"/>
      <w:r>
        <w:rPr/>
        <w:t xml:space="preserve"> </w:t>
      </w:r>
    </w:p>
    <w:p>
      <w:pPr>
        <w:pStyle w:val="Normal"/>
        <w:rPr/>
      </w:pPr>
      <w:r>
        <w:rPr/>
        <w:t xml:space="preserve">These risks warrant systematic mitigation by clear-cut and outward facing policies such as Zero-Trust Network Access (ZTNA) and rigorous Information Security Policies (ISP), which follow known industry standards to address ALL's governance ructions. An ad hoc or patchy approach is not enough in the context of the highly complex operational environment of the organisation, which consists of high cloud outsourcing, pervasiveness of IoT sensors, and having to remotely access the organisation from all over the globe. </w:t>
      </w:r>
    </w:p>
    <w:p>
      <w:pPr>
        <w:pStyle w:val="Heading2"/>
        <w:rPr/>
      </w:pPr>
      <w:r>
        <w:rPr/>
        <w:t>4.1. Comparative Analysis of Security and Governance Frameworks</w:t>
      </w:r>
    </w:p>
    <w:p>
      <w:pPr>
        <w:pStyle w:val="Normal"/>
        <w:rPr/>
      </w:pPr>
      <w:r>
        <w:rPr>
          <w:b/>
          <w:bCs/>
          <w:i/>
          <w:iCs/>
        </w:rPr>
        <w:t>Table 3</w:t>
      </w:r>
      <w:r>
        <w:rPr/>
        <w:t xml:space="preserve"> compares four major frameworks for specific operational, technical and compliance demand of ALL. </w:t>
      </w:r>
    </w:p>
    <w:p>
      <w:pPr>
        <w:pStyle w:val="Caption"/>
        <w:rPr>
          <w:b/>
          <w:bCs/>
          <w:i w:val="false"/>
          <w:i w:val="false"/>
          <w:iCs w:val="false"/>
        </w:rPr>
      </w:pPr>
      <w:bookmarkStart w:id="7" w:name="_Toc236146708"/>
      <w:r>
        <w:rPr/>
        <w:t xml:space="preserve">Table </w:t>
      </w:r>
      <w:r>
        <w:rPr/>
        <w:fldChar w:fldCharType="begin"/>
      </w:r>
      <w:r>
        <w:rPr/>
        <w:instrText xml:space="preserve"> SEQ Table \* ARABIC </w:instrText>
      </w:r>
      <w:r>
        <w:rPr/>
        <w:fldChar w:fldCharType="separate"/>
      </w:r>
      <w:r>
        <w:rPr/>
        <w:t>3</w:t>
      </w:r>
      <w:r>
        <w:rPr/>
        <w:fldChar w:fldCharType="end"/>
      </w:r>
      <w:r>
        <w:rPr/>
        <w:t xml:space="preserve">: </w:t>
      </w:r>
      <w:r>
        <w:rPr>
          <w:b/>
          <w:bCs/>
          <w:i w:val="false"/>
          <w:iCs w:val="false"/>
        </w:rPr>
        <w:t>Comparative Analysis of Security Frameworks</w:t>
      </w:r>
      <w:bookmarkEnd w:id="7"/>
    </w:p>
    <w:tbl>
      <w:tblPr>
        <w:tblStyle w:val="GridTable7Colorful"/>
        <w:tblW w:w="9026" w:type="dxa"/>
        <w:jc w:val="left"/>
        <w:tblInd w:w="5" w:type="dxa"/>
        <w:tblLayout w:type="fixed"/>
        <w:tblCellMar>
          <w:top w:w="0" w:type="dxa"/>
          <w:left w:w="108" w:type="dxa"/>
          <w:bottom w:w="0" w:type="dxa"/>
          <w:right w:w="108" w:type="dxa"/>
        </w:tblCellMar>
        <w:tblLook w:val="04a0" w:noHBand="0" w:noVBand="1" w:firstColumn="1" w:lastRow="0" w:lastColumn="0" w:firstRow="1"/>
      </w:tblPr>
      <w:tblGrid>
        <w:gridCol w:w="1406"/>
        <w:gridCol w:w="2164"/>
        <w:gridCol w:w="2677"/>
        <w:gridCol w:w="2778"/>
      </w:tblGrid>
      <w:tr>
        <w:trPr>
          <w:cnfStyle w:val="100000000000" w:firstRow="1" w:lastRow="0" w:firstColumn="0" w:lastColumn="0" w:oddVBand="0" w:evenVBand="0" w:oddHBand="0" w:evenHBand="0" w:firstRowFirstColumn="0" w:firstRowLastColumn="0" w:lastRowFirstColumn="0" w:lastRowLastColumn="0"/>
        </w:trPr>
        <w:tc>
          <w:tcPr>
            <w:tcW w:w="1406" w:type="dxa"/>
            <w:cnfStyle w:val="001000000100" w:firstRow="0" w:lastRow="0" w:firstColumn="1" w:lastColumn="0" w:oddVBand="0" w:evenVBand="0" w:oddHBand="0" w:evenHBand="0" w:firstRowFirstColumn="1" w:firstRowLastColumn="0" w:lastRowFirstColumn="0" w:lastRowLastColumn="0"/>
            <w:tcBorders>
              <w:right w:val="nil"/>
            </w:tcBorders>
            <w:shd w:color="auto" w:fill="FFFFFF" w:themeFill="background1" w:val="clear"/>
          </w:tcPr>
          <w:p>
            <w:pPr>
              <w:pStyle w:val="Normal"/>
              <w:widowControl/>
              <w:suppressAutoHyphens w:val="true"/>
              <w:spacing w:before="240" w:after="160"/>
              <w:rPr>
                <w:rFonts w:eastAsia="Calibri" w:cs=""/>
                <w:b/>
                <w:bCs/>
                <w:i/>
                <w:i/>
                <w:iCs/>
                <w:color w:themeColor="text1" w:val="000000"/>
                <w:kern w:val="2"/>
                <w:szCs w:val="22"/>
                <w:lang w:val="en-IN" w:eastAsia="en-US" w:bidi="ar-SA"/>
              </w:rPr>
            </w:pPr>
            <w:r>
              <w:rPr>
                <w:rFonts w:eastAsia="Calibri" w:cs=""/>
                <w:b/>
                <w:bCs/>
                <w:i/>
                <w:iCs/>
                <w:color w:themeColor="text1" w:val="000000"/>
                <w:kern w:val="2"/>
                <w:szCs w:val="22"/>
                <w:lang w:val="en-IN" w:eastAsia="en-US" w:bidi="ar-SA"/>
              </w:rPr>
              <w:t>Framework</w:t>
            </w:r>
          </w:p>
        </w:tc>
        <w:tc>
          <w:tcPr>
            <w:tcW w:w="2164" w:type="dxa"/>
            <w:tcBorders>
              <w:left w:val="nil"/>
              <w:bottom w:val="nil"/>
              <w:right w:val="nil"/>
            </w:tcBorders>
            <w:shd w:color="auto" w:fill="FFFFFF" w:themeFill="background1" w:val="clear"/>
          </w:tcPr>
          <w:p>
            <w:pPr>
              <w:pStyle w:val="Normal"/>
              <w:widowControl/>
              <w:suppressAutoHyphens w:val="true"/>
              <w:spacing w:before="240" w:after="160"/>
              <w:cnfStyle w:val="100000000000" w:firstRow="1" w:lastRow="0" w:firstColumn="0" w:lastColumn="0" w:oddVBand="0" w:evenVBand="0" w:oddHBand="0" w:evenHBand="0" w:firstRowFirstColumn="0" w:firstRowLastColumn="0" w:lastRowFirstColumn="0" w:lastRowLastColumn="0"/>
              <w:rPr>
                <w:rFonts w:eastAsia="Calibri" w:cs=""/>
                <w:b/>
                <w:bCs/>
                <w:color w:themeColor="text1" w:val="000000"/>
                <w:kern w:val="2"/>
                <w:szCs w:val="22"/>
                <w:lang w:val="en-IN" w:eastAsia="en-US" w:bidi="ar-SA"/>
              </w:rPr>
            </w:pPr>
            <w:r>
              <w:rPr>
                <w:rFonts w:eastAsia="Calibri" w:cs=""/>
                <w:b/>
                <w:bCs/>
                <w:color w:themeColor="text1" w:val="000000"/>
                <w:kern w:val="2"/>
                <w:szCs w:val="22"/>
                <w:lang w:val="en-IN" w:eastAsia="en-US" w:bidi="ar-SA"/>
              </w:rPr>
              <w:t>Core Focus</w:t>
            </w:r>
          </w:p>
        </w:tc>
        <w:tc>
          <w:tcPr>
            <w:tcW w:w="2677" w:type="dxa"/>
            <w:tcBorders>
              <w:left w:val="nil"/>
              <w:bottom w:val="nil"/>
              <w:right w:val="nil"/>
            </w:tcBorders>
            <w:shd w:color="auto" w:fill="FFFFFF" w:themeFill="background1" w:val="clear"/>
          </w:tcPr>
          <w:p>
            <w:pPr>
              <w:pStyle w:val="Normal"/>
              <w:widowControl/>
              <w:suppressAutoHyphens w:val="true"/>
              <w:spacing w:before="240" w:after="160"/>
              <w:cnfStyle w:val="100000000000" w:firstRow="1" w:lastRow="0" w:firstColumn="0" w:lastColumn="0" w:oddVBand="0" w:evenVBand="0" w:oddHBand="0" w:evenHBand="0" w:firstRowFirstColumn="0" w:firstRowLastColumn="0" w:lastRowFirstColumn="0" w:lastRowLastColumn="0"/>
              <w:rPr>
                <w:rFonts w:eastAsia="Calibri" w:cs=""/>
                <w:b/>
                <w:bCs/>
                <w:color w:themeColor="text1" w:val="000000"/>
                <w:kern w:val="2"/>
                <w:szCs w:val="22"/>
                <w:lang w:val="en-IN" w:eastAsia="en-US" w:bidi="ar-SA"/>
              </w:rPr>
            </w:pPr>
            <w:r>
              <w:rPr>
                <w:rFonts w:eastAsia="Calibri" w:cs=""/>
                <w:b/>
                <w:bCs/>
                <w:color w:themeColor="text1" w:val="000000"/>
                <w:kern w:val="2"/>
                <w:szCs w:val="22"/>
                <w:lang w:val="en-IN" w:eastAsia="en-US" w:bidi="ar-SA"/>
              </w:rPr>
              <w:t>Strengths for AeroLink</w:t>
            </w:r>
          </w:p>
        </w:tc>
        <w:tc>
          <w:tcPr>
            <w:tcW w:w="2778" w:type="dxa"/>
            <w:tcBorders>
              <w:left w:val="nil"/>
              <w:bottom w:val="nil"/>
            </w:tcBorders>
            <w:shd w:color="auto" w:fill="FFFFFF" w:themeFill="background1" w:val="clear"/>
          </w:tcPr>
          <w:p>
            <w:pPr>
              <w:pStyle w:val="Normal"/>
              <w:widowControl/>
              <w:suppressAutoHyphens w:val="true"/>
              <w:spacing w:before="240" w:after="160"/>
              <w:cnfStyle w:val="100000000000" w:firstRow="1" w:lastRow="0" w:firstColumn="0" w:lastColumn="0" w:oddVBand="0" w:evenVBand="0" w:oddHBand="0" w:evenHBand="0" w:firstRowFirstColumn="0" w:firstRowLastColumn="0" w:lastRowFirstColumn="0" w:lastRowLastColumn="0"/>
              <w:rPr>
                <w:rFonts w:eastAsia="Calibri" w:cs=""/>
                <w:b/>
                <w:bCs/>
                <w:color w:themeColor="text1" w:val="000000"/>
                <w:kern w:val="2"/>
                <w:szCs w:val="22"/>
                <w:lang w:val="en-IN" w:eastAsia="en-US" w:bidi="ar-SA"/>
              </w:rPr>
            </w:pPr>
            <w:r>
              <w:rPr>
                <w:rFonts w:eastAsia="Calibri" w:cs=""/>
                <w:b/>
                <w:bCs/>
                <w:color w:themeColor="text1" w:val="000000"/>
                <w:kern w:val="2"/>
                <w:szCs w:val="22"/>
                <w:lang w:val="en-IN" w:eastAsia="en-US" w:bidi="ar-SA"/>
              </w:rPr>
              <w:t>Limitations for AeroLink</w:t>
            </w:r>
          </w:p>
        </w:tc>
      </w:tr>
      <w:tr>
        <w:trPr>
          <w:cnfStyle w:val="000000100000" w:firstRow="0" w:lastRow="0" w:firstColumn="0" w:lastColumn="0" w:oddVBand="0" w:evenVBand="0" w:oddHBand="1" w:evenHBand="0" w:firstRowFirstColumn="0" w:firstRowLastColumn="0" w:lastRowFirstColumn="0" w:lastRowLastColumn="0"/>
        </w:trPr>
        <w:tc>
          <w:tcPr>
            <w:tcW w:w="1406" w:type="dxa"/>
            <w:cnfStyle w:val="001000000000" w:firstRow="0" w:lastRow="0" w:firstColumn="1" w:lastColumn="0" w:oddVBand="0" w:evenVBand="0" w:oddHBand="0" w:evenHBand="0" w:firstRowFirstColumn="0" w:firstRowLastColumn="0" w:lastRowFirstColumn="0" w:lastRowLastColumn="0"/>
            <w:tcBorders>
              <w:top w:val="nil"/>
              <w:bottom w:val="nil"/>
              <w:right w:val="nil"/>
            </w:tcBorders>
            <w:shd w:color="auto" w:fill="FFFFFF" w:themeFill="background1" w:val="clear"/>
          </w:tcPr>
          <w:p>
            <w:pPr>
              <w:pStyle w:val="Normal"/>
              <w:widowControl/>
              <w:suppressAutoHyphens w:val="true"/>
              <w:spacing w:before="240" w:after="160"/>
              <w:rPr>
                <w:rFonts w:eastAsia="Calibri" w:cs=""/>
                <w:i/>
                <w:i/>
                <w:iCs/>
                <w:color w:themeColor="text1" w:val="000000"/>
                <w:kern w:val="2"/>
                <w:szCs w:val="22"/>
                <w:lang w:val="en-IN" w:eastAsia="en-US" w:bidi="ar-SA"/>
              </w:rPr>
            </w:pPr>
            <w:r>
              <w:rPr>
                <w:rFonts w:eastAsia="Calibri" w:cs=""/>
                <w:b/>
                <w:bCs/>
                <w:i/>
                <w:iCs/>
                <w:color w:themeColor="text1" w:val="000000"/>
                <w:kern w:val="2"/>
                <w:szCs w:val="22"/>
                <w:lang w:val="en-IN" w:eastAsia="en-US" w:bidi="ar-SA"/>
              </w:rPr>
              <w:t>NIST CSF 2.0</w:t>
            </w:r>
          </w:p>
        </w:tc>
        <w:tc>
          <w:tcPr>
            <w:tcW w:w="2164"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Cybersecurity risk management lifecycle (Govern, Identify, Protect, Detect, Respond, Recover).</w:t>
            </w:r>
          </w:p>
        </w:tc>
        <w:tc>
          <w:tcPr>
            <w:tcW w:w="2677"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Very suitable for having a risk-driven, proactive approach [12]. The new "Govern" function is an effort to directly target ALL's leadership gap.</w:t>
            </w:r>
          </w:p>
        </w:tc>
        <w:tc>
          <w:tcPr>
            <w:tcW w:w="2778"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It is not a certifiable standard for regulatory audit; it is a voluntary framework based on technical outcome.</w:t>
            </w:r>
          </w:p>
        </w:tc>
      </w:tr>
      <w:tr>
        <w:trPr/>
        <w:tc>
          <w:tcPr>
            <w:tcW w:w="1406" w:type="dxa"/>
            <w:cnfStyle w:val="001000000000" w:firstRow="0" w:lastRow="0" w:firstColumn="1" w:lastColumn="0" w:oddVBand="0" w:evenVBand="0" w:oddHBand="0" w:evenHBand="0" w:firstRowFirstColumn="0" w:firstRowLastColumn="0" w:lastRowFirstColumn="0" w:lastRowLastColumn="0"/>
            <w:tcBorders>
              <w:top w:val="nil"/>
              <w:bottom w:val="nil"/>
              <w:right w:val="nil"/>
            </w:tcBorders>
            <w:shd w:color="auto" w:fill="FFFFFF" w:themeFill="background1" w:val="clear"/>
          </w:tcPr>
          <w:p>
            <w:pPr>
              <w:pStyle w:val="Normal"/>
              <w:widowControl/>
              <w:suppressAutoHyphens w:val="true"/>
              <w:spacing w:before="240" w:after="160"/>
              <w:rPr>
                <w:rFonts w:eastAsia="Calibri" w:cs=""/>
                <w:i/>
                <w:i/>
                <w:iCs/>
                <w:color w:themeColor="text1" w:val="000000"/>
                <w:kern w:val="2"/>
                <w:szCs w:val="22"/>
                <w:lang w:val="en-IN" w:eastAsia="en-US" w:bidi="ar-SA"/>
              </w:rPr>
            </w:pPr>
            <w:r>
              <w:rPr>
                <w:rFonts w:eastAsia="Calibri" w:cs=""/>
                <w:b/>
                <w:bCs/>
                <w:i/>
                <w:iCs/>
                <w:color w:themeColor="text1" w:val="000000"/>
                <w:kern w:val="2"/>
                <w:szCs w:val="22"/>
                <w:lang w:val="en-IN" w:eastAsia="en-US" w:bidi="ar-SA"/>
              </w:rPr>
              <w:t>ISO/IEC 27001</w:t>
            </w:r>
          </w:p>
        </w:tc>
        <w:tc>
          <w:tcPr>
            <w:tcW w:w="2164"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Requirements and controls of Information Security Management System (ISMS).</w:t>
            </w:r>
          </w:p>
        </w:tc>
        <w:tc>
          <w:tcPr>
            <w:tcW w:w="2677"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Delivers a formal framework that is auditable, essential to allow compliance with GDPR and to demonstrate security resilient to international logistics clients [3].</w:t>
            </w:r>
          </w:p>
        </w:tc>
        <w:tc>
          <w:tcPr>
            <w:tcW w:w="2778"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Can be extremely prescriptive and documentation oriented and may over tax ALL's current under developed security team.</w:t>
            </w:r>
          </w:p>
        </w:tc>
      </w:tr>
      <w:tr>
        <w:trPr>
          <w:cnfStyle w:val="000000100000" w:firstRow="0" w:lastRow="0" w:firstColumn="0" w:lastColumn="0" w:oddVBand="0" w:evenVBand="0" w:oddHBand="1" w:evenHBand="0" w:firstRowFirstColumn="0" w:firstRowLastColumn="0" w:lastRowFirstColumn="0" w:lastRowLastColumn="0"/>
        </w:trPr>
        <w:tc>
          <w:tcPr>
            <w:tcW w:w="1406" w:type="dxa"/>
            <w:cnfStyle w:val="001000000000" w:firstRow="0" w:lastRow="0" w:firstColumn="1" w:lastColumn="0" w:oddVBand="0" w:evenVBand="0" w:oddHBand="0" w:evenHBand="0" w:firstRowFirstColumn="0" w:firstRowLastColumn="0" w:lastRowFirstColumn="0" w:lastRowLastColumn="0"/>
            <w:tcBorders>
              <w:top w:val="nil"/>
              <w:bottom w:val="nil"/>
              <w:right w:val="nil"/>
            </w:tcBorders>
            <w:shd w:color="auto" w:fill="FFFFFF" w:themeFill="background1" w:val="clear"/>
          </w:tcPr>
          <w:p>
            <w:pPr>
              <w:pStyle w:val="Normal"/>
              <w:widowControl/>
              <w:suppressAutoHyphens w:val="true"/>
              <w:spacing w:before="240" w:after="160"/>
              <w:rPr>
                <w:rFonts w:eastAsia="Calibri" w:cs=""/>
                <w:i/>
                <w:i/>
                <w:iCs/>
                <w:color w:themeColor="text1" w:val="000000"/>
                <w:kern w:val="2"/>
                <w:szCs w:val="22"/>
                <w:lang w:val="en-IN" w:eastAsia="en-US" w:bidi="ar-SA"/>
              </w:rPr>
            </w:pPr>
            <w:r>
              <w:rPr>
                <w:rFonts w:eastAsia="Calibri" w:cs=""/>
                <w:b/>
                <w:bCs/>
                <w:i/>
                <w:iCs/>
                <w:color w:themeColor="text1" w:val="000000"/>
                <w:kern w:val="2"/>
                <w:szCs w:val="22"/>
                <w:lang w:val="en-IN" w:eastAsia="en-US" w:bidi="ar-SA"/>
              </w:rPr>
              <w:t>COBIT 2019</w:t>
            </w:r>
          </w:p>
        </w:tc>
        <w:tc>
          <w:tcPr>
            <w:tcW w:w="2164"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Enterprises governance and management of information and technology.</w:t>
            </w:r>
          </w:p>
        </w:tc>
        <w:tc>
          <w:tcPr>
            <w:tcW w:w="2677"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Hosts responsibility within boards, clarifies decision making and introduces RACI matrices, addresses ALL's responsibility problem [7].</w:t>
            </w:r>
          </w:p>
        </w:tc>
        <w:tc>
          <w:tcPr>
            <w:tcW w:w="2778"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Not as technical in terms of implementation of cyber security; more management and strategic level.</w:t>
            </w:r>
          </w:p>
        </w:tc>
      </w:tr>
      <w:tr>
        <w:trPr/>
        <w:tc>
          <w:tcPr>
            <w:tcW w:w="1406" w:type="dxa"/>
            <w:cnfStyle w:val="001000000000" w:firstRow="0" w:lastRow="0" w:firstColumn="1" w:lastColumn="0" w:oddVBand="0" w:evenVBand="0" w:oddHBand="0" w:evenHBand="0" w:firstRowFirstColumn="0" w:firstRowLastColumn="0" w:lastRowFirstColumn="0" w:lastRowLastColumn="0"/>
            <w:tcBorders>
              <w:top w:val="nil"/>
              <w:right w:val="nil"/>
            </w:tcBorders>
            <w:shd w:color="auto" w:fill="FFFFFF" w:themeFill="background1" w:val="clear"/>
          </w:tcPr>
          <w:p>
            <w:pPr>
              <w:pStyle w:val="Normal"/>
              <w:widowControl/>
              <w:suppressAutoHyphens w:val="true"/>
              <w:spacing w:before="240" w:after="160"/>
              <w:rPr>
                <w:rFonts w:eastAsia="Calibri" w:cs=""/>
                <w:i/>
                <w:i/>
                <w:iCs/>
                <w:color w:themeColor="text1" w:val="000000"/>
                <w:kern w:val="2"/>
                <w:szCs w:val="22"/>
                <w:lang w:val="en-IN" w:eastAsia="en-US" w:bidi="ar-SA"/>
              </w:rPr>
            </w:pPr>
            <w:r>
              <w:rPr>
                <w:rFonts w:eastAsia="Calibri" w:cs=""/>
                <w:b/>
                <w:bCs/>
                <w:i/>
                <w:iCs/>
                <w:color w:themeColor="text1" w:val="000000"/>
                <w:kern w:val="2"/>
                <w:szCs w:val="22"/>
                <w:lang w:val="en-IN" w:eastAsia="en-US" w:bidi="ar-SA"/>
              </w:rPr>
              <w:t>ITIL 4</w:t>
            </w:r>
          </w:p>
        </w:tc>
        <w:tc>
          <w:tcPr>
            <w:tcW w:w="2164"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IT Service Management (ITSM) and relating IT services to business needs.</w:t>
            </w:r>
          </w:p>
        </w:tc>
        <w:tc>
          <w:tcPr>
            <w:tcW w:w="2677"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Critical for need to manage ALL's 88% outsourced IaaS/SaaS Applications Environment in terms of robust Service Level Agreement (SLA) and Incident Management [8].</w:t>
            </w:r>
          </w:p>
        </w:tc>
        <w:tc>
          <w:tcPr>
            <w:tcW w:w="2778"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color w:themeColor="text1" w:val="000000"/>
                <w:kern w:val="2"/>
                <w:szCs w:val="22"/>
                <w:lang w:val="en-IN" w:eastAsia="en-US" w:bidi="ar-SA"/>
              </w:rPr>
            </w:pPr>
            <w:r>
              <w:rPr>
                <w:rFonts w:eastAsia="Calibri" w:cs=""/>
                <w:color w:themeColor="text1" w:val="000000"/>
                <w:kern w:val="2"/>
                <w:szCs w:val="22"/>
                <w:lang w:val="en-IN" w:eastAsia="en-US" w:bidi="ar-SA"/>
              </w:rPr>
              <w:t>It is not a complete cyber security solution; more soared on service delivery, vendor continuity and operational efficiency instead of advanced threat protection.</w:t>
            </w:r>
          </w:p>
        </w:tc>
      </w:tr>
    </w:tbl>
    <w:p>
      <w:pPr>
        <w:pStyle w:val="Heading2"/>
        <w:rPr/>
      </w:pPr>
      <w:r>
        <w:rPr/>
        <w:t>4.2. Evaluation of Frameworks in AeroLink’s Context</w:t>
      </w:r>
    </w:p>
    <w:p>
      <w:pPr>
        <w:pStyle w:val="Normal"/>
        <w:rPr/>
      </w:pPr>
      <w:r>
        <w:rPr>
          <w:b/>
          <w:bCs/>
        </w:rPr>
        <w:t>NIST CSF 2.0:</w:t>
      </w:r>
      <w:r>
        <w:rPr/>
        <w:t xml:space="preserve"> NIST CSF 2.0 would be well suited for ALL as it offers a lifecycle methodology of cyber security [4]. ALL can start to define the type of IoT assets it owns, and establish protection for unmanaged IoT assets, as well as a formal structured incident response plan with its operation defined by the core functions: Govern, Identify, Protect, Detect, Respond, and Recover. But as NIST emphasises risk-based outcomes over formally-defined compliance to checklists, it cannot meet ALL's requirement for formal, external audits on compliance with European data protection standards [5]. </w:t>
      </w:r>
    </w:p>
    <w:p>
      <w:pPr>
        <w:pStyle w:val="Normal"/>
        <w:rPr/>
      </w:pPr>
      <w:r>
        <w:rPr>
          <w:b/>
          <w:bCs/>
        </w:rPr>
        <w:t>ISO/IEC 27001:</w:t>
      </w:r>
      <w:r>
        <w:rPr/>
        <w:t xml:space="preserve"> ISO/IEC 27001 is essential for ALL to effectively address the legal, financial and reputational threat of future data breaches. It requires the establishment of a structured ISMS with extensive risk treatment plans, regular improvement cycles, and tangible security policies that can be measured [6]. This framework will give ALL the globally required auditable evidence for its clients in the supply chain. The biggest constraint is its inflexibility to operate, if for an organisation having a low Current State level, stupidly going ISO 27001 whole-hearted can lead to serious Administration fatigue. </w:t>
      </w:r>
    </w:p>
    <w:p>
      <w:pPr>
        <w:pStyle w:val="Normal"/>
        <w:rPr/>
      </w:pPr>
      <w:r>
        <w:rPr>
          <w:b/>
          <w:bCs/>
        </w:rPr>
        <w:t>COBIT 2019:</w:t>
      </w:r>
      <w:r>
        <w:rPr/>
        <w:t xml:space="preserve"> The biggest problem is a lack of coordination and complete responsibility attributed to areas that have continually failed in security in the case of ALL. COBIT 2019 has addressed this challenge directly and provides a gap between executive leadership and day to day IT operations [7]. It has the governance mechanisms in place to delegated accountability, to make security an enterprise risk rather than an ad-hoc IT issue. </w:t>
      </w:r>
    </w:p>
    <w:p>
      <w:pPr>
        <w:pStyle w:val="Normal"/>
        <w:rPr/>
      </w:pPr>
      <w:r>
        <w:rPr>
          <w:b/>
          <w:bCs/>
        </w:rPr>
        <w:t>ITIL 4:</w:t>
      </w:r>
      <w:r>
        <w:rPr/>
        <w:t xml:space="preserve"> With 88% of ALL's infrastructure being outsourcing and outside vendors it is essential to use ITIL in vendor and service management. ITIL can give the operating disciplines to apply stringent security terms in SLAs, control third party incident report turnaround times and ensure business continuity if a cloud host is down in one location and not in others [8]. </w:t>
      </w:r>
    </w:p>
    <w:p>
      <w:pPr>
        <w:pStyle w:val="Heading2"/>
        <w:rPr/>
      </w:pPr>
      <w:r>
        <w:rPr/>
        <w:t>4.3. Necessity of a Hybrid Model</w:t>
      </w:r>
    </w:p>
    <w:p>
      <w:pPr>
        <w:pStyle w:val="Normal"/>
        <w:rPr/>
      </w:pPr>
      <w:r>
        <w:rPr/>
        <w:t xml:space="preserve">ALL's generally simple structured vulnerabilities cannot be solved with a single framework. A critical look at only one of the three points shows that gaps will remain if only one standard is being adhered to, either in technical defence, legal compliance or in vendor oversight. For example, simply using only NIST CSF would make sure that IoT devices are detected as threatened, but wouldn't necessarily provide the certifiable auditing trails needed under GDPR [9]. On the other hand, producing tenable internal policies through ISO27001 alone can fail to provide the mechanisms for managing vendors in a cloud infrastructure that has an 88% outsourcing portion [10]. </w:t>
      </w:r>
    </w:p>
    <w:p>
      <w:pPr>
        <w:pStyle w:val="Normal"/>
        <w:rPr/>
      </w:pPr>
      <w:r>
        <w:rPr/>
        <w:t>In the case of ALL it needs an integrated hybrid model. The organisation should leverage COBIT 2019 to establish a 'top down' governance and accountabilities and elevate the importance of security to the board-level rather than being an 'orphaned' IT task [11]. This executive governance layer should turn lead and direct an ISMS (information security management system) in line with the ISO 27001, formalise documentation and make sure that data privacy and comply with data privacy laws are kept up. The regulatory framework landscape can aid frontline threat management in aligning itself with NIST CSF 2.0 as a playbook for operation, and making technical decisions to ensure assault is neutralised with unmanaged remote devices and IoT sensors secured [12]. Last but not least, ITIL needs to be integrated to help ensure that the cloud vendor SLA will be managed on the day-to-day basis, incident responses will be streamlined, and that a good BCM implementation is in place [13].</w:t>
      </w:r>
    </w:p>
    <w:p>
      <w:pPr>
        <w:pStyle w:val="Heading1"/>
        <w:rPr/>
      </w:pPr>
      <w:bookmarkStart w:id="8" w:name="_Toc233718945"/>
      <w:r>
        <w:rPr/>
        <w:t>5. Proposed Security Governance Model</w:t>
      </w:r>
      <w:bookmarkEnd w:id="8"/>
      <w:r>
        <w:rPr/>
        <w:t xml:space="preserve"> </w:t>
      </w:r>
    </w:p>
    <w:p>
      <w:pPr>
        <w:pStyle w:val="Normal"/>
        <w:jc w:val="center"/>
        <w:rPr/>
      </w:pPr>
      <w:r>
        <w:rPr/>
        <w:drawing>
          <wp:inline distT="0" distB="0" distL="0" distR="0">
            <wp:extent cx="4969510" cy="5635625"/>
            <wp:effectExtent l="0" t="0" r="0" b="0"/>
            <wp:docPr id="3"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
                    <pic:cNvPicPr>
                      <a:picLocks noChangeAspect="1" noChangeArrowheads="1"/>
                    </pic:cNvPicPr>
                  </pic:nvPicPr>
                  <pic:blipFill>
                    <a:blip r:embed="rId4"/>
                    <a:srcRect l="0" t="8240" r="0" b="0"/>
                    <a:stretch>
                      <a:fillRect/>
                    </a:stretch>
                  </pic:blipFill>
                  <pic:spPr bwMode="auto">
                    <a:xfrm>
                      <a:off x="0" y="0"/>
                      <a:ext cx="4969510" cy="5635625"/>
                    </a:xfrm>
                    <a:prstGeom prst="rect">
                      <a:avLst/>
                    </a:prstGeom>
                  </pic:spPr>
                </pic:pic>
              </a:graphicData>
            </a:graphic>
          </wp:inline>
        </w:drawing>
      </w:r>
    </w:p>
    <w:p>
      <w:pPr>
        <w:pStyle w:val="Caption"/>
        <w:jc w:val="center"/>
        <w:rPr>
          <w:b/>
          <w:bCs/>
          <w:i w:val="false"/>
          <w:i w:val="false"/>
          <w:iCs w:val="false"/>
        </w:rPr>
      </w:pPr>
      <w:bookmarkStart w:id="9" w:name="_Toc236146718"/>
      <w:r>
        <w:rPr/>
        <w:t xml:space="preserve">Figure </w:t>
      </w:r>
      <w:r>
        <w:rPr/>
        <w:fldChar w:fldCharType="begin"/>
      </w:r>
      <w:r>
        <w:rPr/>
        <w:instrText xml:space="preserve"> SEQ Figure \* ARABIC </w:instrText>
      </w:r>
      <w:r>
        <w:rPr/>
        <w:fldChar w:fldCharType="separate"/>
      </w:r>
      <w:r>
        <w:rPr/>
        <w:t>2</w:t>
      </w:r>
      <w:r>
        <w:rPr/>
        <w:fldChar w:fldCharType="end"/>
      </w:r>
      <w:r>
        <w:rPr/>
        <w:t xml:space="preserve">: </w:t>
      </w:r>
      <w:r>
        <w:rPr>
          <w:b/>
          <w:bCs/>
          <w:i w:val="false"/>
          <w:iCs w:val="false"/>
        </w:rPr>
        <w:t>Flowchart demonstrating the AI-Enhanced 6-Layer Security Governance Model</w:t>
      </w:r>
      <w:bookmarkEnd w:id="9"/>
    </w:p>
    <w:p>
      <w:pPr>
        <w:pStyle w:val="Normal"/>
        <w:jc w:val="center"/>
        <w:rPr>
          <w:i/>
          <w:i/>
          <w:iCs/>
        </w:rPr>
      </w:pPr>
      <w:r>
        <w:rPr>
          <w:i/>
          <w:iCs/>
        </w:rPr>
        <w:t>(Source: Self-developed)</w:t>
      </w:r>
    </w:p>
    <w:p>
      <w:pPr>
        <w:pStyle w:val="Normal"/>
        <w:rPr/>
      </w:pPr>
      <w:r>
        <w:rPr/>
        <w:t>This report introduces the AeroLink Integrated Security Governance and Compliance Model (AISGCM) as a solution to the issues of security and governance identified at AeroLink Logistics (ALL). The model comprises of a blend of recognized models such as those of COBIT 2019 (for Governance), NIST (Cybersecurity Framework) CSF 2.0 (for Security Operations), ISO/IEC 27001 (for Information Security Management) and ITIL (for Service Management). These built-in platforms employ AI-powered security management models, as opposed to the reactive IT operations of a traditional ALL, and cover everything from cloud deployments, vendor outsourcing to remote deployments. [14].</w:t>
      </w:r>
    </w:p>
    <w:p>
      <w:pPr>
        <w:pStyle w:val="Normal"/>
        <w:rPr/>
      </w:pPr>
      <w:r>
        <w:rPr/>
        <w:t>The model is composed of six layers that are interdependent and each of them represents a specific area of governance, security and compliance.</w:t>
      </w:r>
    </w:p>
    <w:p>
      <w:pPr>
        <w:pStyle w:val="Normal"/>
        <w:rPr/>
      </w:pPr>
      <w:r>
        <w:rPr>
          <w:b/>
          <w:bCs/>
        </w:rPr>
        <w:t>1. Governance Layer</w:t>
      </w:r>
      <w:r>
        <w:rPr/>
        <w:t>: This layer focuses on taking care of accountability at the organisational level, such as having an organisation-level security governance committee, a Chief Information Security Officer (CISO) and a Data Protection Officer (DPO), and having organisation-wide security policies. The roles and responsibilities are defined in relation to security as per the COBIT 2019 principles and the security objectives are correlated with the overall business and logistics of ALL [15].</w:t>
      </w:r>
    </w:p>
    <w:p>
      <w:pPr>
        <w:pStyle w:val="Normal"/>
        <w:rPr/>
      </w:pPr>
      <w:r>
        <w:rPr>
          <w:b/>
          <w:bCs/>
        </w:rPr>
        <w:t>2. Risk Management Layer</w:t>
      </w:r>
      <w:r>
        <w:rPr/>
        <w:t>: This layer focuses on the identification and management of risk, but not at the incident level. This is the point at which they have an up-to-date record of all their IT resources, determine all sensitive data like customer personally identifiable information (PII), and conduct regular vendor risk assessments. The organisation maintains a risk register; risk treatment plans are developed and conform to the ISO/IEC 27001 risk treatment plan format and are used as a basis for this continual control and improvement [16].</w:t>
      </w:r>
    </w:p>
    <w:p>
      <w:pPr>
        <w:pStyle w:val="Normal"/>
        <w:rPr/>
      </w:pPr>
      <w:r>
        <w:rPr>
          <w:b/>
          <w:bCs/>
        </w:rPr>
        <w:t>3. Control Layer</w:t>
      </w:r>
      <w:r>
        <w:rPr/>
        <w:t xml:space="preserve">: ALL's cloud infrastructure and access are secured by technical controls that incorporate predictive anomaly detection using AI. This layer incorporates various 'Protect' and 'Detect' elements from the NIST Cybersecurity Framework (CSF) 2.0, such as Multi-Factor Authentication (MFA), end-to-end encryption of data related to shipping, strict security protocols for unmanaged devices, Security Information and Event Management (SIEM) monitoring, and defined procedures for handling possible incidents. These controls not only aid in the identification of threats but also provide added protection for access, reduce the possibility of data breaches in the future, and make security more solid [17]. </w:t>
      </w:r>
    </w:p>
    <w:p>
      <w:pPr>
        <w:pStyle w:val="Normal"/>
        <w:rPr/>
      </w:pPr>
      <w:r>
        <w:rPr>
          <w:b/>
          <w:bCs/>
        </w:rPr>
        <w:t>4. Compliance Layer:</w:t>
      </w:r>
      <w:r>
        <w:rPr/>
        <w:t xml:space="preserve"> This layer buys some legal and financial protection for the risks on this front revealed by the recent violations, regularising the regulatory alignment of ALL. This involves carrying out an urgent gap analysis for ISO 27001 compliance, GDPR audits to confirm that all processing of PII (Personally Identifiable Information) is lawful, supplier compliance audits and streamlining evidence gathering for external auditors [15]. </w:t>
      </w:r>
    </w:p>
    <w:p>
      <w:pPr>
        <w:pStyle w:val="Normal"/>
        <w:rPr/>
      </w:pPr>
      <w:r>
        <w:rPr>
          <w:b/>
          <w:bCs/>
        </w:rPr>
        <w:t>5. Vendor/SLA Management Layer:</w:t>
      </w:r>
      <w:r>
        <w:rPr/>
        <w:t xml:space="preserve"> Because 88% of ALL's IT infrastructure runs on the outside of the enterprise on its IaaS and SaaS providers, third-party risk poses an attack vector of greatest concern to ALL. Within this layer, ITIL practices ensure that there are tight security terms in software vendor contracts, vendor breach notification timeframes, right to audit clauses, encryption requirements and vendor subcontractor control mechanisms [13]. </w:t>
      </w:r>
    </w:p>
    <w:p>
      <w:pPr>
        <w:pStyle w:val="Normal"/>
        <w:rPr/>
      </w:pPr>
      <w:r>
        <w:rPr>
          <w:b/>
          <w:bCs/>
        </w:rPr>
        <w:t>6. Monitoring and Improvement Layer:</w:t>
      </w:r>
      <w:r>
        <w:rPr/>
        <w:t xml:space="preserve"> Security is an ongoing process. This layer adds a level of constant resilience, with the creation of Key Performance Indicators (KPIs), regular In-house Audits, occurrence ‘lessons learned' and a cycle Policy Review mechanism to successfully adjust to new global compliance requirements [9]. </w:t>
      </w:r>
    </w:p>
    <w:p>
      <w:pPr>
        <w:pStyle w:val="Heading2"/>
        <w:rPr/>
      </w:pPr>
      <w:r>
        <w:rPr/>
        <w:t>5.1. Practical Application: Risk, Control, and Implementation Mapping</w:t>
      </w:r>
    </w:p>
    <w:p>
      <w:pPr>
        <w:pStyle w:val="Normal"/>
        <w:rPr/>
      </w:pPr>
      <w:r>
        <w:rPr/>
        <w:t xml:space="preserve">This section sketches a strategic timeline of the controls needed to address these risks as they are detailed in the following tables and that will be necessary to accomplish ALL's remediation to operationalise the AISGCM. </w:t>
      </w:r>
    </w:p>
    <w:p>
      <w:pPr>
        <w:pStyle w:val="Normal"/>
        <w:rPr>
          <w:b/>
          <w:bCs/>
        </w:rPr>
      </w:pPr>
      <w:r>
        <w:rPr>
          <w:b/>
          <w:bCs/>
        </w:rPr>
        <w:t>Risk Register</w:t>
      </w:r>
    </w:p>
    <w:p>
      <w:pPr>
        <w:pStyle w:val="Caption"/>
        <w:rPr>
          <w:b/>
          <w:bCs/>
          <w:i w:val="false"/>
          <w:i w:val="false"/>
          <w:iCs w:val="false"/>
        </w:rPr>
      </w:pPr>
      <w:bookmarkStart w:id="10" w:name="_Toc236146709"/>
      <w:r>
        <w:rPr/>
        <w:t xml:space="preserve">Table </w:t>
      </w:r>
      <w:r>
        <w:rPr/>
        <w:fldChar w:fldCharType="begin"/>
      </w:r>
      <w:r>
        <w:rPr/>
        <w:instrText xml:space="preserve"> SEQ Table \* ARABIC </w:instrText>
      </w:r>
      <w:r>
        <w:rPr/>
        <w:fldChar w:fldCharType="separate"/>
      </w:r>
      <w:r>
        <w:rPr/>
        <w:t>4</w:t>
      </w:r>
      <w:r>
        <w:rPr/>
        <w:fldChar w:fldCharType="end"/>
      </w:r>
      <w:r>
        <w:rPr/>
        <w:t xml:space="preserve">: </w:t>
      </w:r>
      <w:r>
        <w:rPr>
          <w:b/>
          <w:bCs/>
          <w:i w:val="false"/>
          <w:iCs w:val="false"/>
        </w:rPr>
        <w:t>Quantitative Risk Register</w:t>
      </w:r>
      <w:bookmarkEnd w:id="10"/>
    </w:p>
    <w:tbl>
      <w:tblPr>
        <w:tblStyle w:val="GridTable4"/>
        <w:tblW w:w="9016" w:type="dxa"/>
        <w:jc w:val="left"/>
        <w:tblInd w:w="0" w:type="dxa"/>
        <w:tblLayout w:type="fixed"/>
        <w:tblCellMar>
          <w:top w:w="0" w:type="dxa"/>
          <w:left w:w="108" w:type="dxa"/>
          <w:bottom w:w="0" w:type="dxa"/>
          <w:right w:w="108" w:type="dxa"/>
        </w:tblCellMar>
        <w:tblLook w:val="04a0" w:noHBand="0" w:noVBand="1" w:firstColumn="1" w:lastRow="0" w:lastColumn="0" w:firstRow="1"/>
      </w:tblPr>
      <w:tblGrid>
        <w:gridCol w:w="2140"/>
        <w:gridCol w:w="1402"/>
        <w:gridCol w:w="1028"/>
        <w:gridCol w:w="784"/>
        <w:gridCol w:w="2432"/>
        <w:gridCol w:w="1229"/>
      </w:tblGrid>
      <w:tr>
        <w:trPr>
          <w:cnfStyle w:val="100000000000" w:firstRow="1" w:lastRow="0" w:firstColumn="0" w:lastColumn="0" w:oddVBand="0" w:evenVBand="0" w:oddHBand="0" w:evenHBand="0" w:firstRowFirstColumn="0" w:firstRowLastColumn="0" w:lastRowFirstColumn="0" w:lastRowLastColumn="0"/>
        </w:trPr>
        <w:tc>
          <w:tcPr>
            <w:tcW w:w="2140" w:type="dxa"/>
            <w:cnfStyle w:val="001000000000" w:firstRow="0" w:lastRow="0" w:firstColumn="1" w:lastColumn="0" w:oddVBand="0" w:evenVBand="0" w:oddHBand="0" w:evenHBand="0" w:firstRowFirstColumn="0" w:firstRowLastColumn="0" w:lastRowFirstColumn="0" w:lastRowLastColumn="0"/>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24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Risk</w:t>
            </w:r>
          </w:p>
        </w:tc>
        <w:tc>
          <w:tcPr>
            <w:tcW w:w="1402" w:type="dxa"/>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240"/>
              <w:cnfStyle w:val="100000000000" w:firstRow="1" w:lastRow="0" w:firstColumn="0" w:lastColumn="0" w:oddVBand="0" w:evenVBand="0" w:oddHBand="0" w:evenHBand="0" w:firstRowFirstColumn="0" w:firstRowLastColumn="0" w:lastRowFirstColumn="0" w:lastRowLastColumn="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Likelihood (1-5)</w:t>
            </w:r>
          </w:p>
        </w:tc>
        <w:tc>
          <w:tcPr>
            <w:tcW w:w="1028" w:type="dxa"/>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240"/>
              <w:cnfStyle w:val="100000000000" w:firstRow="1" w:lastRow="0" w:firstColumn="0" w:lastColumn="0" w:oddVBand="0" w:evenVBand="0" w:oddHBand="0" w:evenHBand="0" w:firstRowFirstColumn="0" w:firstRowLastColumn="0" w:lastRowFirstColumn="0" w:lastRowLastColumn="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Impact (1-5)</w:t>
            </w:r>
          </w:p>
        </w:tc>
        <w:tc>
          <w:tcPr>
            <w:tcW w:w="784" w:type="dxa"/>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240"/>
              <w:cnfStyle w:val="100000000000" w:firstRow="1" w:lastRow="0" w:firstColumn="0" w:lastColumn="0" w:oddVBand="0" w:evenVBand="0" w:oddHBand="0" w:evenHBand="0" w:firstRowFirstColumn="0" w:firstRowLastColumn="0" w:lastRowFirstColumn="0" w:lastRowLastColumn="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Score</w:t>
            </w:r>
          </w:p>
        </w:tc>
        <w:tc>
          <w:tcPr>
            <w:tcW w:w="2432" w:type="dxa"/>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240"/>
              <w:cnfStyle w:val="100000000000" w:firstRow="1" w:lastRow="0" w:firstColumn="0" w:lastColumn="0" w:oddVBand="0" w:evenVBand="0" w:oddHBand="0" w:evenHBand="0" w:firstRowFirstColumn="0" w:firstRowLastColumn="0" w:lastRowFirstColumn="0" w:lastRowLastColumn="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Control</w:t>
            </w:r>
          </w:p>
        </w:tc>
        <w:tc>
          <w:tcPr>
            <w:tcW w:w="1229" w:type="dxa"/>
            <w:tcBorders>
              <w:top w:val="single" w:sz="4" w:space="0" w:color="000000"/>
              <w:left w:val="single" w:sz="4" w:space="0" w:color="000000"/>
              <w:bottom w:val="single" w:sz="4" w:space="0" w:color="000000"/>
              <w:right w:val="single" w:sz="4" w:space="0" w:color="000000"/>
            </w:tcBorders>
            <w:shd w:color="auto" w:fill="000000" w:themeFill="text1" w:val="clear"/>
          </w:tcPr>
          <w:p>
            <w:pPr>
              <w:pStyle w:val="Normal"/>
              <w:widowControl/>
              <w:suppressAutoHyphens w:val="true"/>
              <w:spacing w:before="240" w:after="240"/>
              <w:cnfStyle w:val="100000000000" w:firstRow="1" w:lastRow="0" w:firstColumn="0" w:lastColumn="0" w:oddVBand="0" w:evenVBand="0" w:oddHBand="0" w:evenHBand="0" w:firstRowFirstColumn="0" w:firstRowLastColumn="0" w:lastRowFirstColumn="0" w:lastRowLastColumn="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Owner</w:t>
            </w:r>
          </w:p>
        </w:tc>
      </w:tr>
      <w:tr>
        <w:trPr>
          <w:cnfStyle w:val="000000100000" w:firstRow="0" w:lastRow="0" w:firstColumn="0" w:lastColumn="0" w:oddVBand="0" w:evenVBand="0" w:oddHBand="1" w:evenHBand="0" w:firstRowFirstColumn="0" w:firstRowLastColumn="0" w:lastRowFirstColumn="0" w:lastRowLastColumn="0"/>
        </w:trPr>
        <w:tc>
          <w:tcPr>
            <w:tcW w:w="2140" w:type="dxa"/>
            <w:cnfStyle w:val="001000000000" w:firstRow="0" w:lastRow="0" w:firstColumn="1" w:lastColumn="0" w:oddVBand="0" w:evenVBand="0" w:oddHBand="0" w:evenHBand="0" w:firstRowFirstColumn="0" w:firstRowLastColumn="0" w:lastRowFirstColumn="0" w:lastRowLastColumn="0"/>
            <w:tcBorders/>
            <w:shd w:color="auto" w:fill="CCCCCC" w:themeFill="text1" w:themeFillTint="33" w:val="clear"/>
          </w:tcPr>
          <w:p>
            <w:pPr>
              <w:pStyle w:val="Normal"/>
              <w:widowControl/>
              <w:suppressAutoHyphens w:val="true"/>
              <w:spacing w:before="240" w:after="240"/>
              <w:rPr>
                <w:rFonts w:eastAsia="Calibri" w:cs=""/>
                <w:b/>
                <w:bCs/>
                <w:kern w:val="2"/>
                <w:szCs w:val="22"/>
                <w:lang w:val="en-IN" w:eastAsia="en-US" w:bidi="ar-SA"/>
              </w:rPr>
            </w:pPr>
            <w:r>
              <w:rPr>
                <w:rFonts w:eastAsia="Calibri" w:cs=""/>
                <w:b/>
                <w:bCs/>
                <w:kern w:val="2"/>
                <w:szCs w:val="22"/>
                <w:lang w:val="en-IN" w:eastAsia="en-US" w:bidi="ar-SA"/>
              </w:rPr>
              <w:t>Unauthorised access through unmanaged devices</w:t>
            </w:r>
          </w:p>
        </w:tc>
        <w:tc>
          <w:tcPr>
            <w:tcW w:w="1402" w:type="dxa"/>
            <w:tcBorders/>
            <w:shd w:color="auto" w:fill="FF0000" w:val="clear"/>
          </w:tcPr>
          <w:p>
            <w:pPr>
              <w:pStyle w:val="Normal"/>
              <w:widowControl/>
              <w:suppressAutoHyphens w:val="true"/>
              <w:spacing w:before="240" w:after="24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4</w:t>
            </w:r>
          </w:p>
        </w:tc>
        <w:tc>
          <w:tcPr>
            <w:tcW w:w="1028" w:type="dxa"/>
            <w:tcBorders/>
            <w:shd w:color="auto" w:fill="FF0000" w:val="clear"/>
          </w:tcPr>
          <w:p>
            <w:pPr>
              <w:pStyle w:val="Normal"/>
              <w:widowControl/>
              <w:suppressAutoHyphens w:val="true"/>
              <w:spacing w:before="240" w:after="24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5</w:t>
            </w:r>
          </w:p>
        </w:tc>
        <w:tc>
          <w:tcPr>
            <w:tcW w:w="784" w:type="dxa"/>
            <w:tcBorders/>
            <w:shd w:color="auto" w:fill="FF0000" w:val="clear"/>
          </w:tcPr>
          <w:p>
            <w:pPr>
              <w:pStyle w:val="Normal"/>
              <w:widowControl/>
              <w:suppressAutoHyphens w:val="true"/>
              <w:spacing w:before="240" w:after="24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20</w:t>
            </w:r>
          </w:p>
        </w:tc>
        <w:tc>
          <w:tcPr>
            <w:tcW w:w="2432" w:type="dxa"/>
            <w:tcBorders/>
            <w:shd w:color="auto" w:fill="CCCCCC" w:themeFill="text1" w:themeFillTint="33" w:val="clear"/>
          </w:tcPr>
          <w:p>
            <w:pPr>
              <w:pStyle w:val="Normal"/>
              <w:widowControl/>
              <w:suppressAutoHyphens w:val="true"/>
              <w:spacing w:before="240" w:after="24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Additional security aspects of OTT, including MFA or device compliance [17]</w:t>
            </w:r>
          </w:p>
        </w:tc>
        <w:tc>
          <w:tcPr>
            <w:tcW w:w="1229" w:type="dxa"/>
            <w:tcBorders/>
            <w:shd w:color="auto" w:fill="CCCCCC" w:themeFill="text1" w:themeFillTint="33" w:val="clear"/>
          </w:tcPr>
          <w:p>
            <w:pPr>
              <w:pStyle w:val="Normal"/>
              <w:widowControl/>
              <w:suppressAutoHyphens w:val="true"/>
              <w:spacing w:before="240" w:after="24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CISO / IT Ops</w:t>
            </w:r>
          </w:p>
        </w:tc>
      </w:tr>
      <w:tr>
        <w:trPr/>
        <w:tc>
          <w:tcPr>
            <w:tcW w:w="2140" w:type="dxa"/>
            <w:cnfStyle w:val="001000000000" w:firstRow="0" w:lastRow="0" w:firstColumn="1" w:lastColumn="0" w:oddVBand="0" w:evenVBand="0" w:oddHBand="0" w:evenHBand="0" w:firstRowFirstColumn="0" w:firstRowLastColumn="0" w:lastRowFirstColumn="0" w:lastRowLastColumn="0"/>
            <w:tcBorders/>
          </w:tcPr>
          <w:p>
            <w:pPr>
              <w:pStyle w:val="Normal"/>
              <w:widowControl/>
              <w:suppressAutoHyphens w:val="true"/>
              <w:spacing w:before="240" w:after="240"/>
              <w:rPr>
                <w:rFonts w:eastAsia="Calibri" w:cs=""/>
                <w:b/>
                <w:bCs/>
                <w:kern w:val="2"/>
                <w:szCs w:val="22"/>
                <w:lang w:val="en-IN" w:eastAsia="en-US" w:bidi="ar-SA"/>
              </w:rPr>
            </w:pPr>
            <w:r>
              <w:rPr>
                <w:rFonts w:eastAsia="Calibri" w:cs=""/>
                <w:b/>
                <w:bCs/>
                <w:kern w:val="2"/>
                <w:szCs w:val="22"/>
                <w:lang w:val="en-IN" w:eastAsia="en-US" w:bidi="ar-SA"/>
              </w:rPr>
              <w:t>Vendor breach affecting client data</w:t>
            </w:r>
          </w:p>
        </w:tc>
        <w:tc>
          <w:tcPr>
            <w:tcW w:w="1402" w:type="dxa"/>
            <w:tcBorders/>
            <w:shd w:color="auto" w:fill="FFFF00" w:val="clear"/>
          </w:tcPr>
          <w:p>
            <w:pPr>
              <w:pStyle w:val="Normal"/>
              <w:widowControl/>
              <w:suppressAutoHyphens w:val="true"/>
              <w:spacing w:before="240" w:after="24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3</w:t>
            </w:r>
          </w:p>
        </w:tc>
        <w:tc>
          <w:tcPr>
            <w:tcW w:w="1028" w:type="dxa"/>
            <w:tcBorders/>
            <w:shd w:color="auto" w:fill="FF0000" w:val="clear"/>
          </w:tcPr>
          <w:p>
            <w:pPr>
              <w:pStyle w:val="Normal"/>
              <w:widowControl/>
              <w:suppressAutoHyphens w:val="true"/>
              <w:spacing w:before="240" w:after="24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5</w:t>
            </w:r>
          </w:p>
        </w:tc>
        <w:tc>
          <w:tcPr>
            <w:tcW w:w="784" w:type="dxa"/>
            <w:tcBorders/>
            <w:shd w:color="auto" w:fill="FF0000" w:val="clear"/>
          </w:tcPr>
          <w:p>
            <w:pPr>
              <w:pStyle w:val="Normal"/>
              <w:widowControl/>
              <w:suppressAutoHyphens w:val="true"/>
              <w:spacing w:before="240" w:after="24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15</w:t>
            </w:r>
          </w:p>
        </w:tc>
        <w:tc>
          <w:tcPr>
            <w:tcW w:w="2432" w:type="dxa"/>
            <w:tcBorders/>
          </w:tcPr>
          <w:p>
            <w:pPr>
              <w:pStyle w:val="Normal"/>
              <w:widowControl/>
              <w:suppressAutoHyphens w:val="true"/>
              <w:spacing w:before="240" w:after="24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Encryption, Vendor audits, SLA security clauses</w:t>
            </w:r>
          </w:p>
        </w:tc>
        <w:tc>
          <w:tcPr>
            <w:tcW w:w="1229" w:type="dxa"/>
            <w:tcBorders/>
          </w:tcPr>
          <w:p>
            <w:pPr>
              <w:pStyle w:val="Normal"/>
              <w:widowControl/>
              <w:suppressAutoHyphens w:val="true"/>
              <w:spacing w:before="240" w:after="24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Vendor Manager</w:t>
            </w:r>
          </w:p>
        </w:tc>
      </w:tr>
      <w:tr>
        <w:trPr>
          <w:cnfStyle w:val="000000100000" w:firstRow="0" w:lastRow="0" w:firstColumn="0" w:lastColumn="0" w:oddVBand="0" w:evenVBand="0" w:oddHBand="1" w:evenHBand="0" w:firstRowFirstColumn="0" w:firstRowLastColumn="0" w:lastRowFirstColumn="0" w:lastRowLastColumn="0"/>
        </w:trPr>
        <w:tc>
          <w:tcPr>
            <w:tcW w:w="2140" w:type="dxa"/>
            <w:cnfStyle w:val="001000000000" w:firstRow="0" w:lastRow="0" w:firstColumn="1" w:lastColumn="0" w:oddVBand="0" w:evenVBand="0" w:oddHBand="0" w:evenHBand="0" w:firstRowFirstColumn="0" w:firstRowLastColumn="0" w:lastRowFirstColumn="0" w:lastRowLastColumn="0"/>
            <w:tcBorders/>
            <w:shd w:color="auto" w:fill="CCCCCC" w:themeFill="text1" w:themeFillTint="33" w:val="clear"/>
          </w:tcPr>
          <w:p>
            <w:pPr>
              <w:pStyle w:val="Normal"/>
              <w:widowControl/>
              <w:suppressAutoHyphens w:val="true"/>
              <w:spacing w:before="240" w:after="240"/>
              <w:rPr>
                <w:rFonts w:eastAsia="Calibri" w:cs=""/>
                <w:b/>
                <w:bCs/>
                <w:kern w:val="2"/>
                <w:szCs w:val="22"/>
                <w:lang w:val="en-IN" w:eastAsia="en-US" w:bidi="ar-SA"/>
              </w:rPr>
            </w:pPr>
            <w:r>
              <w:rPr>
                <w:rFonts w:eastAsia="Calibri" w:cs=""/>
                <w:b/>
                <w:bCs/>
                <w:kern w:val="2"/>
                <w:szCs w:val="22"/>
                <w:lang w:val="en-IN" w:eastAsia="en-US" w:bidi="ar-SA"/>
              </w:rPr>
              <w:t>IoT tracking sensor compromise</w:t>
            </w:r>
          </w:p>
        </w:tc>
        <w:tc>
          <w:tcPr>
            <w:tcW w:w="1402" w:type="dxa"/>
            <w:tcBorders/>
            <w:shd w:color="auto" w:fill="FFFF00" w:val="clear"/>
          </w:tcPr>
          <w:p>
            <w:pPr>
              <w:pStyle w:val="Normal"/>
              <w:widowControl/>
              <w:suppressAutoHyphens w:val="true"/>
              <w:spacing w:before="240" w:after="24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3</w:t>
            </w:r>
          </w:p>
        </w:tc>
        <w:tc>
          <w:tcPr>
            <w:tcW w:w="1028" w:type="dxa"/>
            <w:tcBorders/>
            <w:shd w:color="auto" w:fill="FF0000" w:val="clear"/>
          </w:tcPr>
          <w:p>
            <w:pPr>
              <w:pStyle w:val="Normal"/>
              <w:widowControl/>
              <w:suppressAutoHyphens w:val="true"/>
              <w:spacing w:before="240" w:after="24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4</w:t>
            </w:r>
          </w:p>
        </w:tc>
        <w:tc>
          <w:tcPr>
            <w:tcW w:w="784" w:type="dxa"/>
            <w:tcBorders/>
            <w:shd w:color="auto" w:fill="FFFF00" w:val="clear"/>
          </w:tcPr>
          <w:p>
            <w:pPr>
              <w:pStyle w:val="Normal"/>
              <w:widowControl/>
              <w:suppressAutoHyphens w:val="true"/>
              <w:spacing w:before="240" w:after="24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12</w:t>
            </w:r>
          </w:p>
        </w:tc>
        <w:tc>
          <w:tcPr>
            <w:tcW w:w="2432" w:type="dxa"/>
            <w:tcBorders/>
            <w:shd w:color="auto" w:fill="CCCCCC" w:themeFill="text1" w:themeFillTint="33" w:val="clear"/>
          </w:tcPr>
          <w:p>
            <w:pPr>
              <w:pStyle w:val="Normal"/>
              <w:widowControl/>
              <w:suppressAutoHyphens w:val="true"/>
              <w:spacing w:before="240" w:after="24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Segmentation of networks, update of firmware, supervision of devices [9]</w:t>
            </w:r>
          </w:p>
        </w:tc>
        <w:tc>
          <w:tcPr>
            <w:tcW w:w="1229" w:type="dxa"/>
            <w:tcBorders/>
            <w:shd w:color="auto" w:fill="CCCCCC" w:themeFill="text1" w:themeFillTint="33" w:val="clear"/>
          </w:tcPr>
          <w:p>
            <w:pPr>
              <w:pStyle w:val="Normal"/>
              <w:widowControl/>
              <w:suppressAutoHyphens w:val="true"/>
              <w:spacing w:before="240" w:after="24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Security Architect</w:t>
            </w:r>
          </w:p>
        </w:tc>
      </w:tr>
      <w:tr>
        <w:trPr/>
        <w:tc>
          <w:tcPr>
            <w:tcW w:w="2140" w:type="dxa"/>
            <w:cnfStyle w:val="001000000000" w:firstRow="0" w:lastRow="0" w:firstColumn="1" w:lastColumn="0" w:oddVBand="0" w:evenVBand="0" w:oddHBand="0" w:evenHBand="0" w:firstRowFirstColumn="0" w:firstRowLastColumn="0" w:lastRowFirstColumn="0" w:lastRowLastColumn="0"/>
            <w:tcBorders/>
          </w:tcPr>
          <w:p>
            <w:pPr>
              <w:pStyle w:val="Normal"/>
              <w:widowControl/>
              <w:suppressAutoHyphens w:val="true"/>
              <w:spacing w:before="240" w:after="240"/>
              <w:rPr>
                <w:rFonts w:eastAsia="Calibri" w:cs=""/>
                <w:b/>
                <w:bCs/>
                <w:kern w:val="2"/>
                <w:szCs w:val="22"/>
                <w:lang w:val="en-IN" w:eastAsia="en-US" w:bidi="ar-SA"/>
              </w:rPr>
            </w:pPr>
            <w:r>
              <w:rPr>
                <w:rFonts w:eastAsia="Calibri" w:cs=""/>
                <w:b/>
                <w:bCs/>
                <w:kern w:val="2"/>
                <w:szCs w:val="22"/>
                <w:lang w:val="en-IN" w:eastAsia="en-US" w:bidi="ar-SA"/>
              </w:rPr>
              <w:t>Weak incident response</w:t>
            </w:r>
          </w:p>
        </w:tc>
        <w:tc>
          <w:tcPr>
            <w:tcW w:w="1402" w:type="dxa"/>
            <w:tcBorders/>
            <w:shd w:color="auto" w:fill="FF0000" w:val="clear"/>
          </w:tcPr>
          <w:p>
            <w:pPr>
              <w:pStyle w:val="Normal"/>
              <w:widowControl/>
              <w:suppressAutoHyphens w:val="true"/>
              <w:spacing w:before="240" w:after="24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4</w:t>
            </w:r>
          </w:p>
        </w:tc>
        <w:tc>
          <w:tcPr>
            <w:tcW w:w="1028" w:type="dxa"/>
            <w:tcBorders/>
            <w:shd w:color="auto" w:fill="FF0000" w:val="clear"/>
          </w:tcPr>
          <w:p>
            <w:pPr>
              <w:pStyle w:val="Normal"/>
              <w:widowControl/>
              <w:suppressAutoHyphens w:val="true"/>
              <w:spacing w:before="240" w:after="24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5</w:t>
            </w:r>
          </w:p>
        </w:tc>
        <w:tc>
          <w:tcPr>
            <w:tcW w:w="784" w:type="dxa"/>
            <w:tcBorders/>
            <w:shd w:color="auto" w:fill="FF0000" w:val="clear"/>
          </w:tcPr>
          <w:p>
            <w:pPr>
              <w:pStyle w:val="Normal"/>
              <w:widowControl/>
              <w:suppressAutoHyphens w:val="true"/>
              <w:spacing w:before="240" w:after="24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20</w:t>
            </w:r>
          </w:p>
        </w:tc>
        <w:tc>
          <w:tcPr>
            <w:tcW w:w="2432" w:type="dxa"/>
            <w:tcBorders/>
          </w:tcPr>
          <w:p>
            <w:pPr>
              <w:pStyle w:val="Normal"/>
              <w:widowControl/>
              <w:suppressAutoHyphens w:val="true"/>
              <w:spacing w:before="240" w:after="24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Incident Response Plan, playbooks &amp; tabletop testing</w:t>
            </w:r>
          </w:p>
        </w:tc>
        <w:tc>
          <w:tcPr>
            <w:tcW w:w="1229" w:type="dxa"/>
            <w:tcBorders/>
          </w:tcPr>
          <w:p>
            <w:pPr>
              <w:pStyle w:val="Normal"/>
              <w:widowControl/>
              <w:suppressAutoHyphens w:val="true"/>
              <w:spacing w:before="240" w:after="24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SOC Manager</w:t>
            </w:r>
          </w:p>
        </w:tc>
      </w:tr>
    </w:tbl>
    <w:p>
      <w:pPr>
        <w:pStyle w:val="Normal"/>
        <w:rPr>
          <w:b/>
          <w:bCs/>
        </w:rPr>
      </w:pPr>
      <w:r>
        <w:rPr>
          <w:b/>
          <w:bCs/>
        </w:rPr>
        <w:t>Control Mapping</w:t>
      </w:r>
    </w:p>
    <w:p>
      <w:pPr>
        <w:pStyle w:val="Caption"/>
        <w:rPr>
          <w:b/>
          <w:bCs/>
          <w:i w:val="false"/>
          <w:i w:val="false"/>
          <w:iCs w:val="false"/>
        </w:rPr>
      </w:pPr>
      <w:bookmarkStart w:id="11" w:name="_Toc236146710"/>
      <w:r>
        <w:rPr/>
        <w:t xml:space="preserve">Table </w:t>
      </w:r>
      <w:r>
        <w:rPr/>
        <w:fldChar w:fldCharType="begin"/>
      </w:r>
      <w:r>
        <w:rPr/>
        <w:instrText xml:space="preserve"> SEQ Table \* ARABIC </w:instrText>
      </w:r>
      <w:r>
        <w:rPr/>
        <w:fldChar w:fldCharType="separate"/>
      </w:r>
      <w:r>
        <w:rPr/>
        <w:t>5</w:t>
      </w:r>
      <w:r>
        <w:rPr/>
        <w:fldChar w:fldCharType="end"/>
      </w:r>
      <w:r>
        <w:rPr/>
        <w:t xml:space="preserve">: </w:t>
      </w:r>
      <w:r>
        <w:rPr>
          <w:b/>
          <w:bCs/>
          <w:i w:val="false"/>
          <w:iCs w:val="false"/>
        </w:rPr>
        <w:t>Control Mapping Framework</w:t>
      </w:r>
      <w:bookmarkEnd w:id="11"/>
    </w:p>
    <w:tbl>
      <w:tblPr>
        <w:tblStyle w:val="GridTable3"/>
        <w:tblW w:w="9026" w:type="dxa"/>
        <w:jc w:val="left"/>
        <w:tblInd w:w="5" w:type="dxa"/>
        <w:tblLayout w:type="fixed"/>
        <w:tblCellMar>
          <w:top w:w="0" w:type="dxa"/>
          <w:left w:w="108" w:type="dxa"/>
          <w:bottom w:w="0" w:type="dxa"/>
          <w:right w:w="108" w:type="dxa"/>
        </w:tblCellMar>
        <w:tblLook w:val="04a0" w:noHBand="0" w:noVBand="1" w:firstColumn="1" w:lastRow="0" w:lastColumn="0" w:firstRow="1"/>
      </w:tblPr>
      <w:tblGrid>
        <w:gridCol w:w="2448"/>
        <w:gridCol w:w="4483"/>
        <w:gridCol w:w="2095"/>
      </w:tblGrid>
      <w:tr>
        <w:trPr>
          <w:cnfStyle w:val="100000000000" w:firstRow="1" w:lastRow="0" w:firstColumn="0" w:lastColumn="0" w:oddVBand="0" w:evenVBand="0" w:oddHBand="0" w:evenHBand="0" w:firstRowFirstColumn="0" w:firstRowLastColumn="0" w:lastRowFirstColumn="0" w:lastRowLastColumn="0"/>
        </w:trPr>
        <w:tc>
          <w:tcPr>
            <w:tcW w:w="2448" w:type="dxa"/>
            <w:cnfStyle w:val="001000000100" w:firstRow="0" w:lastRow="0" w:firstColumn="1" w:lastColumn="0" w:oddVBand="0" w:evenVBand="0" w:oddHBand="0" w:evenHBand="0" w:firstRowFirstColumn="1" w:firstRowLastColumn="0" w:lastRowFirstColumn="0" w:lastRowLastColumn="0"/>
            <w:tcBorders>
              <w:right w:val="nil"/>
            </w:tcBorders>
            <w:shd w:color="auto" w:fill="FFFFFF" w:themeFill="background1" w:val="clear"/>
          </w:tcPr>
          <w:p>
            <w:pPr>
              <w:pStyle w:val="Normal"/>
              <w:widowControl/>
              <w:suppressAutoHyphens w:val="true"/>
              <w:spacing w:before="240" w:after="160"/>
              <w:rPr>
                <w:rFonts w:eastAsia="Calibri" w:cs=""/>
                <w:b/>
                <w:bCs/>
                <w:i/>
                <w:i/>
                <w:iCs/>
                <w:kern w:val="2"/>
                <w:szCs w:val="22"/>
                <w:lang w:val="en-IN" w:eastAsia="en-US" w:bidi="ar-SA"/>
              </w:rPr>
            </w:pPr>
            <w:r>
              <w:rPr>
                <w:rFonts w:eastAsia="Calibri" w:cs=""/>
                <w:b/>
                <w:bCs/>
                <w:i/>
                <w:iCs/>
                <w:kern w:val="2"/>
                <w:szCs w:val="22"/>
                <w:lang w:val="en-IN" w:eastAsia="en-US" w:bidi="ar-SA"/>
              </w:rPr>
              <w:t>AeroLink Weakness</w:t>
            </w:r>
          </w:p>
        </w:tc>
        <w:tc>
          <w:tcPr>
            <w:tcW w:w="4483" w:type="dxa"/>
            <w:tcBorders>
              <w:left w:val="nil"/>
              <w:bottom w:val="nil"/>
              <w:right w:val="nil"/>
            </w:tcBorders>
            <w:shd w:color="auto" w:fill="FFFFFF" w:themeFill="background1" w:val="clear"/>
          </w:tcPr>
          <w:p>
            <w:pPr>
              <w:pStyle w:val="Normal"/>
              <w:widowControl/>
              <w:suppressAutoHyphens w:val="true"/>
              <w:spacing w:before="240" w:after="160"/>
              <w:cnfStyle w:val="100000000000" w:firstRow="1" w:lastRow="0" w:firstColumn="0" w:lastColumn="0" w:oddVBand="0" w:evenVBand="0" w:oddHBand="0" w:evenHBand="0" w:firstRowFirstColumn="0" w:firstRowLastColumn="0" w:lastRowFirstColumn="0" w:lastRowLastColumn="0"/>
              <w:rPr>
                <w:rFonts w:eastAsia="Calibri" w:cs=""/>
                <w:b/>
                <w:bCs/>
                <w:kern w:val="2"/>
                <w:szCs w:val="22"/>
                <w:lang w:val="en-IN" w:eastAsia="en-US" w:bidi="ar-SA"/>
              </w:rPr>
            </w:pPr>
            <w:r>
              <w:rPr>
                <w:rFonts w:eastAsia="Calibri" w:cs=""/>
                <w:b/>
                <w:bCs/>
                <w:kern w:val="2"/>
                <w:szCs w:val="22"/>
                <w:lang w:val="en-IN" w:eastAsia="en-US" w:bidi="ar-SA"/>
              </w:rPr>
              <w:t>Recommended Control</w:t>
            </w:r>
          </w:p>
        </w:tc>
        <w:tc>
          <w:tcPr>
            <w:tcW w:w="2095" w:type="dxa"/>
            <w:tcBorders>
              <w:left w:val="nil"/>
              <w:bottom w:val="nil"/>
            </w:tcBorders>
            <w:shd w:color="auto" w:fill="FFFFFF" w:themeFill="background1" w:val="clear"/>
          </w:tcPr>
          <w:p>
            <w:pPr>
              <w:pStyle w:val="Normal"/>
              <w:widowControl/>
              <w:suppressAutoHyphens w:val="true"/>
              <w:spacing w:before="240" w:after="160"/>
              <w:cnfStyle w:val="100000000000" w:firstRow="1" w:lastRow="0" w:firstColumn="0" w:lastColumn="0" w:oddVBand="0" w:evenVBand="0" w:oddHBand="0" w:evenHBand="0" w:firstRowFirstColumn="0" w:firstRowLastColumn="0" w:lastRowFirstColumn="0" w:lastRowLastColumn="0"/>
              <w:rPr>
                <w:rFonts w:eastAsia="Calibri" w:cs=""/>
                <w:b/>
                <w:bCs/>
                <w:kern w:val="2"/>
                <w:szCs w:val="22"/>
                <w:lang w:val="en-IN" w:eastAsia="en-US" w:bidi="ar-SA"/>
              </w:rPr>
            </w:pPr>
            <w:r>
              <w:rPr>
                <w:rFonts w:eastAsia="Calibri" w:cs=""/>
                <w:b/>
                <w:bCs/>
                <w:kern w:val="2"/>
                <w:szCs w:val="22"/>
                <w:lang w:val="en-IN" w:eastAsia="en-US" w:bidi="ar-SA"/>
              </w:rPr>
              <w:t>Framework Link</w:t>
            </w:r>
          </w:p>
        </w:tc>
      </w:tr>
      <w:tr>
        <w:trPr>
          <w:cnfStyle w:val="000000100000" w:firstRow="0" w:lastRow="0" w:firstColumn="0" w:lastColumn="0" w:oddVBand="0" w:evenVBand="0" w:oddHBand="1" w:evenHBand="0" w:firstRowFirstColumn="0" w:firstRowLastColumn="0" w:lastRowFirstColumn="0" w:lastRowLastColumn="0"/>
        </w:trPr>
        <w:tc>
          <w:tcPr>
            <w:tcW w:w="2448" w:type="dxa"/>
            <w:cnfStyle w:val="001000000000" w:firstRow="0" w:lastRow="0" w:firstColumn="1" w:lastColumn="0" w:oddVBand="0" w:evenVBand="0" w:oddHBand="0" w:evenHBand="0" w:firstRowFirstColumn="0" w:firstRowLastColumn="0" w:lastRowFirstColumn="0" w:lastRowLastColumn="0"/>
            <w:tcBorders>
              <w:top w:val="nil"/>
              <w:bottom w:val="nil"/>
              <w:right w:val="nil"/>
            </w:tcBorders>
            <w:shd w:color="auto" w:fill="FFFFFF" w:themeFill="background1" w:val="clear"/>
          </w:tcPr>
          <w:p>
            <w:pPr>
              <w:pStyle w:val="Normal"/>
              <w:widowControl/>
              <w:suppressAutoHyphens w:val="true"/>
              <w:spacing w:before="240" w:after="160"/>
              <w:rPr>
                <w:rFonts w:eastAsia="Calibri" w:cs=""/>
                <w:i/>
                <w:i/>
                <w:iCs/>
                <w:kern w:val="2"/>
                <w:szCs w:val="22"/>
                <w:lang w:val="en-IN" w:eastAsia="en-US" w:bidi="ar-SA"/>
              </w:rPr>
            </w:pPr>
            <w:r>
              <w:rPr>
                <w:rFonts w:eastAsia="Calibri" w:cs=""/>
                <w:i/>
                <w:iCs/>
                <w:kern w:val="2"/>
                <w:szCs w:val="22"/>
                <w:lang w:val="en-IN" w:eastAsia="en-US" w:bidi="ar-SA"/>
              </w:rPr>
              <w:t>No unified governance</w:t>
            </w:r>
          </w:p>
        </w:tc>
        <w:tc>
          <w:tcPr>
            <w:tcW w:w="4483"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Security governance committee, RACI, board reporting.</w:t>
            </w:r>
          </w:p>
        </w:tc>
        <w:tc>
          <w:tcPr>
            <w:tcW w:w="2095"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COBIT / NIST Govern</w:t>
            </w:r>
          </w:p>
        </w:tc>
      </w:tr>
      <w:tr>
        <w:trPr/>
        <w:tc>
          <w:tcPr>
            <w:tcW w:w="2448" w:type="dxa"/>
            <w:cnfStyle w:val="001000000000" w:firstRow="0" w:lastRow="0" w:firstColumn="1" w:lastColumn="0" w:oddVBand="0" w:evenVBand="0" w:oddHBand="0" w:evenHBand="0" w:firstRowFirstColumn="0" w:firstRowLastColumn="0" w:lastRowFirstColumn="0" w:lastRowLastColumn="0"/>
            <w:tcBorders>
              <w:top w:val="nil"/>
              <w:bottom w:val="nil"/>
              <w:right w:val="nil"/>
            </w:tcBorders>
            <w:shd w:color="auto" w:fill="FFFFFF" w:themeFill="background1" w:val="clear"/>
          </w:tcPr>
          <w:p>
            <w:pPr>
              <w:pStyle w:val="Normal"/>
              <w:widowControl/>
              <w:suppressAutoHyphens w:val="true"/>
              <w:spacing w:before="240" w:after="160"/>
              <w:rPr>
                <w:rFonts w:eastAsia="Calibri" w:cs=""/>
                <w:i/>
                <w:i/>
                <w:iCs/>
                <w:kern w:val="2"/>
                <w:szCs w:val="22"/>
                <w:lang w:val="en-IN" w:eastAsia="en-US" w:bidi="ar-SA"/>
              </w:rPr>
            </w:pPr>
            <w:r>
              <w:rPr>
                <w:rFonts w:eastAsia="Calibri" w:cs=""/>
                <w:i/>
                <w:iCs/>
                <w:kern w:val="2"/>
                <w:szCs w:val="22"/>
                <w:lang w:val="en-IN" w:eastAsia="en-US" w:bidi="ar-SA"/>
              </w:rPr>
              <w:t>No compliance audit</w:t>
            </w:r>
          </w:p>
        </w:tc>
        <w:tc>
          <w:tcPr>
            <w:tcW w:w="4483"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ISO 27001 Gap Assessment and GDPR review</w:t>
            </w:r>
          </w:p>
        </w:tc>
        <w:tc>
          <w:tcPr>
            <w:tcW w:w="2095"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ISO 27001 / GDPR</w:t>
            </w:r>
          </w:p>
        </w:tc>
      </w:tr>
      <w:tr>
        <w:trPr>
          <w:cnfStyle w:val="000000100000" w:firstRow="0" w:lastRow="0" w:firstColumn="0" w:lastColumn="0" w:oddVBand="0" w:evenVBand="0" w:oddHBand="1" w:evenHBand="0" w:firstRowFirstColumn="0" w:firstRowLastColumn="0" w:lastRowFirstColumn="0" w:lastRowLastColumn="0"/>
        </w:trPr>
        <w:tc>
          <w:tcPr>
            <w:tcW w:w="2448" w:type="dxa"/>
            <w:cnfStyle w:val="001000000000" w:firstRow="0" w:lastRow="0" w:firstColumn="1" w:lastColumn="0" w:oddVBand="0" w:evenVBand="0" w:oddHBand="0" w:evenHBand="0" w:firstRowFirstColumn="0" w:firstRowLastColumn="0" w:lastRowFirstColumn="0" w:lastRowLastColumn="0"/>
            <w:tcBorders>
              <w:top w:val="nil"/>
              <w:bottom w:val="nil"/>
              <w:right w:val="nil"/>
            </w:tcBorders>
            <w:shd w:color="auto" w:fill="FFFFFF" w:themeFill="background1" w:val="clear"/>
          </w:tcPr>
          <w:p>
            <w:pPr>
              <w:pStyle w:val="Normal"/>
              <w:widowControl/>
              <w:suppressAutoHyphens w:val="true"/>
              <w:spacing w:before="240" w:after="160"/>
              <w:rPr>
                <w:rFonts w:eastAsia="Calibri" w:cs=""/>
                <w:i/>
                <w:i/>
                <w:iCs/>
                <w:kern w:val="2"/>
                <w:szCs w:val="22"/>
                <w:lang w:val="en-IN" w:eastAsia="en-US" w:bidi="ar-SA"/>
              </w:rPr>
            </w:pPr>
            <w:r>
              <w:rPr>
                <w:rFonts w:eastAsia="Calibri" w:cs=""/>
                <w:i/>
                <w:iCs/>
                <w:kern w:val="2"/>
                <w:szCs w:val="22"/>
                <w:lang w:val="en-IN" w:eastAsia="en-US" w:bidi="ar-SA"/>
              </w:rPr>
              <w:t>Remote unmanaged devices</w:t>
            </w:r>
          </w:p>
        </w:tc>
        <w:tc>
          <w:tcPr>
            <w:tcW w:w="4483"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MFA, endpoint management, conditional access</w:t>
            </w:r>
          </w:p>
        </w:tc>
        <w:tc>
          <w:tcPr>
            <w:tcW w:w="2095"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NIST Protect</w:t>
            </w:r>
          </w:p>
        </w:tc>
      </w:tr>
      <w:tr>
        <w:trPr/>
        <w:tc>
          <w:tcPr>
            <w:tcW w:w="2448" w:type="dxa"/>
            <w:cnfStyle w:val="001000000000" w:firstRow="0" w:lastRow="0" w:firstColumn="1" w:lastColumn="0" w:oddVBand="0" w:evenVBand="0" w:oddHBand="0" w:evenHBand="0" w:firstRowFirstColumn="0" w:firstRowLastColumn="0" w:lastRowFirstColumn="0" w:lastRowLastColumn="0"/>
            <w:tcBorders>
              <w:top w:val="nil"/>
              <w:bottom w:val="nil"/>
              <w:right w:val="nil"/>
            </w:tcBorders>
            <w:shd w:color="auto" w:fill="FFFFFF" w:themeFill="background1" w:val="clear"/>
          </w:tcPr>
          <w:p>
            <w:pPr>
              <w:pStyle w:val="Normal"/>
              <w:widowControl/>
              <w:suppressAutoHyphens w:val="true"/>
              <w:spacing w:before="240" w:after="160"/>
              <w:rPr>
                <w:rFonts w:eastAsia="Calibri" w:cs=""/>
                <w:i/>
                <w:i/>
                <w:iCs/>
                <w:kern w:val="2"/>
                <w:szCs w:val="22"/>
                <w:lang w:val="en-IN" w:eastAsia="en-US" w:bidi="ar-SA"/>
              </w:rPr>
            </w:pPr>
            <w:r>
              <w:rPr>
                <w:rFonts w:eastAsia="Calibri" w:cs=""/>
                <w:i/>
                <w:iCs/>
                <w:kern w:val="2"/>
                <w:szCs w:val="22"/>
                <w:lang w:val="en-IN" w:eastAsia="en-US" w:bidi="ar-SA"/>
              </w:rPr>
              <w:t>Poor vendor accountability</w:t>
            </w:r>
          </w:p>
        </w:tc>
        <w:tc>
          <w:tcPr>
            <w:tcW w:w="4483"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Security SLAs, audit rights and breach notification clauses</w:t>
            </w:r>
          </w:p>
        </w:tc>
        <w:tc>
          <w:tcPr>
            <w:tcW w:w="2095" w:type="dxa"/>
            <w:tcBorders/>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ITIL / COBIT</w:t>
            </w:r>
          </w:p>
        </w:tc>
      </w:tr>
      <w:tr>
        <w:trPr>
          <w:cnfStyle w:val="000000100000" w:firstRow="0" w:lastRow="0" w:firstColumn="0" w:lastColumn="0" w:oddVBand="0" w:evenVBand="0" w:oddHBand="1" w:evenHBand="0" w:firstRowFirstColumn="0" w:firstRowLastColumn="0" w:lastRowFirstColumn="0" w:lastRowLastColumn="0"/>
        </w:trPr>
        <w:tc>
          <w:tcPr>
            <w:tcW w:w="2448" w:type="dxa"/>
            <w:cnfStyle w:val="001000000000" w:firstRow="0" w:lastRow="0" w:firstColumn="1" w:lastColumn="0" w:oddVBand="0" w:evenVBand="0" w:oddHBand="0" w:evenHBand="0" w:firstRowFirstColumn="0" w:firstRowLastColumn="0" w:lastRowFirstColumn="0" w:lastRowLastColumn="0"/>
            <w:tcBorders>
              <w:top w:val="nil"/>
              <w:right w:val="nil"/>
            </w:tcBorders>
            <w:shd w:color="auto" w:fill="FFFFFF" w:themeFill="background1" w:val="clear"/>
          </w:tcPr>
          <w:p>
            <w:pPr>
              <w:pStyle w:val="Normal"/>
              <w:widowControl/>
              <w:suppressAutoHyphens w:val="true"/>
              <w:spacing w:before="240" w:after="160"/>
              <w:rPr>
                <w:rFonts w:eastAsia="Calibri" w:cs=""/>
                <w:i/>
                <w:i/>
                <w:iCs/>
                <w:kern w:val="2"/>
                <w:szCs w:val="22"/>
                <w:lang w:val="en-IN" w:eastAsia="en-US" w:bidi="ar-SA"/>
              </w:rPr>
            </w:pPr>
            <w:r>
              <w:rPr>
                <w:rFonts w:eastAsia="Calibri" w:cs=""/>
                <w:i/>
                <w:iCs/>
                <w:kern w:val="2"/>
                <w:szCs w:val="22"/>
                <w:lang w:val="en-IN" w:eastAsia="en-US" w:bidi="ar-SA"/>
              </w:rPr>
              <w:t>Weak contingency planning</w:t>
            </w:r>
          </w:p>
        </w:tc>
        <w:tc>
          <w:tcPr>
            <w:tcW w:w="4483"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AI-driven BCP / contingency disaster recovery testing</w:t>
            </w:r>
          </w:p>
        </w:tc>
        <w:tc>
          <w:tcPr>
            <w:tcW w:w="2095" w:type="dxa"/>
            <w:tcBorders/>
            <w:shd w:color="auto" w:fill="CCCCCC" w:themeFill="text1" w:themeFillTint="33"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ISO 27001 / ITIL</w:t>
            </w:r>
          </w:p>
        </w:tc>
      </w:tr>
    </w:tbl>
    <w:p>
      <w:pPr>
        <w:pStyle w:val="Normal"/>
        <w:rPr>
          <w:b/>
          <w:bCs/>
        </w:rPr>
      </w:pPr>
      <w:r>
        <w:rPr>
          <w:b/>
          <w:bCs/>
        </w:rPr>
        <w:t>Implementation Roadmap</w:t>
      </w:r>
    </w:p>
    <w:p>
      <w:pPr>
        <w:pStyle w:val="Caption"/>
        <w:rPr>
          <w:b/>
          <w:bCs/>
          <w:i w:val="false"/>
          <w:i w:val="false"/>
          <w:iCs w:val="false"/>
        </w:rPr>
      </w:pPr>
      <w:bookmarkStart w:id="12" w:name="_Toc236146711"/>
      <w:r>
        <w:rPr/>
        <w:t xml:space="preserve">Table </w:t>
      </w:r>
      <w:r>
        <w:rPr/>
        <w:fldChar w:fldCharType="begin"/>
      </w:r>
      <w:r>
        <w:rPr/>
        <w:instrText xml:space="preserve"> SEQ Table \* ARABIC </w:instrText>
      </w:r>
      <w:r>
        <w:rPr/>
        <w:fldChar w:fldCharType="separate"/>
      </w:r>
      <w:r>
        <w:rPr/>
        <w:t>6</w:t>
      </w:r>
      <w:r>
        <w:rPr/>
        <w:fldChar w:fldCharType="end"/>
      </w:r>
      <w:r>
        <w:rPr/>
        <w:t xml:space="preserve">: </w:t>
      </w:r>
      <w:r>
        <w:rPr>
          <w:b/>
          <w:bCs/>
          <w:i w:val="false"/>
          <w:iCs w:val="false"/>
        </w:rPr>
        <w:t>Implementation Roadmap</w:t>
      </w:r>
      <w:bookmarkEnd w:id="12"/>
    </w:p>
    <w:tbl>
      <w:tblPr>
        <w:tblStyle w:val="GridTable5Dark"/>
        <w:tblW w:w="9016" w:type="dxa"/>
        <w:jc w:val="left"/>
        <w:tblInd w:w="0" w:type="dxa"/>
        <w:shd w:fill="CCCCCC" w:val="clear"/>
        <w:tblLayout w:type="fixed"/>
        <w:tblCellMar>
          <w:top w:w="0" w:type="dxa"/>
          <w:left w:w="108" w:type="dxa"/>
          <w:bottom w:w="0" w:type="dxa"/>
          <w:right w:w="108" w:type="dxa"/>
        </w:tblCellMar>
        <w:tblLook w:val="04a0" w:noHBand="0" w:noVBand="1" w:firstColumn="1" w:lastRow="0" w:lastColumn="0" w:firstRow="1"/>
      </w:tblPr>
      <w:tblGrid>
        <w:gridCol w:w="1450"/>
        <w:gridCol w:w="4645"/>
        <w:gridCol w:w="2921"/>
      </w:tblGrid>
      <w:tr>
        <w:trPr>
          <w:cnfStyle w:val="100000000000" w:firstRow="1" w:lastRow="0" w:firstColumn="0" w:lastColumn="0" w:oddVBand="0" w:evenVBand="0" w:oddHBand="0" w:evenHBand="0" w:firstRowFirstColumn="0" w:firstRowLastColumn="0" w:lastRowFirstColumn="0" w:lastRowLastColumn="0"/>
        </w:trPr>
        <w:tc>
          <w:tcPr>
            <w:tcW w:w="1450" w:type="dxa"/>
            <w:cnfStyle w:val="001000000000" w:firstRow="0" w:lastRow="0" w:firstColumn="1" w:lastColumn="0" w:oddVBand="0" w:evenVBand="0" w:oddHBand="0" w:evenHBand="0" w:firstRowFirstColumn="0" w:firstRowLastColumn="0" w:lastRowFirstColumn="0" w:lastRowLastColumn="0"/>
            <w:tcBorders/>
            <w:shd w:color="auto" w:fill="000000" w:themeFill="text1" w:val="clear"/>
          </w:tcPr>
          <w:p>
            <w:pPr>
              <w:pStyle w:val="Normal"/>
              <w:widowControl/>
              <w:suppressAutoHyphens w:val="true"/>
              <w:spacing w:before="240" w:after="16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Timeframe</w:t>
            </w:r>
          </w:p>
        </w:tc>
        <w:tc>
          <w:tcPr>
            <w:tcW w:w="4645" w:type="dxa"/>
            <w:tcBorders>
              <w:bottom w:val="nil"/>
            </w:tcBorders>
            <w:shd w:color="auto" w:fill="000000" w:themeFill="text1" w:val="clear"/>
          </w:tcPr>
          <w:p>
            <w:pPr>
              <w:pStyle w:val="Normal"/>
              <w:widowControl/>
              <w:suppressAutoHyphens w:val="true"/>
              <w:spacing w:before="240" w:after="160"/>
              <w:cnfStyle w:val="100000000000" w:firstRow="1" w:lastRow="0" w:firstColumn="0" w:lastColumn="0" w:oddVBand="0" w:evenVBand="0" w:oddHBand="0" w:evenHBand="0" w:firstRowFirstColumn="0" w:firstRowLastColumn="0" w:lastRowFirstColumn="0" w:lastRowLastColumn="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Priority Action</w:t>
            </w:r>
          </w:p>
        </w:tc>
        <w:tc>
          <w:tcPr>
            <w:tcW w:w="2921" w:type="dxa"/>
            <w:tcBorders>
              <w:bottom w:val="nil"/>
            </w:tcBorders>
            <w:shd w:color="auto" w:fill="000000" w:themeFill="text1" w:val="clear"/>
          </w:tcPr>
          <w:p>
            <w:pPr>
              <w:pStyle w:val="Normal"/>
              <w:widowControl/>
              <w:suppressAutoHyphens w:val="true"/>
              <w:spacing w:before="240" w:after="160"/>
              <w:cnfStyle w:val="100000000000" w:firstRow="1" w:lastRow="0" w:firstColumn="0" w:lastColumn="0" w:oddVBand="0" w:evenVBand="0" w:oddHBand="0" w:evenHBand="0" w:firstRowFirstColumn="0" w:firstRowLastColumn="0" w:lastRowFirstColumn="0" w:lastRowLastColumn="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Expected Outcome</w:t>
            </w:r>
          </w:p>
        </w:tc>
      </w:tr>
      <w:tr>
        <w:trPr>
          <w:cnfStyle w:val="000000100000" w:firstRow="0" w:lastRow="0" w:firstColumn="0" w:lastColumn="0" w:oddVBand="0" w:evenVBand="0" w:oddHBand="1" w:evenHBand="0" w:firstRowFirstColumn="0" w:firstRowLastColumn="0" w:lastRowFirstColumn="0" w:lastRowLastColumn="0"/>
        </w:trPr>
        <w:tc>
          <w:tcPr>
            <w:tcW w:w="1450" w:type="dxa"/>
            <w:cnfStyle w:val="001000000000" w:firstRow="0" w:lastRow="0" w:firstColumn="1" w:lastColumn="0" w:oddVBand="0" w:evenVBand="0" w:oddHBand="0" w:evenHBand="0" w:firstRowFirstColumn="0" w:firstRowLastColumn="0" w:lastRowFirstColumn="0" w:lastRowLastColumn="0"/>
            <w:tcBorders>
              <w:right w:val="nil"/>
            </w:tcBorders>
            <w:shd w:color="auto" w:fill="000000" w:themeFill="text1" w:val="clear"/>
          </w:tcPr>
          <w:p>
            <w:pPr>
              <w:pStyle w:val="Normal"/>
              <w:widowControl/>
              <w:suppressAutoHyphens w:val="true"/>
              <w:spacing w:before="240" w:after="16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0–3 months</w:t>
            </w:r>
          </w:p>
        </w:tc>
        <w:tc>
          <w:tcPr>
            <w:tcW w:w="4645" w:type="dxa"/>
            <w:tcBorders/>
            <w:shd w:color="auto" w:fill="999999" w:themeFill="text1" w:themeFillTint="66"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Owners appoint, Risk assessment, MFA.</w:t>
            </w:r>
          </w:p>
        </w:tc>
        <w:tc>
          <w:tcPr>
            <w:tcW w:w="2921" w:type="dxa"/>
            <w:tcBorders/>
            <w:shd w:color="auto" w:fill="999999" w:themeFill="text1" w:themeFillTint="66"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Immediate risk reduction.</w:t>
            </w:r>
          </w:p>
        </w:tc>
      </w:tr>
      <w:tr>
        <w:trPr/>
        <w:tc>
          <w:tcPr>
            <w:tcW w:w="1450" w:type="dxa"/>
            <w:cnfStyle w:val="001000000000" w:firstRow="0" w:lastRow="0" w:firstColumn="1" w:lastColumn="0" w:oddVBand="0" w:evenVBand="0" w:oddHBand="0" w:evenHBand="0" w:firstRowFirstColumn="0" w:firstRowLastColumn="0" w:lastRowFirstColumn="0" w:lastRowLastColumn="0"/>
            <w:tcBorders>
              <w:right w:val="nil"/>
            </w:tcBorders>
            <w:shd w:color="auto" w:fill="000000" w:themeFill="text1" w:val="clear"/>
          </w:tcPr>
          <w:p>
            <w:pPr>
              <w:pStyle w:val="Normal"/>
              <w:widowControl/>
              <w:suppressAutoHyphens w:val="true"/>
              <w:spacing w:before="240" w:after="16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3–6 months</w:t>
            </w:r>
          </w:p>
        </w:tc>
        <w:tc>
          <w:tcPr>
            <w:tcW w:w="4645" w:type="dxa"/>
            <w:tcBorders/>
            <w:shd w:color="auto" w:fill="CCCCCC" w:themeFill="text1" w:themeFillTint="33" w:val="clear"/>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Gap Assessment Per ISO27001 and vendor SLA, IRP.</w:t>
            </w:r>
          </w:p>
        </w:tc>
        <w:tc>
          <w:tcPr>
            <w:tcW w:w="2921" w:type="dxa"/>
            <w:tcBorders/>
            <w:shd w:color="auto" w:fill="CCCCCC" w:themeFill="text1" w:themeFillTint="33" w:val="clear"/>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Governance and compliance maturity.</w:t>
            </w:r>
          </w:p>
        </w:tc>
      </w:tr>
      <w:tr>
        <w:trPr>
          <w:cnfStyle w:val="000000100000" w:firstRow="0" w:lastRow="0" w:firstColumn="0" w:lastColumn="0" w:oddVBand="0" w:evenVBand="0" w:oddHBand="1" w:evenHBand="0" w:firstRowFirstColumn="0" w:firstRowLastColumn="0" w:lastRowFirstColumn="0" w:lastRowLastColumn="0"/>
        </w:trPr>
        <w:tc>
          <w:tcPr>
            <w:tcW w:w="1450" w:type="dxa"/>
            <w:cnfStyle w:val="001000000000" w:firstRow="0" w:lastRow="0" w:firstColumn="1" w:lastColumn="0" w:oddVBand="0" w:evenVBand="0" w:oddHBand="0" w:evenHBand="0" w:firstRowFirstColumn="0" w:firstRowLastColumn="0" w:lastRowFirstColumn="0" w:lastRowLastColumn="0"/>
            <w:tcBorders>
              <w:right w:val="nil"/>
            </w:tcBorders>
            <w:shd w:color="auto" w:fill="000000" w:themeFill="text1" w:val="clear"/>
          </w:tcPr>
          <w:p>
            <w:pPr>
              <w:pStyle w:val="Normal"/>
              <w:widowControl/>
              <w:suppressAutoHyphens w:val="true"/>
              <w:spacing w:before="240" w:after="16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6–12 months</w:t>
            </w:r>
          </w:p>
        </w:tc>
        <w:tc>
          <w:tcPr>
            <w:tcW w:w="4645" w:type="dxa"/>
            <w:tcBorders/>
            <w:shd w:color="auto" w:fill="999999" w:themeFill="text1" w:themeFillTint="66"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SIEM/logging, BCP testing, supplier audits, security awareness.</w:t>
            </w:r>
          </w:p>
        </w:tc>
        <w:tc>
          <w:tcPr>
            <w:tcW w:w="2921" w:type="dxa"/>
            <w:tcBorders/>
            <w:shd w:color="auto" w:fill="999999" w:themeFill="text1" w:themeFillTint="66" w:val="clear"/>
          </w:tcPr>
          <w:p>
            <w:pPr>
              <w:pStyle w:val="Normal"/>
              <w:widowControl/>
              <w:suppressAutoHyphens w:val="true"/>
              <w:spacing w:before="240" w:after="160"/>
              <w:cnfStyle w:val="000000100000" w:firstRow="0" w:lastRow="0" w:firstColumn="0" w:lastColumn="0" w:oddVBand="0" w:evenVBand="0" w:oddHBand="1"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Continuous improvement.</w:t>
            </w:r>
          </w:p>
        </w:tc>
      </w:tr>
      <w:tr>
        <w:trPr/>
        <w:tc>
          <w:tcPr>
            <w:tcW w:w="1450" w:type="dxa"/>
            <w:cnfStyle w:val="001000000000" w:firstRow="0" w:lastRow="0" w:firstColumn="1" w:lastColumn="0" w:oddVBand="0" w:evenVBand="0" w:oddHBand="0" w:evenHBand="0" w:firstRowFirstColumn="0" w:firstRowLastColumn="0" w:lastRowFirstColumn="0" w:lastRowLastColumn="0"/>
            <w:tcBorders>
              <w:right w:val="nil"/>
            </w:tcBorders>
            <w:shd w:color="auto" w:fill="000000" w:themeFill="text1" w:val="clear"/>
          </w:tcPr>
          <w:p>
            <w:pPr>
              <w:pStyle w:val="Normal"/>
              <w:widowControl/>
              <w:suppressAutoHyphens w:val="true"/>
              <w:spacing w:before="240" w:after="160"/>
              <w:rPr>
                <w:rFonts w:eastAsia="Calibri" w:cs=""/>
                <w:b/>
                <w:bCs/>
                <w:color w:themeColor="background1" w:val="FFFFFF"/>
                <w:kern w:val="2"/>
                <w:szCs w:val="22"/>
                <w:lang w:val="en-IN" w:eastAsia="en-US" w:bidi="ar-SA"/>
              </w:rPr>
            </w:pPr>
            <w:r>
              <w:rPr>
                <w:rFonts w:eastAsia="Calibri" w:cs=""/>
                <w:b/>
                <w:bCs/>
                <w:color w:themeColor="background1" w:val="FFFFFF"/>
                <w:kern w:val="2"/>
                <w:szCs w:val="22"/>
                <w:lang w:val="en-IN" w:eastAsia="en-US" w:bidi="ar-SA"/>
              </w:rPr>
              <w:t>12+ months</w:t>
            </w:r>
          </w:p>
        </w:tc>
        <w:tc>
          <w:tcPr>
            <w:tcW w:w="4645" w:type="dxa"/>
            <w:tcBorders/>
            <w:shd w:color="auto" w:fill="CCCCCC" w:themeFill="text1" w:themeFillTint="33" w:val="clear"/>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Readiness for certification, maturity review, AI/IoT security review.</w:t>
            </w:r>
          </w:p>
        </w:tc>
        <w:tc>
          <w:tcPr>
            <w:tcW w:w="2921" w:type="dxa"/>
            <w:tcBorders/>
            <w:shd w:color="auto" w:fill="CCCCCC" w:themeFill="text1" w:themeFillTint="33" w:val="clear"/>
          </w:tcPr>
          <w:p>
            <w:pPr>
              <w:pStyle w:val="Normal"/>
              <w:widowControl/>
              <w:suppressAutoHyphens w:val="true"/>
              <w:spacing w:before="240" w:after="160"/>
              <w:cnfStyle w:val="000000000000" w:firstRow="0" w:lastRow="0" w:firstColumn="0" w:lastColumn="0" w:oddVBand="0" w:evenVBand="0" w:oddHBand="0" w:evenHBand="0" w:firstRowFirstColumn="0" w:firstRowLastColumn="0" w:lastRowFirstColumn="0" w:lastRowLastColumn="0"/>
              <w:rPr>
                <w:rFonts w:eastAsia="Calibri" w:cs=""/>
                <w:kern w:val="2"/>
                <w:szCs w:val="22"/>
                <w:lang w:val="en-IN" w:eastAsia="en-US" w:bidi="ar-SA"/>
              </w:rPr>
            </w:pPr>
            <w:r>
              <w:rPr>
                <w:rFonts w:eastAsia="Calibri" w:cs=""/>
                <w:kern w:val="2"/>
                <w:szCs w:val="22"/>
                <w:lang w:val="en-IN" w:eastAsia="en-US" w:bidi="ar-SA"/>
              </w:rPr>
              <w:t>Long-term resilience.</w:t>
            </w:r>
          </w:p>
        </w:tc>
      </w:tr>
    </w:tbl>
    <w:p>
      <w:pPr>
        <w:pStyle w:val="Heading2"/>
        <w:rPr/>
      </w:pPr>
      <w:r>
        <w:rPr/>
        <w:t>5.2. Critical Justification, Challenges, and Discussions</w:t>
      </w:r>
    </w:p>
    <w:p>
      <w:pPr>
        <w:pStyle w:val="Normal"/>
        <w:rPr>
          <w:b/>
          <w:bCs/>
        </w:rPr>
      </w:pPr>
      <w:r>
        <w:rPr>
          <w:b/>
          <w:bCs/>
        </w:rPr>
        <w:t>Technical and Control Justification</w:t>
      </w:r>
    </w:p>
    <w:p>
      <w:pPr>
        <w:pStyle w:val="Normal"/>
        <w:rPr/>
      </w:pPr>
      <w:r>
        <w:rPr/>
        <w:t>Identity verification (MFA, or multi-factor authentication) is a basic security control. In ALL's unique situation, however, it would be woefully inadequate to say the least, as there are so many unmanaged devices globally that are not in time synch with a Zero-Trust conditional access policy. To enable ALL to provide ongoing validation and authorisation of access based on the situational threat / overall risk, ALL maps all controls to a NIST ‘Protect' function in the Control Layer [9]. Furthermore, integrating AI driven predictive analysis at this level can streamline real-time anomaly detection, proactively handling new threats through technical controls.</w:t>
      </w:r>
    </w:p>
    <w:p>
      <w:pPr>
        <w:pStyle w:val="Normal"/>
        <w:rPr>
          <w:b/>
          <w:bCs/>
        </w:rPr>
      </w:pPr>
      <w:r>
        <w:rPr>
          <w:b/>
          <w:bCs/>
        </w:rPr>
        <w:t>Vendor Governance and Implementation Challenges</w:t>
      </w:r>
    </w:p>
    <w:p>
      <w:pPr>
        <w:pStyle w:val="Normal"/>
        <w:rPr/>
      </w:pPr>
      <w:r>
        <w:rPr/>
        <w:t>Besides, it is not only policy change within the company to resolve the 88% cloud dependency. For this reason, it is extremely important to have dedicated Vendor/SLA Management Layer. Strict SLAs with audit rights to the vendors of IaaS and SaaS also introduce real accountability to the vendors, which consequently decreases the danger associated with exposure of PII on the outside [12]. Adoption on a global level is challenging due to integration in the midst of the growing demands of global logistics for the future. Some challenges are the coordination with the multi-jurisdictional regulatory requirements, vendor lock-in and third-party supply chain vulnerabilities.</w:t>
      </w:r>
    </w:p>
    <w:p>
      <w:pPr>
        <w:pStyle w:val="Normal"/>
        <w:rPr>
          <w:b/>
          <w:bCs/>
        </w:rPr>
      </w:pPr>
      <w:r>
        <w:rPr>
          <w:b/>
          <w:bCs/>
        </w:rPr>
        <w:t>Strategic Leadership and Industry Engagement</w:t>
      </w:r>
    </w:p>
    <w:p>
      <w:pPr>
        <w:pStyle w:val="Normal"/>
        <w:rPr/>
      </w:pPr>
      <w:r>
        <w:rPr/>
        <w:t>Communication of this strategic plan will be done through executive cyber drills and board level conferences and contingency testing, to showcase leadership and the dedication to building a resilient, regulated and compliant ecosystem. The project results, long-term leadership and continuous alignment with future global needs, will be presented in peer reviewed papers for conferences.</w:t>
      </w:r>
    </w:p>
    <w:p>
      <w:pPr>
        <w:pStyle w:val="Heading1"/>
        <w:rPr/>
      </w:pPr>
      <w:bookmarkStart w:id="13" w:name="_Toc233718946"/>
      <w:r>
        <w:rPr/>
        <w:t>6. Continuous Updates to Regulations and Standards</w:t>
      </w:r>
      <w:bookmarkEnd w:id="13"/>
      <w:r>
        <w:rPr/>
        <w:t xml:space="preserve"> </w:t>
      </w:r>
    </w:p>
    <w:p>
      <w:pPr>
        <w:pStyle w:val="Normal"/>
        <w:rPr/>
      </w:pPr>
      <w:r>
        <w:rPr/>
        <w:t>In today's digital business world, cybersecurity governance and compliance are not as straightforward as a ‘tick-box'. Rather, are critical to maintain business functions, maintain customer confidence, and achieve legal and/or regulatory compliance. The company, specifically AeroLink Logistics (ALL), relies heavily on the services of the cloud, Internet of Things (IoT) and Artificial Intelligence (AI) devices, making this especially crucial. These technologies can help businesses to be more efficient, but they also come with cybersecurity challenges.</w:t>
      </w:r>
    </w:p>
    <w:p>
      <w:pPr>
        <w:pStyle w:val="Normal"/>
        <w:rPr/>
      </w:pPr>
      <w:r>
        <w:rPr/>
        <w:t>AI and IoT have revolutionized logistics, providing real-time tracking of shipments, automation, and quicker decision making. But there are also new security issues that are brought about by these technologies. The attacks on AI systems can compromise the accuracy of business decisions, for example, by poisoning the data or by adversarial manipulation. Similarly, the IoT devices are being placed in our homes, offices, and cities with weak built-in security, and they are vulnerable for an attack. The biggest worry about ALL is one of third-party dependency. Approximately 88% of the IT infrastructures are hosted in clouds, making external vendors and digital supply chains vulnerable. Such third-party bonds should be monitored continuously and governed more tightly in order to mitigate security risks [15].</w:t>
      </w:r>
    </w:p>
    <w:p>
      <w:pPr>
        <w:pStyle w:val="Normal"/>
        <w:rPr/>
      </w:pPr>
      <w:r>
        <w:rPr/>
        <w:t xml:space="preserve">In response to these challenges, cybersecurity frameworks have undergone a shift to support today's digital environment. For instance, the NIST Cybersecurity Framework (CSF) 2.0 blocks organizations from a “one-and-done” security assessment strategy and instead prompts them to shift to a continuous risk management approach. This is more appropriate for an organization that relies on cloud services, outsourcing and distributed IT environments, such as ALL [11]. Meanwhile, some organisations have to follow varying data protection legislation and industry standards. Compliance is no longer a once-and-only basis but rather a continuous basis of security controls that are improved continually throughout the time. Senior management also has its own critical role to play in safeguarding sensitive data, particularly Personally Identifiable Information (PII). When the regulations are not met, there is the possibility of financial penalties, legal proceedings and harm to the organisation's reputation [14]. </w:t>
      </w:r>
    </w:p>
    <w:p>
      <w:pPr>
        <w:pStyle w:val="Heading1"/>
        <w:rPr/>
      </w:pPr>
      <w:bookmarkStart w:id="14" w:name="_Toc233718947"/>
      <w:r>
        <w:rPr/>
        <w:t>7. Conclusion</w:t>
      </w:r>
      <w:bookmarkEnd w:id="14"/>
      <w:r>
        <w:rPr/>
        <w:t xml:space="preserve"> </w:t>
      </w:r>
    </w:p>
    <w:p>
      <w:pPr>
        <w:pStyle w:val="Normal"/>
        <w:rPr/>
      </w:pPr>
      <w:r>
        <w:rPr/>
        <w:t xml:space="preserve">AeroLink Logistics (ALL) needs to transform itself from a reactive, disjointed method of IT to a strategic and unified approach to security. It's clearly insufficient to adopt just one framework when ALL's digital environment is quite complex with 88% of the infrastructure outsourced to the cloud, unmanaged access from remote locations, and insecure IoT deployments. </w:t>
      </w:r>
    </w:p>
    <w:p>
      <w:pPr>
        <w:pStyle w:val="Normal"/>
        <w:rPr/>
      </w:pPr>
      <w:r>
        <w:rPr/>
        <w:t xml:space="preserve">Therefore, one could propose a hybrid type of integration as the most suitable for the organisation. This is the mix of COBIT 2019, NIST CSF 2.0, ISO/IEC 27001 and ITIL for auditable compliance and vendor SLA enforcement and offers a complete solution for every unaddressed governance and technical gap identified. </w:t>
      </w:r>
    </w:p>
    <w:p>
      <w:pPr>
        <w:pStyle w:val="Normal"/>
        <w:rPr/>
      </w:pPr>
      <w:r>
        <w:rPr/>
        <w:t xml:space="preserve">The short story is that there are solutions to address ALL's current vulnerabilities such as AI-powered anomaly detection, quantitative risk mapping, and executive-level cyber drills. Future contingency plans involve constant AI integration and monitoring vendors, assuring resilient, global logistics operations poised to future global needs and a changing threat environment.  </w:t>
      </w:r>
    </w:p>
    <w:p>
      <w:pPr>
        <w:pStyle w:val="Normal"/>
        <w:spacing w:lineRule="auto" w:line="259" w:before="0" w:after="160"/>
        <w:jc w:val="left"/>
        <w:rPr>
          <w:rFonts w:eastAsia="" w:cs="" w:cstheme="majorBidi" w:eastAsiaTheme="majorEastAsia"/>
          <w:b/>
          <w:sz w:val="28"/>
          <w:szCs w:val="40"/>
        </w:rPr>
      </w:pPr>
      <w:r>
        <w:rPr>
          <w:rFonts w:eastAsia="" w:cs="" w:cstheme="majorBidi" w:eastAsiaTheme="majorEastAsia"/>
          <w:b/>
          <w:sz w:val="28"/>
          <w:szCs w:val="40"/>
        </w:rPr>
      </w:r>
      <w:r>
        <w:br w:type="page"/>
      </w:r>
    </w:p>
    <w:p>
      <w:pPr>
        <w:pStyle w:val="Heading1"/>
        <w:spacing w:before="0" w:after="80"/>
        <w:rPr/>
      </w:pPr>
      <w:bookmarkStart w:id="15" w:name="_Toc233718948"/>
      <w:r>
        <w:rPr/>
        <w:t>References</w:t>
      </w:r>
      <w:bookmarkEnd w:id="15"/>
      <w:r>
        <w:rPr/>
        <w:t xml:space="preserve"> </w:t>
      </w:r>
    </w:p>
    <w:p>
      <w:pPr>
        <w:pStyle w:val="Normal"/>
        <w:rPr/>
      </w:pPr>
      <w:r>
        <w:rPr/>
        <w:t xml:space="preserve">[1] P. Tiitto, "Service level agreements: quality assurance in a public sector organisation," 2025. urn; urn:nbn:fi:amk-2025-898204   </w:t>
      </w:r>
    </w:p>
    <w:p>
      <w:pPr>
        <w:pStyle w:val="Normal"/>
        <w:rPr/>
      </w:pPr>
      <w:r>
        <w:rPr/>
        <w:t xml:space="preserve">[2] O. M. Oluoha, A. Odeshina, O. Reis, F. Okpeke, V. Attipoe, and O. H. Orieno, "A unified framework for risk-based access control and identity management in compliance-critical environments," </w:t>
      </w:r>
      <w:r>
        <w:rPr>
          <w:i/>
          <w:iCs/>
        </w:rPr>
        <w:t>J. Frontiers Multidisciplinary Res.</w:t>
      </w:r>
      <w:r>
        <w:rPr/>
        <w:t xml:space="preserve">, vol. 3, no. 1, pp. 23-34, 2022. doi; 10.54660/IJFMR.2022.3.1.23  </w:t>
      </w:r>
    </w:p>
    <w:p>
      <w:pPr>
        <w:pStyle w:val="Normal"/>
        <w:rPr/>
      </w:pPr>
      <w:r>
        <w:rPr/>
        <w:t xml:space="preserve">[3] M. Almutairi and F. T. Sheldon, "IoT–cloud integration security: A survey of challenges, solutions, and directions," </w:t>
      </w:r>
      <w:r>
        <w:rPr>
          <w:i/>
          <w:iCs/>
        </w:rPr>
        <w:t>Electronics</w:t>
      </w:r>
      <w:r>
        <w:rPr/>
        <w:t xml:space="preserve">, vol. 14, no. 7, p. 1394, 2025. doi; 10.3390/electronics14071394 </w:t>
      </w:r>
    </w:p>
    <w:p>
      <w:pPr>
        <w:pStyle w:val="Normal"/>
        <w:rPr/>
      </w:pPr>
      <w:r>
        <w:rPr/>
        <w:t xml:space="preserve">[4] M. Parmar and A. Miles, "Cyber security frameworks (CSFs): An assessment between the NIST CSF v2.0 and EU standards," in </w:t>
      </w:r>
      <w:r>
        <w:rPr>
          <w:i/>
          <w:iCs/>
        </w:rPr>
        <w:t>2024 Security for Space Systems (3S)</w:t>
      </w:r>
      <w:r>
        <w:rPr/>
        <w:t xml:space="preserve">, IEEE, May 2024, pp. 1-7. (Conference Paper / ESA Indico Record) </w:t>
      </w:r>
    </w:p>
    <w:p>
      <w:pPr>
        <w:pStyle w:val="Normal"/>
        <w:rPr/>
      </w:pPr>
      <w:r>
        <w:rPr/>
        <w:t xml:space="preserve">[5] J. A. Smith, E. R. Johnson, M. T. Brown, S. L. Davis, and E. William, "Program Governance Alignment with NIST Frameworks," 2024. doi; 10.13140/RG.2.2.14660.39503 </w:t>
      </w:r>
    </w:p>
    <w:p>
      <w:pPr>
        <w:pStyle w:val="Normal"/>
        <w:rPr/>
      </w:pPr>
      <w:r>
        <w:rPr/>
        <w:t xml:space="preserve">[6] M. Paparizarei, "Analysis of security standards," 2024. handle; 123456789/9076 </w:t>
      </w:r>
    </w:p>
    <w:p>
      <w:pPr>
        <w:pStyle w:val="Normal"/>
        <w:rPr/>
      </w:pPr>
      <w:r>
        <w:rPr/>
        <w:t xml:space="preserve">[7] B. Metin, S. B. Sevim, and M. Wynn, "Cybersecurity Strategy Development: Towards an Integrated Approach Based on COBIT and ISO 27000 Series Standards," </w:t>
      </w:r>
      <w:r>
        <w:rPr>
          <w:i/>
          <w:iCs/>
        </w:rPr>
        <w:t>Standards</w:t>
      </w:r>
      <w:r>
        <w:rPr/>
        <w:t xml:space="preserve">, vol. 5, no. 4, p. 33, 2025. doi; 10.3390/standards5040033 </w:t>
      </w:r>
    </w:p>
    <w:p>
      <w:pPr>
        <w:pStyle w:val="Normal"/>
        <w:rPr/>
      </w:pPr>
      <w:r>
        <w:rPr/>
        <w:t xml:space="preserve">[8] M. Alojail, "ITIL usage, and use of ITIL recommended practices and the IT outsourcing relationship quality," Ph.D. dissertation, RMIT University, 2024. doi; 10.25439/rmt.27351378 </w:t>
      </w:r>
    </w:p>
    <w:p>
      <w:pPr>
        <w:pStyle w:val="Normal"/>
        <w:rPr/>
      </w:pPr>
      <w:r>
        <w:rPr/>
        <w:t xml:space="preserve">[9] C. Varol, "Enhancing and Adapting Security Risk Assessment Strategies on Critical Infrastructure Utilizing IoT Devices using NIST Cybersecurity Framework 2.0," Institute for Homeland Security, 2024. handle; 20.500.11875/4982 </w:t>
      </w:r>
    </w:p>
    <w:p>
      <w:pPr>
        <w:pStyle w:val="Normal"/>
        <w:rPr/>
      </w:pPr>
      <w:r>
        <w:rPr/>
        <w:t xml:space="preserve">[10] M. O. Faruq, "Vendor risk management in cloud-centric architectures: A systematic review of soc 2, Fedramp, and ISO 27001 practices," </w:t>
      </w:r>
      <w:r>
        <w:rPr>
          <w:i/>
          <w:iCs/>
        </w:rPr>
        <w:t>Int. J. Bus. Econ. Insights</w:t>
      </w:r>
      <w:r>
        <w:rPr/>
        <w:t xml:space="preserve">, vol. 4, no. 1, pp. 1-32, 2024. doi; 10.63125/j64vb122 </w:t>
      </w:r>
    </w:p>
    <w:p>
      <w:pPr>
        <w:pStyle w:val="Normal"/>
        <w:rPr/>
      </w:pPr>
      <w:r>
        <w:rPr/>
        <w:t xml:space="preserve">[11] T. J. Faulk Jr., "Senior Executives’ Strategic Edicts for Consistent Information Technology Metrics over Asset Management," Ph.D. dissertation, Walden University, 2024. ProQuest ID; 50e44e354effb60f866130d7d307bc50 </w:t>
      </w:r>
    </w:p>
    <w:p>
      <w:pPr>
        <w:pStyle w:val="Normal"/>
        <w:rPr/>
      </w:pPr>
      <w:r>
        <w:rPr/>
        <w:t xml:space="preserve">[12] M. Usman, "First Steps to Cyber Maturity: A NIST CSF 2.0-Inspired Guideline for SMEs Bridging High-Risk Mitigation and Build Foundation for Compliance," 2025. urn; urn:nbn:se:ltu:diva-114857 </w:t>
      </w:r>
    </w:p>
    <w:p>
      <w:pPr>
        <w:pStyle w:val="Normal"/>
        <w:rPr/>
      </w:pPr>
      <w:r>
        <w:rPr/>
        <w:t xml:space="preserve">[13] P. Dhanabal, "Demystifying ITIL-based incident management in cloud environments," </w:t>
      </w:r>
      <w:r>
        <w:rPr>
          <w:i/>
          <w:iCs/>
        </w:rPr>
        <w:t>J. Comput. Sci. Technol. Stud.</w:t>
      </w:r>
      <w:r>
        <w:rPr/>
        <w:t xml:space="preserve">, vol. 7, no. 8, pp. 892-903, 2025. doi; 10.32996/jcsts.2025.7.8.104 </w:t>
      </w:r>
    </w:p>
    <w:p>
      <w:pPr>
        <w:pStyle w:val="Normal"/>
        <w:rPr/>
      </w:pPr>
      <w:r>
        <w:rPr/>
        <w:t xml:space="preserve">[14] F. Zerbini, "The cloud revolution in the ERP industry: business model transformation and organisational impacts," 2024. handle; 10589/246980 </w:t>
      </w:r>
    </w:p>
    <w:p>
      <w:pPr>
        <w:pStyle w:val="Normal"/>
        <w:rPr/>
      </w:pPr>
      <w:r>
        <w:rPr/>
        <w:t xml:space="preserve">[15] K. B. Oh, G. Hoang, J. Sturdy, and S. S. Guo, "Strategic Cybersecurity Governance," in </w:t>
      </w:r>
      <w:r>
        <w:rPr>
          <w:i/>
          <w:iCs/>
        </w:rPr>
        <w:t>Cybersecurity Governance: An Enterprise Risk Management Strategy for Cyber Risk Control</w:t>
      </w:r>
      <w:r>
        <w:rPr/>
        <w:t xml:space="preserve">, Singapore: Springer Nature Singapore, 2025, pp. 215-260. doi; 10.1007/978-981-95-3865-2_10 </w:t>
      </w:r>
    </w:p>
    <w:p>
      <w:pPr>
        <w:pStyle w:val="Normal"/>
        <w:rPr/>
      </w:pPr>
      <w:r>
        <w:rPr/>
        <w:t xml:space="preserve">[16] W. S. Basri and A. L. Ayu, "Risk Management in Information Systems: Applying ISO 31000: 2018 and ISO/IEC 27001: 2022 Controls at PMI's Central Clinic," </w:t>
      </w:r>
      <w:r>
        <w:rPr>
          <w:i/>
          <w:iCs/>
        </w:rPr>
        <w:t>Int. J. Appl. Inf. Manage.</w:t>
      </w:r>
      <w:r>
        <w:rPr/>
        <w:t xml:space="preserve">, vol. 4, no. 1, pp. 1-13, 2024. doi; 10.47738/ijaim.v4i1.70 </w:t>
      </w:r>
    </w:p>
    <w:p>
      <w:pPr>
        <w:pStyle w:val="Normal"/>
        <w:widowControl/>
        <w:bidi w:val="0"/>
        <w:spacing w:lineRule="auto" w:line="240" w:before="240" w:after="240"/>
        <w:jc w:val="both"/>
        <w:rPr/>
      </w:pPr>
      <w:r>
        <w:rPr/>
        <w:t>[17] M. R. Alappat, "Multifactor authentication using zero trust," Rochester Institute of Technology, 2023. RIT Repository ID; 12639</w:t>
      </w:r>
    </w:p>
    <w:sectPr>
      <w:footerReference w:type="even" r:id="rId5"/>
      <w:footerReference w:type="default" r:id="rId6"/>
      <w:footerReference w:type="first" r:id="rId7"/>
      <w:type w:val="nextPage"/>
      <w:pgSz w:w="11906" w:h="16838"/>
      <w:pgMar w:left="1440" w:right="1440" w:gutter="0" w:header="0" w:top="1440" w:footer="708" w:bottom="144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Times New Roman">
    <w:charset w:val="01"/>
    <w:family w:val="roman"/>
    <w:pitch w:val="variable"/>
  </w:font>
  <w:font w:name="Calibri Light">
    <w:charset w:val="01"/>
    <w:family w:val="roman"/>
    <w:pitch w:val="variable"/>
  </w:font>
  <w:font w:name="Liberation Sans">
    <w:altName w:val="Arial"/>
    <w:charset w:val="01"/>
    <w:family w:val="roman"/>
    <w:pitch w:val="variable"/>
  </w:font>
  <w:font w:name="Arial">
    <w:charset w:val="01"/>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240" w:after="0"/>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592306805"/>
    </w:sdtPr>
    <w:sdtContent>
      <w:p>
        <w:pPr>
          <w:pStyle w:val="Footer"/>
          <w:spacing w:before="240" w:after="0"/>
          <w:jc w:val="right"/>
          <w:rPr>
            <w:sz w:val="20"/>
            <w:szCs w:val="18"/>
          </w:rPr>
        </w:pPr>
        <w:r>
          <w:rPr/>
          <w:fldChar w:fldCharType="begin"/>
        </w:r>
        <w:r>
          <w:rPr/>
          <w:instrText xml:space="preserve"> PAGE </w:instrText>
        </w:r>
        <w:r>
          <w:rPr/>
          <w:fldChar w:fldCharType="separate"/>
        </w:r>
        <w:r>
          <w:rPr/>
          <w:t>16</w:t>
        </w:r>
        <w:r>
          <w:rPr/>
          <w:fldChar w:fldCharType="end"/>
        </w:r>
      </w:p>
    </w:sdtContent>
  </w:sdt>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240" w:after="0"/>
      <w:rPr/>
    </w:pPr>
    <w:r>
      <w:rPr/>
    </w:r>
  </w:p>
</w:ftr>
</file>

<file path=word/settings.xml><?xml version="1.0" encoding="utf-8"?>
<w:settings xmlns:w="http://schemas.openxmlformats.org/wordprocessingml/2006/main">
  <w:zoom w:percent="117"/>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 w:val="22"/>
        <w:szCs w:val="22"/>
        <w:lang w:val="en-IN"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c5137"/>
    <w:pPr>
      <w:widowControl/>
      <w:suppressAutoHyphens w:val="true"/>
      <w:bidi w:val="0"/>
      <w:spacing w:lineRule="auto" w:line="240" w:before="240" w:after="240"/>
      <w:jc w:val="both"/>
    </w:pPr>
    <w:rPr>
      <w:rFonts w:ascii="Times New Roman" w:hAnsi="Times New Roman" w:eastAsia="Calibri" w:cs="" w:cstheme="minorBidi" w:eastAsiaTheme="minorHAnsi"/>
      <w:color w:val="auto"/>
      <w:kern w:val="2"/>
      <w:sz w:val="24"/>
      <w:szCs w:val="22"/>
      <w:lang w:val="en-IN" w:eastAsia="en-US" w:bidi="ar-SA"/>
      <w14:ligatures w14:val="standardContextual"/>
    </w:rPr>
  </w:style>
  <w:style w:type="paragraph" w:styleId="Heading1">
    <w:name w:val="Heading 1"/>
    <w:basedOn w:val="Normal"/>
    <w:next w:val="Normal"/>
    <w:link w:val="Heading1Char"/>
    <w:uiPriority w:val="9"/>
    <w:qFormat/>
    <w:rsid w:val="00ac5137"/>
    <w:pPr>
      <w:keepNext w:val="true"/>
      <w:keepLines/>
      <w:spacing w:before="360" w:after="80"/>
      <w:jc w:val="center"/>
      <w:outlineLvl w:val="0"/>
    </w:pPr>
    <w:rPr>
      <w:rFonts w:eastAsia="" w:cs="" w:cstheme="majorBidi" w:eastAsiaTheme="majorEastAsia"/>
      <w:b/>
      <w:sz w:val="28"/>
      <w:szCs w:val="40"/>
    </w:rPr>
  </w:style>
  <w:style w:type="paragraph" w:styleId="Heading2">
    <w:name w:val="Heading 2"/>
    <w:basedOn w:val="Normal"/>
    <w:next w:val="Normal"/>
    <w:link w:val="Heading2Char"/>
    <w:uiPriority w:val="9"/>
    <w:unhideWhenUsed/>
    <w:qFormat/>
    <w:rsid w:val="00ff1cf0"/>
    <w:pPr>
      <w:keepNext w:val="true"/>
      <w:keepLines/>
      <w:outlineLvl w:val="1"/>
    </w:pPr>
    <w:rPr>
      <w:rFonts w:eastAsia="" w:cs="" w:cstheme="majorBidi" w:eastAsiaTheme="majorEastAsia"/>
      <w:b/>
      <w:sz w:val="26"/>
      <w:szCs w:val="32"/>
    </w:rPr>
  </w:style>
  <w:style w:type="paragraph" w:styleId="Heading3">
    <w:name w:val="Heading 3"/>
    <w:basedOn w:val="Normal"/>
    <w:next w:val="Normal"/>
    <w:link w:val="Heading3Char"/>
    <w:uiPriority w:val="9"/>
    <w:semiHidden/>
    <w:unhideWhenUsed/>
    <w:qFormat/>
    <w:rsid w:val="00ad41d7"/>
    <w:pPr>
      <w:keepNext w:val="true"/>
      <w:keepLines/>
      <w:spacing w:before="160" w:after="80"/>
      <w:outlineLvl w:val="2"/>
    </w:pPr>
    <w:rPr>
      <w:rFonts w:eastAsia="" w:cs="" w:cstheme="majorBidi" w:eastAsiaTheme="majorEastAsia"/>
      <w:b/>
      <w:i/>
      <w:sz w:val="26"/>
      <w:szCs w:val="28"/>
    </w:rPr>
  </w:style>
  <w:style w:type="paragraph" w:styleId="Heading4">
    <w:name w:val="Heading 4"/>
    <w:basedOn w:val="Normal"/>
    <w:next w:val="Normal"/>
    <w:link w:val="Heading4Char"/>
    <w:uiPriority w:val="9"/>
    <w:semiHidden/>
    <w:unhideWhenUsed/>
    <w:qFormat/>
    <w:rsid w:val="00e1133f"/>
    <w:pPr>
      <w:keepNext w:val="true"/>
      <w:keepLines/>
      <w:spacing w:before="80" w:after="40"/>
      <w:outlineLvl w:val="3"/>
    </w:pPr>
    <w:rPr>
      <w:rFonts w:ascii="Calibri" w:hAnsi="Calibri" w:eastAsia="" w:cs="" w:asciiTheme="minorHAnsi" w:cstheme="majorBidi" w:eastAsiaTheme="majorEastAsia" w:hAnsiTheme="minorHAnsi"/>
      <w:i/>
      <w:iCs/>
      <w:color w:themeColor="accent1" w:themeShade="bf" w:val="2F5496"/>
    </w:rPr>
  </w:style>
  <w:style w:type="paragraph" w:styleId="Heading5">
    <w:name w:val="Heading 5"/>
    <w:basedOn w:val="Normal"/>
    <w:next w:val="Normal"/>
    <w:link w:val="Heading5Char"/>
    <w:uiPriority w:val="9"/>
    <w:semiHidden/>
    <w:unhideWhenUsed/>
    <w:qFormat/>
    <w:rsid w:val="00e1133f"/>
    <w:pPr>
      <w:keepNext w:val="true"/>
      <w:keepLines/>
      <w:spacing w:before="80" w:after="40"/>
      <w:outlineLvl w:val="4"/>
    </w:pPr>
    <w:rPr>
      <w:rFonts w:ascii="Calibri" w:hAnsi="Calibri" w:eastAsia="" w:cs="" w:asciiTheme="minorHAnsi" w:cstheme="majorBidi" w:eastAsiaTheme="majorEastAsia" w:hAnsiTheme="minorHAnsi"/>
      <w:color w:themeColor="accent1" w:themeShade="bf" w:val="2F5496"/>
    </w:rPr>
  </w:style>
  <w:style w:type="paragraph" w:styleId="Heading6">
    <w:name w:val="Heading 6"/>
    <w:basedOn w:val="Normal"/>
    <w:next w:val="Normal"/>
    <w:link w:val="Heading6Char"/>
    <w:uiPriority w:val="9"/>
    <w:semiHidden/>
    <w:unhideWhenUsed/>
    <w:qFormat/>
    <w:rsid w:val="00e1133f"/>
    <w:pPr>
      <w:keepNext w:val="true"/>
      <w:keepLines/>
      <w:spacing w:before="40" w:after="0"/>
      <w:outlineLvl w:val="5"/>
    </w:pPr>
    <w:rPr>
      <w:rFonts w:ascii="Calibri" w:hAnsi="Calibri" w:eastAsia="" w:cs="" w:asciiTheme="minorHAnsi" w:cstheme="majorBidi" w:eastAsiaTheme="majorEastAsia" w:hAnsiTheme="minorHAnsi"/>
      <w:i/>
      <w:iCs/>
      <w:color w:themeColor="text1" w:themeTint="a6" w:val="595959"/>
    </w:rPr>
  </w:style>
  <w:style w:type="paragraph" w:styleId="Heading7">
    <w:name w:val="Heading 7"/>
    <w:basedOn w:val="Normal"/>
    <w:next w:val="Normal"/>
    <w:link w:val="Heading7Char"/>
    <w:uiPriority w:val="9"/>
    <w:semiHidden/>
    <w:unhideWhenUsed/>
    <w:qFormat/>
    <w:rsid w:val="00e1133f"/>
    <w:pPr>
      <w:keepNext w:val="true"/>
      <w:keepLines/>
      <w:spacing w:before="40" w:after="0"/>
      <w:outlineLvl w:val="6"/>
    </w:pPr>
    <w:rPr>
      <w:rFonts w:ascii="Calibri" w:hAnsi="Calibri" w:eastAsia="" w:cs="" w:asciiTheme="minorHAnsi" w:cstheme="majorBidi" w:eastAsiaTheme="majorEastAsia" w:hAnsiTheme="minorHAnsi"/>
      <w:color w:themeColor="text1" w:themeTint="a6" w:val="595959"/>
    </w:rPr>
  </w:style>
  <w:style w:type="paragraph" w:styleId="Heading8">
    <w:name w:val="Heading 8"/>
    <w:basedOn w:val="Normal"/>
    <w:next w:val="Normal"/>
    <w:link w:val="Heading8Char"/>
    <w:uiPriority w:val="9"/>
    <w:semiHidden/>
    <w:unhideWhenUsed/>
    <w:qFormat/>
    <w:rsid w:val="00e1133f"/>
    <w:pPr>
      <w:keepNext w:val="true"/>
      <w:keepLines/>
      <w:spacing w:before="240" w:after="0"/>
      <w:outlineLvl w:val="7"/>
    </w:pPr>
    <w:rPr>
      <w:rFonts w:ascii="Calibri" w:hAnsi="Calibri" w:eastAsia="" w:cs="" w:asciiTheme="minorHAnsi" w:cstheme="majorBidi" w:eastAsiaTheme="majorEastAsia" w:hAnsiTheme="minorHAnsi"/>
      <w:i/>
      <w:iCs/>
      <w:color w:themeColor="text1" w:themeTint="d8" w:val="272727"/>
    </w:rPr>
  </w:style>
  <w:style w:type="paragraph" w:styleId="Heading9">
    <w:name w:val="Heading 9"/>
    <w:basedOn w:val="Normal"/>
    <w:next w:val="Normal"/>
    <w:link w:val="Heading9Char"/>
    <w:uiPriority w:val="9"/>
    <w:semiHidden/>
    <w:unhideWhenUsed/>
    <w:qFormat/>
    <w:rsid w:val="00e1133f"/>
    <w:pPr>
      <w:keepNext w:val="true"/>
      <w:keepLines/>
      <w:spacing w:before="240" w:after="0"/>
      <w:outlineLvl w:val="8"/>
    </w:pPr>
    <w:rPr>
      <w:rFonts w:ascii="Calibri" w:hAnsi="Calibri" w:eastAsia="" w:cs="" w:asciiTheme="minorHAnsi" w:cstheme="majorBidi" w:eastAsiaTheme="majorEastAsia" w:hAnsiTheme="minorHAnsi"/>
      <w:color w:themeColor="text1" w:themeTint="d8" w:val="272727"/>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ac5137"/>
    <w:rPr>
      <w:rFonts w:ascii="Times New Roman" w:hAnsi="Times New Roman" w:eastAsia="" w:cs="" w:cstheme="majorBidi" w:eastAsiaTheme="majorEastAsia"/>
      <w:b/>
      <w:sz w:val="28"/>
      <w:szCs w:val="40"/>
    </w:rPr>
  </w:style>
  <w:style w:type="character" w:styleId="Heading2Char" w:customStyle="1">
    <w:name w:val="Heading 2 Char"/>
    <w:basedOn w:val="DefaultParagraphFont"/>
    <w:link w:val="Heading2"/>
    <w:uiPriority w:val="9"/>
    <w:qFormat/>
    <w:rsid w:val="00ff1cf0"/>
    <w:rPr>
      <w:rFonts w:ascii="Times New Roman" w:hAnsi="Times New Roman" w:eastAsia="" w:cs="" w:cstheme="majorBidi" w:eastAsiaTheme="majorEastAsia"/>
      <w:b/>
      <w:sz w:val="26"/>
      <w:szCs w:val="32"/>
    </w:rPr>
  </w:style>
  <w:style w:type="character" w:styleId="Heading3Char" w:customStyle="1">
    <w:name w:val="Heading 3 Char"/>
    <w:basedOn w:val="DefaultParagraphFont"/>
    <w:link w:val="Heading3"/>
    <w:uiPriority w:val="9"/>
    <w:semiHidden/>
    <w:qFormat/>
    <w:rsid w:val="00ad41d7"/>
    <w:rPr>
      <w:rFonts w:ascii="Times New Roman" w:hAnsi="Times New Roman" w:eastAsia="" w:cs="" w:cstheme="majorBidi" w:eastAsiaTheme="majorEastAsia"/>
      <w:b/>
      <w:i/>
      <w:sz w:val="26"/>
      <w:szCs w:val="28"/>
    </w:rPr>
  </w:style>
  <w:style w:type="character" w:styleId="Heading4Char" w:customStyle="1">
    <w:name w:val="Heading 4 Char"/>
    <w:basedOn w:val="DefaultParagraphFont"/>
    <w:link w:val="Heading4"/>
    <w:uiPriority w:val="9"/>
    <w:semiHidden/>
    <w:qFormat/>
    <w:rsid w:val="00e1133f"/>
    <w:rPr>
      <w:rFonts w:eastAsia="" w:cs="" w:cstheme="majorBidi" w:eastAsiaTheme="majorEastAsia"/>
      <w:i/>
      <w:iCs/>
      <w:color w:themeColor="accent1" w:themeShade="bf" w:val="2F5496"/>
      <w:sz w:val="24"/>
    </w:rPr>
  </w:style>
  <w:style w:type="character" w:styleId="Heading5Char" w:customStyle="1">
    <w:name w:val="Heading 5 Char"/>
    <w:basedOn w:val="DefaultParagraphFont"/>
    <w:link w:val="Heading5"/>
    <w:uiPriority w:val="9"/>
    <w:semiHidden/>
    <w:qFormat/>
    <w:rsid w:val="00e1133f"/>
    <w:rPr>
      <w:rFonts w:eastAsia="" w:cs="" w:cstheme="majorBidi" w:eastAsiaTheme="majorEastAsia"/>
      <w:color w:themeColor="accent1" w:themeShade="bf" w:val="2F5496"/>
      <w:sz w:val="24"/>
    </w:rPr>
  </w:style>
  <w:style w:type="character" w:styleId="Heading6Char" w:customStyle="1">
    <w:name w:val="Heading 6 Char"/>
    <w:basedOn w:val="DefaultParagraphFont"/>
    <w:link w:val="Heading6"/>
    <w:uiPriority w:val="9"/>
    <w:semiHidden/>
    <w:qFormat/>
    <w:rsid w:val="00e1133f"/>
    <w:rPr>
      <w:rFonts w:eastAsia="" w:cs="" w:cstheme="majorBidi" w:eastAsiaTheme="majorEastAsia"/>
      <w:i/>
      <w:iCs/>
      <w:color w:themeColor="text1" w:themeTint="a6" w:val="595959"/>
      <w:sz w:val="24"/>
    </w:rPr>
  </w:style>
  <w:style w:type="character" w:styleId="Heading7Char" w:customStyle="1">
    <w:name w:val="Heading 7 Char"/>
    <w:basedOn w:val="DefaultParagraphFont"/>
    <w:link w:val="Heading7"/>
    <w:uiPriority w:val="9"/>
    <w:semiHidden/>
    <w:qFormat/>
    <w:rsid w:val="00e1133f"/>
    <w:rPr>
      <w:rFonts w:eastAsia="" w:cs="" w:cstheme="majorBidi" w:eastAsiaTheme="majorEastAsia"/>
      <w:color w:themeColor="text1" w:themeTint="a6" w:val="595959"/>
      <w:sz w:val="24"/>
    </w:rPr>
  </w:style>
  <w:style w:type="character" w:styleId="Heading8Char" w:customStyle="1">
    <w:name w:val="Heading 8 Char"/>
    <w:basedOn w:val="DefaultParagraphFont"/>
    <w:link w:val="Heading8"/>
    <w:uiPriority w:val="9"/>
    <w:semiHidden/>
    <w:qFormat/>
    <w:rsid w:val="00e1133f"/>
    <w:rPr>
      <w:rFonts w:eastAsia="" w:cs="" w:cstheme="majorBidi" w:eastAsiaTheme="majorEastAsia"/>
      <w:i/>
      <w:iCs/>
      <w:color w:themeColor="text1" w:themeTint="d8" w:val="272727"/>
      <w:sz w:val="24"/>
    </w:rPr>
  </w:style>
  <w:style w:type="character" w:styleId="Heading9Char" w:customStyle="1">
    <w:name w:val="Heading 9 Char"/>
    <w:basedOn w:val="DefaultParagraphFont"/>
    <w:link w:val="Heading9"/>
    <w:uiPriority w:val="9"/>
    <w:semiHidden/>
    <w:qFormat/>
    <w:rsid w:val="00e1133f"/>
    <w:rPr>
      <w:rFonts w:eastAsia="" w:cs="" w:cstheme="majorBidi" w:eastAsiaTheme="majorEastAsia"/>
      <w:color w:themeColor="text1" w:themeTint="d8" w:val="272727"/>
      <w:sz w:val="24"/>
    </w:rPr>
  </w:style>
  <w:style w:type="character" w:styleId="TitleChar" w:customStyle="1">
    <w:name w:val="Title Char"/>
    <w:basedOn w:val="DefaultParagraphFont"/>
    <w:link w:val="Title"/>
    <w:uiPriority w:val="10"/>
    <w:qFormat/>
    <w:rsid w:val="00e1133f"/>
    <w:rPr>
      <w:rFonts w:ascii="Calibri Light" w:hAnsi="Calibri Light" w:eastAsia="" w:cs=""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e1133f"/>
    <w:rPr>
      <w:rFonts w:eastAsia="" w:cs="" w:cstheme="majorBidi" w:eastAsiaTheme="majorEastAsia"/>
      <w:color w:themeColor="text1" w:themeTint="a6" w:val="595959"/>
      <w:spacing w:val="15"/>
      <w:sz w:val="28"/>
      <w:szCs w:val="28"/>
    </w:rPr>
  </w:style>
  <w:style w:type="character" w:styleId="QuoteChar" w:customStyle="1">
    <w:name w:val="Quote Char"/>
    <w:basedOn w:val="DefaultParagraphFont"/>
    <w:link w:val="Quote"/>
    <w:uiPriority w:val="29"/>
    <w:qFormat/>
    <w:rsid w:val="00e1133f"/>
    <w:rPr>
      <w:rFonts w:ascii="Times New Roman" w:hAnsi="Times New Roman"/>
      <w:i/>
      <w:iCs/>
      <w:color w:themeColor="text1" w:themeTint="bf" w:val="404040"/>
      <w:sz w:val="24"/>
    </w:rPr>
  </w:style>
  <w:style w:type="character" w:styleId="IntenseEmphasis">
    <w:name w:val="Intense Emphasis"/>
    <w:basedOn w:val="DefaultParagraphFont"/>
    <w:uiPriority w:val="21"/>
    <w:qFormat/>
    <w:rsid w:val="00e1133f"/>
    <w:rPr>
      <w:i/>
      <w:iCs/>
      <w:color w:themeColor="accent1" w:themeShade="bf" w:val="2F5496"/>
    </w:rPr>
  </w:style>
  <w:style w:type="character" w:styleId="IntenseQuoteChar" w:customStyle="1">
    <w:name w:val="Intense Quote Char"/>
    <w:basedOn w:val="DefaultParagraphFont"/>
    <w:link w:val="IntenseQuote"/>
    <w:uiPriority w:val="30"/>
    <w:qFormat/>
    <w:rsid w:val="00e1133f"/>
    <w:rPr>
      <w:rFonts w:ascii="Times New Roman" w:hAnsi="Times New Roman"/>
      <w:i/>
      <w:iCs/>
      <w:color w:themeColor="accent1" w:themeShade="bf" w:val="2F5496"/>
      <w:sz w:val="24"/>
    </w:rPr>
  </w:style>
  <w:style w:type="character" w:styleId="IntenseReference">
    <w:name w:val="Intense Reference"/>
    <w:basedOn w:val="DefaultParagraphFont"/>
    <w:uiPriority w:val="32"/>
    <w:qFormat/>
    <w:rsid w:val="00e1133f"/>
    <w:rPr>
      <w:b/>
      <w:bCs/>
      <w:smallCaps/>
      <w:color w:themeColor="accent1" w:themeShade="bf" w:val="2F5496"/>
      <w:spacing w:val="5"/>
    </w:rPr>
  </w:style>
  <w:style w:type="character" w:styleId="Hyperlink">
    <w:name w:val="Hyperlink"/>
    <w:basedOn w:val="DefaultParagraphFont"/>
    <w:uiPriority w:val="99"/>
    <w:unhideWhenUsed/>
    <w:rsid w:val="00ff62b6"/>
    <w:rPr>
      <w:color w:themeColor="hyperlink" w:val="0563C1"/>
      <w:u w:val="single"/>
    </w:rPr>
  </w:style>
  <w:style w:type="character" w:styleId="UnresolvedMention">
    <w:name w:val="Unresolved Mention"/>
    <w:basedOn w:val="DefaultParagraphFont"/>
    <w:uiPriority w:val="99"/>
    <w:semiHidden/>
    <w:unhideWhenUsed/>
    <w:qFormat/>
    <w:rsid w:val="00ff62b6"/>
    <w:rPr>
      <w:color w:val="605E5C"/>
      <w:shd w:fill="E1DFDD" w:val="clear"/>
    </w:rPr>
  </w:style>
  <w:style w:type="character" w:styleId="HeaderChar" w:customStyle="1">
    <w:name w:val="Header Char"/>
    <w:basedOn w:val="DefaultParagraphFont"/>
    <w:link w:val="Header"/>
    <w:uiPriority w:val="99"/>
    <w:qFormat/>
    <w:rsid w:val="00ff62b6"/>
    <w:rPr>
      <w:rFonts w:ascii="Times New Roman" w:hAnsi="Times New Roman"/>
      <w:sz w:val="24"/>
    </w:rPr>
  </w:style>
  <w:style w:type="character" w:styleId="FooterChar" w:customStyle="1">
    <w:name w:val="Footer Char"/>
    <w:basedOn w:val="DefaultParagraphFont"/>
    <w:link w:val="Footer"/>
    <w:uiPriority w:val="99"/>
    <w:qFormat/>
    <w:rsid w:val="00ff62b6"/>
    <w:rPr>
      <w:rFonts w:ascii="Times New Roman" w:hAnsi="Times New Roman"/>
      <w:sz w:val="24"/>
    </w:rPr>
  </w:style>
  <w:style w:type="character" w:styleId="Strong">
    <w:name w:val="Strong"/>
    <w:basedOn w:val="DefaultParagraphFont"/>
    <w:uiPriority w:val="22"/>
    <w:qFormat/>
    <w:rsid w:val="005360e4"/>
    <w:rPr>
      <w:b/>
      <w:bCs/>
    </w:rPr>
  </w:style>
  <w:style w:type="character" w:styleId="apple-converted-space" w:customStyle="1">
    <w:name w:val="apple-converted-space"/>
    <w:basedOn w:val="DefaultParagraphFont"/>
    <w:qFormat/>
    <w:rsid w:val="005360e4"/>
    <w:rPr/>
  </w:style>
  <w:style w:type="character" w:styleId="Emphasis">
    <w:name w:val="Emphasis"/>
    <w:basedOn w:val="DefaultParagraphFont"/>
    <w:uiPriority w:val="20"/>
    <w:qFormat/>
    <w:rsid w:val="005360e4"/>
    <w:rPr>
      <w:i/>
      <w:iCs/>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next w:val="Normal"/>
    <w:uiPriority w:val="35"/>
    <w:unhideWhenUsed/>
    <w:qFormat/>
    <w:rsid w:val="00a2671d"/>
    <w:pPr>
      <w:spacing w:before="0" w:after="200"/>
    </w:pPr>
    <w:rPr>
      <w:i/>
      <w:iCs/>
      <w:color w:themeColor="text2" w:val="44546A"/>
      <w:sz w:val="18"/>
      <w:szCs w:val="18"/>
    </w:rPr>
  </w:style>
  <w:style w:type="paragraph" w:styleId="Index">
    <w:name w:val="Index"/>
    <w:basedOn w:val="Normal"/>
    <w:qFormat/>
    <w:pPr>
      <w:suppressLineNumbers/>
    </w:pPr>
    <w:rPr>
      <w:rFonts w:cs="Noto Sans Devanagari"/>
    </w:rPr>
  </w:style>
  <w:style w:type="paragraph" w:styleId="Title">
    <w:name w:val="Title"/>
    <w:basedOn w:val="Normal"/>
    <w:next w:val="Normal"/>
    <w:link w:val="TitleChar"/>
    <w:uiPriority w:val="10"/>
    <w:qFormat/>
    <w:rsid w:val="00e1133f"/>
    <w:pPr>
      <w:spacing w:before="240" w:after="80"/>
      <w:contextualSpacing/>
    </w:pPr>
    <w:rPr>
      <w:rFonts w:ascii="Calibri Light" w:hAnsi="Calibri Light"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e1133f"/>
    <w:pPr/>
    <w:rPr>
      <w:rFonts w:ascii="Calibri" w:hAnsi="Calibri" w:eastAsia="" w:cs="" w:asciiTheme="minorHAnsi" w:cstheme="majorBidi" w:eastAsiaTheme="majorEastAsia" w:hAnsiTheme="minorHAnsi"/>
      <w:color w:themeColor="text1" w:themeTint="a6" w:val="595959"/>
      <w:spacing w:val="15"/>
      <w:sz w:val="28"/>
      <w:szCs w:val="28"/>
    </w:rPr>
  </w:style>
  <w:style w:type="paragraph" w:styleId="Quote">
    <w:name w:val="Quote"/>
    <w:basedOn w:val="Normal"/>
    <w:next w:val="Normal"/>
    <w:link w:val="QuoteChar"/>
    <w:uiPriority w:val="29"/>
    <w:qFormat/>
    <w:rsid w:val="00e1133f"/>
    <w:pPr>
      <w:spacing w:before="160" w:after="240"/>
      <w:jc w:val="center"/>
    </w:pPr>
    <w:rPr>
      <w:i/>
      <w:iCs/>
      <w:color w:themeColor="text1" w:themeTint="bf" w:val="404040"/>
    </w:rPr>
  </w:style>
  <w:style w:type="paragraph" w:styleId="ListParagraph">
    <w:name w:val="List Paragraph"/>
    <w:basedOn w:val="Normal"/>
    <w:uiPriority w:val="34"/>
    <w:qFormat/>
    <w:rsid w:val="00e1133f"/>
    <w:pPr>
      <w:spacing w:before="240" w:after="240"/>
      <w:ind w:left="720"/>
      <w:contextualSpacing/>
    </w:pPr>
    <w:rPr/>
  </w:style>
  <w:style w:type="paragraph" w:styleId="IntenseQuote">
    <w:name w:val="Intense Quote"/>
    <w:basedOn w:val="Normal"/>
    <w:next w:val="Normal"/>
    <w:link w:val="IntenseQuoteChar"/>
    <w:uiPriority w:val="30"/>
    <w:qFormat/>
    <w:rsid w:val="00e1133f"/>
    <w:pPr>
      <w:pBdr>
        <w:top w:val="single" w:sz="4" w:space="10" w:color="2F5496" w:themeColor="accent1" w:themeShade="bf"/>
        <w:bottom w:val="single" w:sz="4" w:space="10" w:color="2F5496" w:themeColor="accent1" w:themeShade="bf"/>
      </w:pBdr>
      <w:spacing w:before="360" w:after="360"/>
      <w:ind w:left="864" w:right="864"/>
      <w:jc w:val="center"/>
    </w:pPr>
    <w:rPr>
      <w:i/>
      <w:iCs/>
      <w:color w:themeColor="accent1" w:themeShade="bf" w:val="2F5496"/>
    </w:rPr>
  </w:style>
  <w:style w:type="paragraph" w:styleId="HeaderandFooter">
    <w:name w:val="Header and Footer"/>
    <w:basedOn w:val="Normal"/>
    <w:qFormat/>
    <w:pPr/>
    <w:rPr/>
  </w:style>
  <w:style w:type="paragraph" w:styleId="Header">
    <w:name w:val="Header"/>
    <w:basedOn w:val="Normal"/>
    <w:link w:val="HeaderChar"/>
    <w:uiPriority w:val="99"/>
    <w:unhideWhenUsed/>
    <w:rsid w:val="00ff62b6"/>
    <w:pPr>
      <w:tabs>
        <w:tab w:val="clear" w:pos="720"/>
        <w:tab w:val="center" w:pos="4513" w:leader="none"/>
        <w:tab w:val="right" w:pos="9026" w:leader="none"/>
      </w:tabs>
      <w:spacing w:before="240" w:after="0"/>
    </w:pPr>
    <w:rPr/>
  </w:style>
  <w:style w:type="paragraph" w:styleId="Footer">
    <w:name w:val="Footer"/>
    <w:basedOn w:val="Normal"/>
    <w:link w:val="FooterChar"/>
    <w:uiPriority w:val="99"/>
    <w:unhideWhenUsed/>
    <w:rsid w:val="00ff62b6"/>
    <w:pPr>
      <w:tabs>
        <w:tab w:val="clear" w:pos="720"/>
        <w:tab w:val="center" w:pos="4513" w:leader="none"/>
        <w:tab w:val="right" w:pos="9026" w:leader="none"/>
      </w:tabs>
      <w:spacing w:before="240" w:after="0"/>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ff62b6"/>
    <w:pPr>
      <w:spacing w:lineRule="auto" w:line="259" w:before="240" w:after="0"/>
      <w:jc w:val="left"/>
      <w:outlineLvl w:val="9"/>
    </w:pPr>
    <w:rPr>
      <w:rFonts w:ascii="Calibri Light" w:hAnsi="Calibri Light" w:asciiTheme="majorHAnsi" w:hAnsiTheme="majorHAnsi"/>
      <w:b w:val="false"/>
      <w:color w:themeColor="accent1" w:themeShade="bf" w:val="2F5496"/>
      <w:kern w:val="0"/>
      <w:sz w:val="32"/>
      <w:szCs w:val="32"/>
      <w:lang w:val="en-US"/>
      <w14:ligatures w14:val="none"/>
    </w:rPr>
  </w:style>
  <w:style w:type="paragraph" w:styleId="TOC1">
    <w:name w:val="TOC 1"/>
    <w:basedOn w:val="Normal"/>
    <w:next w:val="Normal"/>
    <w:autoRedefine/>
    <w:uiPriority w:val="39"/>
    <w:unhideWhenUsed/>
    <w:rsid w:val="00ff62b6"/>
    <w:pPr>
      <w:spacing w:before="240" w:after="100"/>
    </w:pPr>
    <w:rPr/>
  </w:style>
  <w:style w:type="paragraph" w:styleId="NormalWeb">
    <w:name w:val="Normal (Web)"/>
    <w:basedOn w:val="Normal"/>
    <w:uiPriority w:val="99"/>
    <w:semiHidden/>
    <w:unhideWhenUsed/>
    <w:qFormat/>
    <w:rsid w:val="005360e4"/>
    <w:pPr>
      <w:spacing w:beforeAutospacing="1" w:afterAutospacing="1"/>
      <w:jc w:val="left"/>
    </w:pPr>
    <w:rPr>
      <w:rFonts w:eastAsia="Times New Roman" w:cs="Times New Roman"/>
      <w:kern w:val="0"/>
      <w:szCs w:val="24"/>
      <w:lang w:val="en-US"/>
      <w14:ligatures w14:val="none"/>
    </w:rPr>
  </w:style>
  <w:style w:type="paragraph" w:styleId="TableofFigures">
    <w:name w:val="Table of Figures"/>
    <w:basedOn w:val="Normal"/>
    <w:next w:val="Normal"/>
    <w:uiPriority w:val="99"/>
    <w:unhideWhenUsed/>
    <w:rsid w:val="005d6821"/>
    <w:pPr>
      <w:spacing w:before="24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Light">
    <w:name w:val="Grid Table Light"/>
    <w:basedOn w:val="TableNormal"/>
    <w:uiPriority w:val="40"/>
    <w:rsid w:val="00d57888"/>
    <w:pPr>
      <w:spacing w:after="0" w:line="240" w:lineRule="auto"/>
    </w:pPr>
    <w:tblPr>
      <w:tblBorders>
        <w:top w:val="single" w:color="BFBFBF" w:themeColor="background1" w:sz="4" w:space="0"/>
        <w:left w:val="single" w:color="BFBFBF" w:themeColor="background1" w:sz="4" w:space="0"/>
        <w:bottom w:val="single" w:color="BFBFBF" w:themeColor="background1" w:sz="4" w:space="0"/>
        <w:right w:val="single" w:color="BFBFBF" w:themeColor="background1" w:sz="4" w:space="0"/>
        <w:insideH w:val="single" w:color="BFBFBF" w:themeColor="background1" w:sz="4" w:space="0"/>
        <w:insideV w:val="single" w:color="BFBFBF" w:themeColor="background1" w:sz="4" w:space="0"/>
      </w:tblBorders>
    </w:tblPr>
  </w:style>
  <w:style w:type="table" w:styleId="GridTable4">
    <w:name w:val="Grid Table 4"/>
    <w:basedOn w:val="TableNormal"/>
    <w:uiPriority w:val="49"/>
    <w:rsid w:val="00ff1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Pr/>
    </w:tblStylePr>
    <w:tblStylePr w:type="lastCol">
      <w:rPr>
        <w:b/>
        <w:bCs/>
      </w:rPr>
      <w:tbl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ff1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7Colorful">
    <w:name w:val="Grid Table 7 Colorful"/>
    <w:basedOn w:val="TableNormal"/>
    <w:uiPriority w:val="52"/>
    <w:rsid w:val="00ff1cf0"/>
    <w:pPr>
      <w:spacing w:after="0" w:line="240" w:lineRule="auto"/>
    </w:pPr>
    <w:rPr>
      <w:color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rPr>
      <w:tblPr/>
      <w:tcPr>
        <w:tcBorders>
          <w:top w:val="nil"/>
          <w:left w:val="nil"/>
          <w:bottom w:val="nil"/>
          <w:insideH w:val="nil"/>
          <w:insideV w:val="nil"/>
        </w:tcBorders>
        <w:shd w:val="clear" w:color="auto" w:fill="FFFFFF" w:themeFill="background1"/>
      </w:tcPr>
    </w:tblStylePr>
    <w:tblStylePr w:type="lastCol">
      <w:rPr>
        <w:i/>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sz="4" w:space="0"/>
        </w:tcBorders>
      </w:tcPr>
    </w:tblStylePr>
    <w:tblStylePr w:type="nwCell">
      <w:tblPr/>
      <w:tcPr>
        <w:tcBorders>
          <w:bottom w:val="single" w:color="666666" w:themeColor="text1" w:sz="4" w:space="0"/>
        </w:tcBorders>
      </w:tcPr>
    </w:tblStylePr>
    <w:tblStylePr w:type="seCell">
      <w:tblPr/>
      <w:tcPr>
        <w:tcBorders>
          <w:top w:val="single" w:color="666666" w:themeColor="text1" w:sz="4" w:space="0"/>
        </w:tcBorders>
      </w:tcPr>
    </w:tblStylePr>
    <w:tblStylePr w:type="swCell">
      <w:tblPr/>
      <w:tcPr>
        <w:tcBorders>
          <w:top w:val="single" w:color="666666" w:themeColor="text1" w:sz="4" w:space="0"/>
        </w:tcBorders>
      </w:tcPr>
    </w:tblStylePr>
  </w:style>
  <w:style w:type="table" w:styleId="GridTable6Colorful">
    <w:name w:val="Grid Table 6 Colorful"/>
    <w:basedOn w:val="TableNormal"/>
    <w:uiPriority w:val="51"/>
    <w:rsid w:val="00ff1cf0"/>
    <w:pPr>
      <w:spacing w:after="0" w:line="240" w:lineRule="auto"/>
    </w:pPr>
    <w:rPr>
      <w:color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sz="12" w:space="0"/>
        </w:tcBorders>
      </w:tcPr>
    </w:tblStylePr>
    <w:tblStylePr w:type="lastRow">
      <w:rPr>
        <w:b/>
        <w:bCs/>
      </w:rPr>
      <w:tblPr/>
      <w:tcPr>
        <w:tcBorders>
          <w:top w:val="double" w:color="666666" w:themeColor="text1" w:sz="4" w:space="0"/>
        </w:tcBorders>
      </w:tcPr>
    </w:tblStylePr>
    <w:tblStylePr w:type="firstCol">
      <w:rPr>
        <w:b/>
        <w:bCs/>
      </w:rPr>
      <w:tblPr/>
    </w:tblStylePr>
    <w:tblStylePr w:type="lastCol">
      <w:rPr>
        <w:b/>
        <w:bCs/>
      </w:rPr>
      <w:tbl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ff1cf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3">
    <w:name w:val="Grid Table 3"/>
    <w:basedOn w:val="TableNormal"/>
    <w:uiPriority w:val="48"/>
    <w:rsid w:val="00ff1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rPr>
      <w:tblPr/>
      <w:tcPr>
        <w:tcBorders>
          <w:top w:val="nil"/>
          <w:left w:val="nil"/>
          <w:bottom w:val="nil"/>
          <w:insideH w:val="nil"/>
          <w:insideV w:val="nil"/>
        </w:tcBorders>
        <w:shd w:val="clear" w:color="auto" w:fill="FFFFFF" w:themeFill="background1"/>
      </w:tcPr>
    </w:tblStylePr>
    <w:tblStylePr w:type="lastCol">
      <w:rPr>
        <w:i/>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sz="4" w:space="0"/>
        </w:tcBorders>
      </w:tcPr>
    </w:tblStylePr>
    <w:tblStylePr w:type="nwCell">
      <w:tblPr/>
      <w:tcPr>
        <w:tcBorders>
          <w:bottom w:val="single" w:color="666666" w:themeColor="text1" w:sz="4" w:space="0"/>
        </w:tcBorders>
      </w:tcPr>
    </w:tblStylePr>
    <w:tblStylePr w:type="seCell">
      <w:tblPr/>
      <w:tcPr>
        <w:tcBorders>
          <w:top w:val="single" w:color="666666" w:themeColor="text1" w:sz="4" w:space="0"/>
        </w:tcBorders>
      </w:tcPr>
    </w:tblStylePr>
    <w:tblStylePr w:type="swCell">
      <w:tblPr/>
      <w:tcPr>
        <w:tcBorders>
          <w:top w:val="single" w:color="666666" w:themeColor="text1" w:sz="4" w:space="0"/>
        </w:tcBorders>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footer" Target="footer1.xml"/><Relationship Id="rId6" Type="http://schemas.openxmlformats.org/officeDocument/2006/relationships/footer" Target="footer2.xml"/><Relationship Id="rId7" Type="http://schemas.openxmlformats.org/officeDocument/2006/relationships/footer" Target="footer3.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BE2BAF2-89A9-4AC7-A76E-5CD07B646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Application>LibreOffice/24.2.7.2$Linux_X86_64 LibreOffice_project/420$Build-2</Application>
  <AppVersion>15.0000</AppVersion>
  <Pages>16</Pages>
  <Words>4082</Words>
  <Characters>24164</Characters>
  <CharactersWithSpaces>28065</CharactersWithSpaces>
  <Paragraphs>234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2026-06-30T05:27:00Z</dcterms:created>
  <dc:creator>Rushita</dc:creator>
  <dc:description/>
  <dc:language>en-US</dc:language>
  <cp:lastModifiedBy/>
  <dcterms:modified xsi:type="dcterms:W3CDTF">2026-07-29T23:00:52Z</dcterms:modified>
  <cp:revision>36</cp:revision>
  <dc:subject/>
  <dc:title/>
</cp:coreProperties>
</file>

<file path=docProps/custom.xml><?xml version="1.0" encoding="utf-8"?>
<Properties xmlns="http://schemas.openxmlformats.org/officeDocument/2006/custom-properties" xmlns:vt="http://schemas.openxmlformats.org/officeDocument/2006/docPropsVTypes"/>
</file>