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05DE778" w14:textId="464B5366" w:rsidR="0033139C" w:rsidRPr="0051539B" w:rsidRDefault="0033139C" w:rsidP="0033139C">
      <w:pPr>
        <w:rPr>
          <w:rFonts w:ascii="Arial" w:hAnsi="Arial" w:cs="Arial"/>
          <w:b/>
          <w:bCs/>
          <w:sz w:val="24"/>
          <w:szCs w:val="24"/>
        </w:rPr>
      </w:pPr>
      <w:r w:rsidRPr="0051539B">
        <w:rPr>
          <w:rFonts w:ascii="Arial" w:hAnsi="Arial" w:cs="Arial"/>
          <w:b/>
          <w:bCs/>
          <w:sz w:val="24"/>
          <w:szCs w:val="24"/>
        </w:rPr>
        <w:t>Student number-</w:t>
      </w:r>
      <w:r w:rsidRPr="0051539B">
        <w:rPr>
          <w:rFonts w:ascii="Arial" w:hAnsi="Arial" w:cs="Arial"/>
          <w:b/>
          <w:bCs/>
          <w:sz w:val="24"/>
          <w:szCs w:val="24"/>
        </w:rPr>
        <w:t xml:space="preserve"> 2413443</w:t>
      </w:r>
    </w:p>
    <w:p w14:paraId="4964485E" w14:textId="77777777" w:rsidR="0033139C" w:rsidRPr="0051539B" w:rsidRDefault="0033139C" w:rsidP="0033139C">
      <w:pPr>
        <w:rPr>
          <w:rFonts w:ascii="Arial" w:hAnsi="Arial" w:cs="Arial"/>
          <w:b/>
          <w:bCs/>
          <w:sz w:val="24"/>
          <w:szCs w:val="24"/>
        </w:rPr>
      </w:pPr>
    </w:p>
    <w:p w14:paraId="5406BA55" w14:textId="211896A3" w:rsidR="0033139C" w:rsidRPr="0051539B" w:rsidRDefault="0033139C" w:rsidP="0033139C">
      <w:pPr>
        <w:rPr>
          <w:rFonts w:ascii="Arial" w:hAnsi="Arial" w:cs="Arial"/>
          <w:b/>
          <w:bCs/>
          <w:sz w:val="24"/>
          <w:szCs w:val="24"/>
        </w:rPr>
      </w:pPr>
      <w:r w:rsidRPr="0051539B">
        <w:rPr>
          <w:rFonts w:ascii="Arial" w:hAnsi="Arial" w:cs="Arial"/>
          <w:b/>
          <w:bCs/>
          <w:sz w:val="24"/>
          <w:szCs w:val="24"/>
        </w:rPr>
        <w:t xml:space="preserve">Student name- Gerallt Wyn Elias </w:t>
      </w:r>
    </w:p>
    <w:p w14:paraId="18EE4C03" w14:textId="77777777" w:rsidR="0033139C" w:rsidRPr="0051539B" w:rsidRDefault="0033139C" w:rsidP="0033139C">
      <w:pPr>
        <w:rPr>
          <w:rFonts w:ascii="Arial" w:hAnsi="Arial" w:cs="Arial"/>
          <w:b/>
          <w:bCs/>
          <w:sz w:val="24"/>
          <w:szCs w:val="24"/>
          <w:u w:val="single"/>
        </w:rPr>
      </w:pPr>
    </w:p>
    <w:p w14:paraId="65C1C848" w14:textId="1614041B" w:rsidR="0033139C" w:rsidRPr="0051539B" w:rsidRDefault="0033139C" w:rsidP="0033139C">
      <w:pPr>
        <w:rPr>
          <w:rFonts w:ascii="Arial" w:hAnsi="Arial" w:cs="Arial"/>
          <w:b/>
          <w:bCs/>
          <w:sz w:val="24"/>
          <w:szCs w:val="24"/>
          <w:u w:val="single"/>
        </w:rPr>
      </w:pPr>
      <w:r w:rsidRPr="0051539B">
        <w:rPr>
          <w:rFonts w:ascii="Arial" w:hAnsi="Arial" w:cs="Arial"/>
          <w:b/>
          <w:bCs/>
          <w:sz w:val="24"/>
          <w:szCs w:val="24"/>
          <w:u w:val="single"/>
        </w:rPr>
        <w:t xml:space="preserve">Reference list </w:t>
      </w:r>
    </w:p>
    <w:p w14:paraId="2ED3BEB9" w14:textId="77777777" w:rsidR="0033139C" w:rsidRPr="0051539B" w:rsidRDefault="0033139C" w:rsidP="0051539B">
      <w:pPr>
        <w:jc w:val="both"/>
        <w:rPr>
          <w:rFonts w:ascii="Arial" w:hAnsi="Arial" w:cs="Arial"/>
          <w:b/>
          <w:bCs/>
          <w:sz w:val="24"/>
          <w:szCs w:val="24"/>
          <w:u w:val="single"/>
        </w:rPr>
      </w:pPr>
    </w:p>
    <w:p w14:paraId="2804CB0B" w14:textId="0E830EFC" w:rsidR="0033139C" w:rsidRPr="0051539B" w:rsidRDefault="0033139C" w:rsidP="0051539B">
      <w:pPr>
        <w:jc w:val="both"/>
        <w:rPr>
          <w:rFonts w:ascii="Arial" w:hAnsi="Arial" w:cs="Arial"/>
          <w:sz w:val="24"/>
          <w:szCs w:val="24"/>
        </w:rPr>
      </w:pPr>
      <w:r w:rsidRPr="0051539B">
        <w:rPr>
          <w:rFonts w:ascii="Arial" w:hAnsi="Arial" w:cs="Arial"/>
          <w:sz w:val="24"/>
          <w:szCs w:val="24"/>
        </w:rPr>
        <w:t xml:space="preserve">Alptekin, I.M. and Dunman, E. (2025). Association of dieting self-efficiency, weight management nutrition knowledge, physical activity, and dietary pattern among Turkish adults: a cross-sectional study. </w:t>
      </w:r>
      <w:r w:rsidRPr="0051539B">
        <w:rPr>
          <w:rFonts w:ascii="Arial" w:hAnsi="Arial" w:cs="Arial"/>
          <w:i/>
          <w:iCs/>
          <w:sz w:val="24"/>
          <w:szCs w:val="24"/>
        </w:rPr>
        <w:t>BMC Public Health</w:t>
      </w:r>
      <w:r w:rsidRPr="0051539B">
        <w:rPr>
          <w:rFonts w:ascii="Arial" w:hAnsi="Arial" w:cs="Arial"/>
          <w:sz w:val="24"/>
          <w:szCs w:val="24"/>
        </w:rPr>
        <w:t xml:space="preserve">, 25(1). </w:t>
      </w:r>
      <w:proofErr w:type="spellStart"/>
      <w:r w:rsidRPr="0051539B">
        <w:rPr>
          <w:rFonts w:ascii="Arial" w:hAnsi="Arial" w:cs="Arial"/>
          <w:sz w:val="24"/>
          <w:szCs w:val="24"/>
        </w:rPr>
        <w:t>Doi:https</w:t>
      </w:r>
      <w:proofErr w:type="spellEnd"/>
      <w:r w:rsidRPr="0051539B">
        <w:rPr>
          <w:rFonts w:ascii="Arial" w:hAnsi="Arial" w:cs="Arial"/>
          <w:sz w:val="24"/>
          <w:szCs w:val="24"/>
        </w:rPr>
        <w:t>;//doi.org/10.1186/s12889-025-24848-w.</w:t>
      </w:r>
    </w:p>
    <w:p w14:paraId="02106925" w14:textId="77777777" w:rsidR="0033139C" w:rsidRPr="0051539B" w:rsidRDefault="0033139C" w:rsidP="0051539B">
      <w:pPr>
        <w:jc w:val="both"/>
        <w:rPr>
          <w:rFonts w:ascii="Arial" w:hAnsi="Arial" w:cs="Arial"/>
          <w:sz w:val="24"/>
          <w:szCs w:val="24"/>
        </w:rPr>
      </w:pPr>
    </w:p>
    <w:p w14:paraId="7E775010" w14:textId="77777777" w:rsidR="0051539B" w:rsidRPr="0051539B" w:rsidRDefault="0033139C" w:rsidP="0051539B">
      <w:pPr>
        <w:jc w:val="both"/>
        <w:rPr>
          <w:rFonts w:ascii="Arial" w:hAnsi="Arial" w:cs="Arial"/>
          <w:sz w:val="24"/>
          <w:szCs w:val="24"/>
        </w:rPr>
      </w:pPr>
      <w:proofErr w:type="spellStart"/>
      <w:r w:rsidRPr="0051539B">
        <w:rPr>
          <w:rFonts w:ascii="Arial" w:hAnsi="Arial" w:cs="Arial"/>
          <w:sz w:val="24"/>
          <w:szCs w:val="24"/>
        </w:rPr>
        <w:t>Cislaghi</w:t>
      </w:r>
      <w:proofErr w:type="spellEnd"/>
      <w:r w:rsidRPr="0051539B">
        <w:rPr>
          <w:rFonts w:ascii="Arial" w:hAnsi="Arial" w:cs="Arial"/>
          <w:sz w:val="24"/>
          <w:szCs w:val="24"/>
        </w:rPr>
        <w:t xml:space="preserve">, B, and Berkowitz, A.D. (2021). The evolution of social norms interventions for health promotion: Distinguishing norms correction and norms transformation. </w:t>
      </w:r>
      <w:r w:rsidRPr="0051539B">
        <w:rPr>
          <w:rFonts w:ascii="Arial" w:hAnsi="Arial" w:cs="Arial"/>
          <w:i/>
          <w:iCs/>
          <w:sz w:val="24"/>
          <w:szCs w:val="24"/>
        </w:rPr>
        <w:t>Journal of Global Health</w:t>
      </w:r>
      <w:r w:rsidRPr="0051539B">
        <w:rPr>
          <w:rFonts w:ascii="Arial" w:hAnsi="Arial" w:cs="Arial"/>
          <w:sz w:val="24"/>
          <w:szCs w:val="24"/>
        </w:rPr>
        <w:t xml:space="preserve">, 11.doi:https://doi.org/10.7189/jogh.11.03065. </w:t>
      </w:r>
    </w:p>
    <w:p w14:paraId="476DECE5" w14:textId="77777777" w:rsidR="0051539B" w:rsidRPr="0051539B" w:rsidRDefault="0051539B" w:rsidP="0051539B">
      <w:pPr>
        <w:jc w:val="both"/>
        <w:rPr>
          <w:rFonts w:ascii="Arial" w:hAnsi="Arial" w:cs="Arial"/>
          <w:sz w:val="24"/>
          <w:szCs w:val="24"/>
        </w:rPr>
      </w:pPr>
    </w:p>
    <w:p w14:paraId="3A6BD489" w14:textId="42476156" w:rsidR="0033139C" w:rsidRPr="0051539B" w:rsidRDefault="0033139C" w:rsidP="0051539B">
      <w:pPr>
        <w:jc w:val="both"/>
        <w:rPr>
          <w:rFonts w:ascii="Arial" w:hAnsi="Arial" w:cs="Arial"/>
          <w:sz w:val="24"/>
          <w:szCs w:val="24"/>
        </w:rPr>
      </w:pPr>
      <w:r w:rsidRPr="0051539B">
        <w:rPr>
          <w:rFonts w:ascii="Arial" w:hAnsi="Arial" w:cs="Arial"/>
          <w:sz w:val="24"/>
          <w:szCs w:val="24"/>
        </w:rPr>
        <w:t xml:space="preserve">Holst, M. and Rasmussen, H.H. (2013). Nutrition Therapy in the Transition between Hospital and Home: An investigation of Barriers. </w:t>
      </w:r>
      <w:r w:rsidRPr="0051539B">
        <w:rPr>
          <w:rFonts w:ascii="Arial" w:hAnsi="Arial" w:cs="Arial"/>
          <w:i/>
          <w:iCs/>
          <w:sz w:val="24"/>
          <w:szCs w:val="24"/>
        </w:rPr>
        <w:t xml:space="preserve">Journal of Nutrition and </w:t>
      </w:r>
      <w:r w:rsidR="0051539B" w:rsidRPr="0051539B">
        <w:rPr>
          <w:rFonts w:ascii="Arial" w:hAnsi="Arial" w:cs="Arial"/>
          <w:i/>
          <w:iCs/>
          <w:sz w:val="24"/>
          <w:szCs w:val="24"/>
        </w:rPr>
        <w:t>Metabolism</w:t>
      </w:r>
      <w:r w:rsidR="0051539B" w:rsidRPr="0051539B">
        <w:rPr>
          <w:rFonts w:ascii="Arial" w:hAnsi="Arial" w:cs="Arial"/>
          <w:sz w:val="24"/>
          <w:szCs w:val="24"/>
        </w:rPr>
        <w:t xml:space="preserve">, p.e463751. </w:t>
      </w:r>
      <w:proofErr w:type="spellStart"/>
      <w:r w:rsidR="0051539B" w:rsidRPr="0051539B">
        <w:rPr>
          <w:rFonts w:ascii="Arial" w:hAnsi="Arial" w:cs="Arial"/>
          <w:sz w:val="24"/>
          <w:szCs w:val="24"/>
        </w:rPr>
        <w:t>doi:htpps</w:t>
      </w:r>
      <w:proofErr w:type="spellEnd"/>
      <w:r w:rsidR="0051539B" w:rsidRPr="0051539B">
        <w:rPr>
          <w:rFonts w:ascii="Arial" w:hAnsi="Arial" w:cs="Arial"/>
          <w:sz w:val="24"/>
          <w:szCs w:val="24"/>
        </w:rPr>
        <w:t>://doi.org/10.1155/2013/463751.</w:t>
      </w:r>
    </w:p>
    <w:p w14:paraId="4B119B9B" w14:textId="77777777" w:rsidR="0051539B" w:rsidRPr="0051539B" w:rsidRDefault="0051539B" w:rsidP="0051539B">
      <w:pPr>
        <w:jc w:val="both"/>
        <w:rPr>
          <w:rFonts w:ascii="Arial" w:hAnsi="Arial" w:cs="Arial"/>
          <w:sz w:val="24"/>
          <w:szCs w:val="24"/>
        </w:rPr>
      </w:pPr>
    </w:p>
    <w:p w14:paraId="6747DBE6" w14:textId="6172BC1B" w:rsidR="0051539B" w:rsidRPr="0051539B" w:rsidRDefault="0051539B" w:rsidP="0051539B">
      <w:pPr>
        <w:jc w:val="both"/>
        <w:rPr>
          <w:rFonts w:ascii="Arial" w:hAnsi="Arial" w:cs="Arial"/>
          <w:sz w:val="24"/>
          <w:szCs w:val="24"/>
        </w:rPr>
      </w:pPr>
      <w:r w:rsidRPr="0051539B">
        <w:rPr>
          <w:rFonts w:ascii="Arial" w:hAnsi="Arial" w:cs="Arial"/>
          <w:sz w:val="24"/>
          <w:szCs w:val="24"/>
        </w:rPr>
        <w:t>Knight, A., Palermo, C., Reedy, G. and Whelan, K. (2023). Communication skills: a scoping review of experiences, perceptions and use in dietetic practice</w:t>
      </w:r>
      <w:r w:rsidRPr="0051539B">
        <w:rPr>
          <w:rFonts w:ascii="Arial" w:hAnsi="Arial" w:cs="Arial"/>
          <w:i/>
          <w:iCs/>
          <w:sz w:val="24"/>
          <w:szCs w:val="24"/>
        </w:rPr>
        <w:t>, Journal of the Academy of Nutrition and Dietetics</w:t>
      </w:r>
      <w:r w:rsidRPr="0051539B">
        <w:rPr>
          <w:rFonts w:ascii="Arial" w:hAnsi="Arial" w:cs="Arial"/>
          <w:sz w:val="24"/>
          <w:szCs w:val="24"/>
        </w:rPr>
        <w:t>, 124(9).</w:t>
      </w:r>
      <w:proofErr w:type="spellStart"/>
      <w:r w:rsidRPr="0051539B">
        <w:rPr>
          <w:rFonts w:ascii="Arial" w:hAnsi="Arial" w:cs="Arial"/>
          <w:sz w:val="24"/>
          <w:szCs w:val="24"/>
        </w:rPr>
        <w:t>doi:https</w:t>
      </w:r>
      <w:proofErr w:type="spellEnd"/>
      <w:r w:rsidRPr="0051539B">
        <w:rPr>
          <w:rFonts w:ascii="Arial" w:hAnsi="Arial" w:cs="Arial"/>
          <w:sz w:val="24"/>
          <w:szCs w:val="24"/>
        </w:rPr>
        <w:t>://doi.org/10.1016/j.jand.2023.12.008.</w:t>
      </w:r>
    </w:p>
    <w:p w14:paraId="0085EE13" w14:textId="77777777" w:rsidR="0033139C" w:rsidRPr="0033139C" w:rsidRDefault="0033139C" w:rsidP="0033139C"/>
    <w:p w14:paraId="19925E7C" w14:textId="77777777" w:rsidR="0033139C" w:rsidRPr="0033139C" w:rsidRDefault="0033139C" w:rsidP="0033139C"/>
    <w:p w14:paraId="6189E9A9" w14:textId="52CB4998" w:rsidR="0033139C" w:rsidRDefault="0033139C" w:rsidP="0033139C">
      <w:pPr>
        <w:rPr>
          <w:rFonts w:ascii="Calibri" w:hAnsi="Calibri" w:cs="Calibri"/>
          <w:color w:val="2C3E50"/>
          <w:sz w:val="27"/>
          <w:szCs w:val="27"/>
          <w:shd w:val="clear" w:color="auto" w:fill="FEF1C4"/>
        </w:rPr>
      </w:pPr>
    </w:p>
    <w:p w14:paraId="02D5D755" w14:textId="77777777" w:rsidR="0033139C" w:rsidRDefault="0033139C" w:rsidP="0033139C">
      <w:pPr>
        <w:rPr>
          <w:rFonts w:ascii="Calibri" w:hAnsi="Calibri" w:cs="Calibri"/>
          <w:color w:val="2C3E50"/>
          <w:sz w:val="27"/>
          <w:szCs w:val="27"/>
          <w:shd w:val="clear" w:color="auto" w:fill="FEF1C4"/>
        </w:rPr>
      </w:pPr>
    </w:p>
    <w:p w14:paraId="39EA0335" w14:textId="77777777" w:rsidR="0033139C" w:rsidRPr="0033139C" w:rsidRDefault="0033139C" w:rsidP="0033139C"/>
    <w:sectPr w:rsidR="0033139C" w:rsidRPr="0033139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3139C"/>
    <w:rsid w:val="0033139C"/>
    <w:rsid w:val="0051539B"/>
    <w:rsid w:val="00540D74"/>
    <w:rsid w:val="00A9655D"/>
    <w:rsid w:val="00AE682E"/>
    <w:rsid w:val="00BC2C73"/>
    <w:rsid w:val="00E5050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072C838"/>
  <w15:chartTrackingRefBased/>
  <w15:docId w15:val="{70864077-EF14-42D7-BC23-CD4980F9F97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33139C"/>
  </w:style>
  <w:style w:type="paragraph" w:styleId="Heading1">
    <w:name w:val="heading 1"/>
    <w:basedOn w:val="Normal"/>
    <w:next w:val="Normal"/>
    <w:link w:val="Heading1Char"/>
    <w:uiPriority w:val="9"/>
    <w:qFormat/>
    <w:rsid w:val="0033139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33139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3139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3139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3139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3139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3139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3139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3139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3139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33139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3139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3139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3139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3139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3139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3139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3139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3139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3139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3139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33139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3139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33139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33139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3139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3139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3139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3139C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20</TotalTime>
  <Pages>1</Pages>
  <Words>130</Words>
  <Characters>950</Characters>
  <Application>Microsoft Office Word</Application>
  <DocSecurity>0</DocSecurity>
  <Lines>27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Hywel Dda University Health Board</Company>
  <LinksUpToDate>false</LinksUpToDate>
  <CharactersWithSpaces>1074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Gerallt Elias (Hywel Dda UHB- Therapy Assistant Practitioner)</dc:creator>
  <cp:keywords/>
  <dc:description/>
  <cp:lastModifiedBy>Gerallt Elias (Hywel Dda UHB- Therapy Assistant Practitioner)</cp:lastModifiedBy>
  <cp:revision>3</cp:revision>
  <dcterms:created xsi:type="dcterms:W3CDTF">2026-03-24T12:14:00Z</dcterms:created>
  <dcterms:modified xsi:type="dcterms:W3CDTF">2026-03-24T12:34:00Z</dcterms:modified>
</cp:coreProperties>
</file>