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32F5F30" w14:paraId="2C078E63" wp14:textId="34BC1EAF">
      <w:pPr>
        <w:rPr>
          <w:rFonts w:ascii="Times New Roman" w:hAnsi="Times New Roman" w:eastAsia="Times New Roman" w:cs="Times New Roman"/>
          <w:sz w:val="24"/>
          <w:szCs w:val="24"/>
          <w:u w:val="single"/>
        </w:rPr>
      </w:pPr>
      <w:bookmarkStart w:name="_GoBack" w:id="0"/>
      <w:bookmarkEnd w:id="0"/>
      <w:r w:rsidRPr="3ED81BB7" w:rsidR="7F6F1639">
        <w:rPr>
          <w:rFonts w:ascii="Times New Roman" w:hAnsi="Times New Roman" w:eastAsia="Times New Roman" w:cs="Times New Roman"/>
          <w:sz w:val="24"/>
          <w:szCs w:val="24"/>
          <w:u w:val="single"/>
        </w:rPr>
        <w:t>Section 1</w:t>
      </w:r>
    </w:p>
    <w:p w:rsidR="3ED81BB7" w:rsidP="3ED81BB7" w:rsidRDefault="3ED81BB7" w14:paraId="4C94C89D" w14:textId="75D4FCC8">
      <w:pPr>
        <w:pStyle w:val="Normal"/>
        <w:rPr>
          <w:rFonts w:ascii="Times New Roman" w:hAnsi="Times New Roman" w:eastAsia="Times New Roman" w:cs="Times New Roman"/>
          <w:sz w:val="24"/>
          <w:szCs w:val="24"/>
          <w:u w:val="none"/>
        </w:rPr>
      </w:pPr>
      <w:r w:rsidRPr="3ED81BB7" w:rsidR="3ED81BB7">
        <w:rPr>
          <w:rFonts w:ascii="Times New Roman" w:hAnsi="Times New Roman" w:eastAsia="Times New Roman" w:cs="Times New Roman"/>
          <w:sz w:val="24"/>
          <w:szCs w:val="24"/>
          <w:u w:val="none"/>
        </w:rPr>
        <w:t xml:space="preserve">Leadership is a word used all around the world. Because of its abstract character, there is no clear definition or consensus upon whether leadership is and how it can be measured and </w:t>
      </w:r>
      <w:r w:rsidRPr="3ED81BB7" w:rsidR="3ED81BB7">
        <w:rPr>
          <w:rFonts w:ascii="Times New Roman" w:hAnsi="Times New Roman" w:eastAsia="Times New Roman" w:cs="Times New Roman"/>
          <w:sz w:val="24"/>
          <w:szCs w:val="24"/>
          <w:u w:val="none"/>
        </w:rPr>
        <w:t>comprehended</w:t>
      </w:r>
      <w:r w:rsidRPr="3ED81BB7" w:rsidR="3ED81BB7">
        <w:rPr>
          <w:rFonts w:ascii="Times New Roman" w:hAnsi="Times New Roman" w:eastAsia="Times New Roman" w:cs="Times New Roman"/>
          <w:sz w:val="24"/>
          <w:szCs w:val="24"/>
          <w:u w:val="none"/>
        </w:rPr>
        <w:t xml:space="preserve">. Understanding leadership is difficult since it is hard to define, analyze, or watch. Rodd (2013) states "successful leadership is sometimes done by stepping back, saying or doing nothing." Despite this, leadership is </w:t>
      </w:r>
      <w:r w:rsidRPr="3ED81BB7" w:rsidR="3ED81BB7">
        <w:rPr>
          <w:rFonts w:ascii="Times New Roman" w:hAnsi="Times New Roman" w:eastAsia="Times New Roman" w:cs="Times New Roman"/>
          <w:sz w:val="24"/>
          <w:szCs w:val="24"/>
          <w:u w:val="none"/>
        </w:rPr>
        <w:t>frequently</w:t>
      </w:r>
      <w:r w:rsidRPr="3ED81BB7" w:rsidR="3ED81BB7">
        <w:rPr>
          <w:rFonts w:ascii="Times New Roman" w:hAnsi="Times New Roman" w:eastAsia="Times New Roman" w:cs="Times New Roman"/>
          <w:sz w:val="24"/>
          <w:szCs w:val="24"/>
          <w:u w:val="none"/>
        </w:rPr>
        <w:t xml:space="preserve"> regarded as a critical </w:t>
      </w:r>
      <w:r w:rsidRPr="3ED81BB7" w:rsidR="3ED81BB7">
        <w:rPr>
          <w:rFonts w:ascii="Times New Roman" w:hAnsi="Times New Roman" w:eastAsia="Times New Roman" w:cs="Times New Roman"/>
          <w:sz w:val="24"/>
          <w:szCs w:val="24"/>
          <w:u w:val="none"/>
        </w:rPr>
        <w:t>component</w:t>
      </w:r>
      <w:r w:rsidRPr="3ED81BB7" w:rsidR="3ED81BB7">
        <w:rPr>
          <w:rFonts w:ascii="Times New Roman" w:hAnsi="Times New Roman" w:eastAsia="Times New Roman" w:cs="Times New Roman"/>
          <w:sz w:val="24"/>
          <w:szCs w:val="24"/>
          <w:u w:val="none"/>
        </w:rPr>
        <w:t xml:space="preserve"> in producing outstanding early childhood </w:t>
      </w:r>
      <w:r w:rsidRPr="3ED81BB7" w:rsidR="3ED81BB7">
        <w:rPr>
          <w:rFonts w:ascii="Times New Roman" w:hAnsi="Times New Roman" w:eastAsia="Times New Roman" w:cs="Times New Roman"/>
          <w:sz w:val="24"/>
          <w:szCs w:val="24"/>
          <w:u w:val="none"/>
        </w:rPr>
        <w:t>programmers</w:t>
      </w:r>
      <w:r w:rsidRPr="3ED81BB7" w:rsidR="3ED81BB7">
        <w:rPr>
          <w:rFonts w:ascii="Times New Roman" w:hAnsi="Times New Roman" w:eastAsia="Times New Roman" w:cs="Times New Roman"/>
          <w:sz w:val="24"/>
          <w:szCs w:val="24"/>
          <w:u w:val="none"/>
        </w:rPr>
        <w:t xml:space="preserve"> (</w:t>
      </w:r>
      <w:proofErr w:type="spellStart"/>
      <w:r w:rsidRPr="3ED81BB7" w:rsidR="3ED81BB7">
        <w:rPr>
          <w:rFonts w:ascii="Times New Roman" w:hAnsi="Times New Roman" w:eastAsia="Times New Roman" w:cs="Times New Roman"/>
          <w:sz w:val="24"/>
          <w:szCs w:val="24"/>
          <w:u w:val="none"/>
        </w:rPr>
        <w:t>Hujala</w:t>
      </w:r>
      <w:proofErr w:type="spellEnd"/>
      <w:r w:rsidRPr="3ED81BB7" w:rsidR="3ED81BB7">
        <w:rPr>
          <w:rFonts w:ascii="Times New Roman" w:hAnsi="Times New Roman" w:eastAsia="Times New Roman" w:cs="Times New Roman"/>
          <w:sz w:val="24"/>
          <w:szCs w:val="24"/>
          <w:u w:val="none"/>
        </w:rPr>
        <w:t xml:space="preserve">, </w:t>
      </w:r>
      <w:proofErr w:type="spellStart"/>
      <w:r w:rsidRPr="3ED81BB7" w:rsidR="3ED81BB7">
        <w:rPr>
          <w:rFonts w:ascii="Times New Roman" w:hAnsi="Times New Roman" w:eastAsia="Times New Roman" w:cs="Times New Roman"/>
          <w:sz w:val="24"/>
          <w:szCs w:val="24"/>
          <w:u w:val="none"/>
        </w:rPr>
        <w:t>Waniganayake</w:t>
      </w:r>
      <w:proofErr w:type="spellEnd"/>
      <w:r w:rsidRPr="3ED81BB7" w:rsidR="3ED81BB7">
        <w:rPr>
          <w:rFonts w:ascii="Times New Roman" w:hAnsi="Times New Roman" w:eastAsia="Times New Roman" w:cs="Times New Roman"/>
          <w:sz w:val="24"/>
          <w:szCs w:val="24"/>
          <w:u w:val="none"/>
        </w:rPr>
        <w:t>, &amp; Rodd, 2013). In effect, leadership conceptualizations are better defined when refined within the settings of implementation.</w:t>
      </w:r>
    </w:p>
    <w:p w:rsidR="7F6F1639" w:rsidP="7F6F1639" w:rsidRDefault="7F6F1639" w14:paraId="066106C4" w14:textId="7E7EF702">
      <w:pPr>
        <w:pStyle w:val="Normal"/>
        <w:ind w:left="0" w:right="0"/>
        <w:jc w:val="both"/>
        <w:rPr>
          <w:rFonts w:ascii="Times New Roman" w:hAnsi="Times New Roman" w:eastAsia="Times New Roman" w:cs="Times New Roman"/>
          <w:sz w:val="24"/>
          <w:szCs w:val="24"/>
        </w:rPr>
      </w:pPr>
      <w:r w:rsidRPr="7F6F1639" w:rsidR="7F6F1639">
        <w:rPr>
          <w:rFonts w:ascii="Times New Roman" w:hAnsi="Times New Roman" w:eastAsia="Times New Roman" w:cs="Times New Roman"/>
          <w:sz w:val="24"/>
          <w:szCs w:val="24"/>
        </w:rPr>
        <w:t>Unlike traditional "great man" ideas of leadership, public leadership has a quiet, "catalytic" effect. According to Jeffrey Luke, public leadership is defined as follows:</w:t>
      </w:r>
    </w:p>
    <w:p w:rsidR="7F6F1639" w:rsidP="7F6F1639" w:rsidRDefault="7F6F1639" w14:paraId="168B21A0" w14:textId="5B4F4D4C">
      <w:pPr>
        <w:pStyle w:val="Normal"/>
        <w:ind w:left="720" w:right="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Public leadership is a </w:t>
      </w:r>
      <w:proofErr w:type="spellStart"/>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transorganizational</w:t>
      </w:r>
      <w:proofErr w:type="spellEnd"/>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leadership process of focusing attention and mobilizing or catalyzing a diverse set of individuals and agencies to address a public problem. It is a type of leadership that evokes collaboration and concerted action among diverse and often competing groups toward a shared outcome. (Luke, 1998, p. 33)</w:t>
      </w:r>
    </w:p>
    <w:p w:rsidR="7F6F1639" w:rsidP="7F6F1639" w:rsidRDefault="7F6F1639" w14:paraId="2AF18D9A" w14:textId="0B2605E9">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 facilitative style, public leaders manage from the center. In their communities, they act as catalysts. The dictionary meaning of catalyst is worth highlighting. "A chemical, usually utilized in modest doses compared to the reactants, that alters and enhances the speed of the reaction without anyone being involved in the process," according to the American Heritage Dictionary (4th ed). Few Extension educators might feel secure or embrace a suitable role as an advocate "out in front" in a public policy issue. However, the image of a catalyst here is quite different, and far more in line with Extension's instructional </w:t>
      </w: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objective</w:t>
      </w: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(Luke, 1998, p.33).</w:t>
      </w:r>
    </w:p>
    <w:p w:rsidR="7F6F1639" w:rsidP="7F6F1639" w:rsidRDefault="7F6F1639" w14:paraId="7875728E" w14:textId="70562D14">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Catalytic leadership </w:t>
      </w: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necessitates</w:t>
      </w:r>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wide range of abilities. As central skills, Luke (1998) promotes creative planning, collaboration, and communication. He also </w:t>
      </w:r>
      <w:proofErr w:type="spellStart"/>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emphasises</w:t>
      </w:r>
      <w:proofErr w:type="spellEnd"/>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need of having a "good character" rather than a "great personality" as a foundation for capabilities (Luke, 1998). Most of these abilities apply to Extension. Effective Educational educators, for example, have developed abilities in </w:t>
      </w:r>
      <w:proofErr w:type="spellStart"/>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organising</w:t>
      </w:r>
      <w:proofErr w:type="spellEnd"/>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task forces and encouraging collaborative </w:t>
      </w:r>
      <w:proofErr w:type="spellStart"/>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endeavours</w:t>
      </w:r>
      <w:proofErr w:type="spellEnd"/>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regardless of their </w:t>
      </w:r>
      <w:proofErr w:type="spellStart"/>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speciality</w:t>
      </w:r>
      <w:proofErr w:type="spellEnd"/>
      <w:r w:rsidRPr="7F6F1639"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Other abilities, such as supporting cognitive teamwork, are unlikely to be common in Extension.</w:t>
      </w:r>
    </w:p>
    <w:p w:rsidR="7F6F1639" w:rsidP="632F5F30" w:rsidRDefault="7F6F1639" w14:paraId="776DE103" w14:textId="58958C03">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2F5F30"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core of the model consists of "becoming" components that make someone not only a competent leader but also a "leadership catalyst," someone who causes other leaders to arise. (Zachery, 2011) A leadership catalyst is someone who generates opportunities or invitations for leadership to appear in another, just as two substances in a way to solve suddenly become more than they were with the addition of a catalytic substance, or a magnetic field can evoke electrons to gather and flow in such a way that electricity is created. A leadership catalyst's presence on the team or in the </w:t>
      </w:r>
      <w:proofErr w:type="spellStart"/>
      <w:r w:rsidRPr="632F5F30"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632F5F30" w:rsidR="7F6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results in improved leadership abilities in others. (Zachery, 2011)</w:t>
      </w:r>
    </w:p>
    <w:p w:rsidR="632F5F30" w:rsidP="632F5F30" w:rsidRDefault="632F5F30" w14:paraId="634E3920" w14:textId="10A6E63B">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2F5F30"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Catalytic leadership is about motivating and allowing others to work together to achieve a common goal that is meaningful and gratifying. It is not about the leader when it comes to leadership. It has nothing to do with the team. It's all about the goal. In the same way that a catalyst initiates or accelerates a reaction in chemistry, catalytic leadership ignites enough effort for long-term influence. The concept of catalytic leadership has lately gained traction as individuals consider how difficult it is to effect change in circumstances where potential leaders lack executive authority over multiple groups. Organizations are increasingly using outsourcing, freelancers, partnerships, partnering, multi-agency teamwork, and project groups to solve problems like these. (Robertson, 1929)</w:t>
      </w:r>
    </w:p>
    <w:p w:rsidR="632F5F30" w:rsidP="632F5F30" w:rsidRDefault="632F5F30" w14:paraId="6801ECAC" w14:textId="04D2FCDC">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2F5F30"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increased focus on responsibility and achieving excellence has highlighted the critical need for skilled and successful leaders (Siraj-Blatchford and Manni 2006). There has been an increasing focus on leadership in recent years, as well as debate over the special elements of the sector that make early childhood leadership unique. However, leadership is a critical component of quality in early childhood settings, few empirical research has been conducted, and Siraj-Blatchford and Manni (2006) lament the "paucity" of the </w:t>
      </w:r>
      <w:r w:rsidRPr="632F5F30"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database</w:t>
      </w:r>
      <w:r w:rsidRPr="632F5F30"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respect to the specific context of early childhood service.</w:t>
      </w:r>
    </w:p>
    <w:p w:rsidR="632F5F30" w:rsidP="45ED9884" w:rsidRDefault="632F5F30" w14:paraId="6F08B754" w14:textId="0CC0D661">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is a common misconception that leadership is synonymous with power and authority. The unique and difficult circumstances of </w:t>
      </w:r>
      <w:r w:rsidRPr="45ED9884"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practice</w:t>
      </w:r>
      <w:r w:rsidRPr="45ED9884"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leaders, who are frequently tasked with effecting change and performance improvement in jobs outside of conventional organizational hierarchies, are little unexplored, and there is very little knowledge of what leadership means in this setting. Although one individual may be responsible for both duties in small contexts, there is a distinction between pedagogic leadership and typical organizational leadership, which Aubrey (2007) describes as "bridging research and practice."</w:t>
      </w:r>
    </w:p>
    <w:p w:rsidR="45ED9884" w:rsidP="45ED9884" w:rsidRDefault="45ED9884" w14:paraId="6FD16D59" w14:textId="132C44C0">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Early Years Professional Status (EYPS) discusses leadership expectations.</w:t>
      </w:r>
    </w:p>
    <w:p w:rsidR="45ED9884" w:rsidP="45ED9884" w:rsidRDefault="45ED9884" w14:paraId="7303CDC8" w14:textId="70B6A472">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Early Years Professionals (EYPs) will 'drive excellence in the classroom and encourage other practitioners surrounding themselves,' according to the Children's Workforce Development Council (CWDC, now part of the Teaching Agency) in England (CWDC 2010). This became apparent that many people who connected leadership with "being in control" but were not in leadership positions were worried about this. As examiners, we saw several cases of great leadership in action from EYPs many of whom were uncertain of themselves in their 'leadership' role due to preconceived notions about what leadership comprises. The issue seems to be the meaning ascribed to the activity rather than the technique altogether. To make progress, practitioners and aspiring EYPs needed to be encouraged to participate in critical reflection by intentionally probing their own experiences and assumptions.</w:t>
      </w:r>
    </w:p>
    <w:p w:rsidR="45ED9884" w:rsidP="45ED9884" w:rsidRDefault="45ED9884" w14:paraId="49FF58AB" w14:textId="4465A1F4">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Hard (2013) states that leadership is one of the most key aspects of organizational effectiveness, improved efficiency, and creativity, according to the ECEC. This shows that contexts, strong leadership is essential and crucial. While there is still a lack of data about ECEC leadership, there is increasing reason to learn more about what ECEC leadership looks like in different settings and circumstances, and how ECEC leadership might improve quality.</w:t>
      </w:r>
    </w:p>
    <w:p w:rsidR="632F5F30" w:rsidP="45ED9884" w:rsidRDefault="632F5F30" w14:paraId="0E7A0EAD" w14:textId="666415F2">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Therefore, </w:t>
      </w:r>
      <w:r w:rsidRPr="45ED9884" w:rsidR="45ED9884">
        <w:rPr>
          <w:rFonts w:ascii="Times New Roman" w:hAnsi="Times New Roman" w:eastAsia="Times New Roman" w:cs="Times New Roman"/>
          <w:noProof w:val="0"/>
          <w:sz w:val="24"/>
          <w:szCs w:val="24"/>
          <w:lang w:val="en-US"/>
        </w:rPr>
        <w:t>Arbour et al (2016) stated</w:t>
      </w: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leadership is constructed and performed in ECEC settings, the barriers and coordinators that has </w:t>
      </w:r>
      <w:proofErr w:type="gramStart"/>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proofErr w:type="gramEnd"/>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impact on leadership, these can have a massive impact on the surroundings and continuing education in ECEC settings, and the effect on process quality assurance are all important considerations. At the bottom of the model is structural quality, which refers to controllable elements like class sizes, independent person ratios, and leader and personnel qualifications, all of which can impact leadership. Several research included here commented on support beams that can enhance or constrain ECEC leadership. </w:t>
      </w:r>
    </w:p>
    <w:p w:rsidR="632F5F30" w:rsidP="45ED9884" w:rsidRDefault="632F5F30" w14:paraId="2E28F39C" w14:textId="3BE681B7">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Clark (2012) also mentions feminist theory and how perceptions surrounding women and leadership may have an impact on ECEC leadership. Clark (2012) discovered that ECEC leaders in England frequently lacked self - confidence and did not distinguish with the characteristically male pioneer picture.   According to research, the majority of ECEC leaders are women. When women's ideas of leadership are based on typically masculine images and traits, they may not see themselves as leaders. Hard and Jónsdóttir (2013) address the challenges of leadership in a primarily female career, stating that the ECEC area frequently chooses the less well-known styles of relational and collaboration leadership.</w:t>
      </w:r>
    </w:p>
    <w:p w:rsidR="632F5F30" w:rsidP="45ED9884" w:rsidRDefault="632F5F30" w14:paraId="2F5EB646" w14:textId="3DF60BC0">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D9884"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qualities of ECEC leaders are a key starting point in ECEC policy and research.  In 2019, the OECD (2019) released the findings of TALIS Starting Strong 2018, the first international study to concentrate on the ECEC workforce, which included data on ECEC leaders (OECD, 2019).  The results demonstrate that the majority of ECEC leaders are female and that they have a bachelor's degree or similar professional training throughout the countries.</w:t>
      </w:r>
    </w:p>
    <w:p w:rsidR="45ED9884" w:rsidP="3ED81BB7" w:rsidRDefault="45ED9884" w14:paraId="4DDA4FE1" w14:textId="4DA06B8D">
      <w:pPr>
        <w:pStyle w:val="Normal"/>
        <w:ind w:left="0" w:right="0"/>
        <w:jc w:val="both"/>
        <w:rPr>
          <w:rFonts w:ascii="Times New Roman" w:hAnsi="Times New Roman" w:eastAsia="Times New Roman" w:cs="Times New Roman"/>
          <w:b w:val="0"/>
          <w:bCs w:val="0"/>
          <w:i w:val="0"/>
          <w:iCs w:val="0"/>
          <w:caps w:val="0"/>
          <w:smallCaps w:val="0"/>
          <w:noProof w:val="0"/>
          <w:color w:val="FFFFFF" w:themeColor="background1" w:themeTint="FF" w:themeShade="FF"/>
          <w:sz w:val="24"/>
          <w:szCs w:val="24"/>
          <w:lang w:val="en-US"/>
        </w:rPr>
      </w:pP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too found that these leaders may face challenges on their part between these social errands and their part in guaranteeing compliance with approach and regulatory standards. Middle leaders in their consider detailed investing around one-third of their time on monitoring and compliance errands. Overseeing, adjusting, and organizing time are challenges many ECEC leaders confront.</w:t>
      </w:r>
    </w:p>
    <w:p w:rsidR="3ED81BB7" w:rsidP="3ED81BB7" w:rsidRDefault="3ED81BB7" w14:paraId="066153BC" w14:textId="7E9A05D7">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Therefore, more advanced levels of distributed leadership, according to Heikka (2015), may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represent</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use of preparation, institutions, and policies to promote this type of leadership. Teacher leaders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 not</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always believe they have the capacity to influence or may inadequately access leadership training, according to Eskelinen and </w:t>
      </w:r>
      <w:proofErr w:type="spellStart"/>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Hujala</w:t>
      </w:r>
      <w:proofErr w:type="spellEnd"/>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(2015) these can obstruct teachers' ability to lead. The inﬂuence of leadership and management may be limited due to a lack of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 structures</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supports.</w:t>
      </w:r>
    </w:p>
    <w:p w:rsidR="45ED9884" w:rsidP="3ED81BB7" w:rsidRDefault="45ED9884" w14:paraId="528173CD" w14:textId="1928AA6D">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portion</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both their authoritative and educational authority </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capacities</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ECEC leaders are moreover mindful of overseeing alter and quality change</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Mikailova</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Radsky (2013) highlighted the significance of the leader’s abilities in transformational leadership in combination with information on how to bolster academic alter. They found this kind of administration particularly vital when the academic changes were withdrawn from the social standards for instructive hones.</w:t>
      </w:r>
    </w:p>
    <w:p w:rsidR="45ED9884" w:rsidP="3ED81BB7" w:rsidRDefault="45ED9884" w14:paraId="6D2878CA" w14:textId="278E17B9">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few considers investigated seen qualities and shortcomings of ECEC leaders. For illustration, studies of ECEC learners in 20 centers recognized qualities such as supporting staff, working out an ethic of care, and working with families. They too </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capacity to realize hierarchical enhancement as a range in requires more noteworthy attention.</w:t>
      </w:r>
    </w:p>
    <w:p w:rsidR="45ED9884" w:rsidP="3ED81BB7" w:rsidRDefault="45ED9884" w14:paraId="0F427142" w14:textId="59E5DAD9">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45ED9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(CIAE, 2018)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Learners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setting up community cross-agency collaborations and partnerships was a critical and regularly challenging measurement of their part in supporting Unclassified children and their families. These two capacities (authoritative and pedagogical) encompass a wide run of administration abilities and competencies, from the information of teaching and learning to human assets and budgetary administration.</w:t>
      </w:r>
    </w:p>
    <w:p w:rsidR="3ED81BB7" w:rsidP="3ED81BB7" w:rsidRDefault="3ED81BB7" w14:paraId="0E043B8B" w14:textId="5D416D40">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Shonkoff (2014) has also recently developed a model of leadership behavior that considers the global settings of early childhood environments, connecting alongside children ’s learning and development with community stakeholders such as scholars, regulators, and funders. Shonkoff's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methodology</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emphasized</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significance of creating a long strategy to turn imagination into tangible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objectives</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targets that are formed jointly and tailored to each community. One of the expected results of Shonkoff's view of strategy planning in encouraging play-based learning during early childhood is the formation of alliances through networking.</w:t>
      </w:r>
    </w:p>
    <w:p w:rsidR="7F6F1639" w:rsidP="21D0386F" w:rsidRDefault="7F6F1639" w14:paraId="0449BA59" w14:textId="5566D366">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1D0386F"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Section 2</w:t>
      </w:r>
    </w:p>
    <w:p w:rsidR="21D0386F" w:rsidP="21D0386F" w:rsidRDefault="21D0386F" w14:paraId="3319D7DD" w14:textId="27E24D0F">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Since the 1880s, the history of children's welfare can be understood through a compelling story that describes how Britain became increasingly aware of the young's special vulnerability and malleability.</w:t>
      </w:r>
    </w:p>
    <w:p w:rsidR="21D0386F" w:rsidP="21D0386F" w:rsidRDefault="21D0386F" w14:paraId="5C96C852" w14:textId="405DA450">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Each of the pioneering actions was the outcome of hasty cooperation between the national government, local authorities, voluntary associations, mutual </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organizations</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and professional knowledge, which is unsurprising in the context of the modern British state.</w:t>
      </w:r>
    </w:p>
    <w:p w:rsidR="21D0386F" w:rsidP="21D0386F" w:rsidRDefault="21D0386F" w14:paraId="7DD0F5EE" w14:textId="2BB7BDC6">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The Declaration of the Rights of the Child, which Jebb authored in 1923, was thus her crowning work.</w:t>
      </w:r>
    </w:p>
    <w:p w:rsidR="21D0386F" w:rsidP="21D0386F" w:rsidRDefault="21D0386F" w14:paraId="60FC5316" w14:textId="2B2EFDB4">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This provided the foundation for the United Nations Treaty on the Rights of the Child, which she developed in 1923 and was endorsed by the League of Nations a year later. It is now the basis for the present UN convention on children's rights. This was the first time that children's basic rights to food, protection from exploitation, and adequate education were codified in international law.</w:t>
      </w:r>
    </w:p>
    <w:p w:rsidR="21D0386F" w:rsidP="21D0386F" w:rsidRDefault="21D0386F" w14:paraId="66B5A4F2" w14:textId="451202D8">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This year, November 20</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vertAlign w:val="superscript"/>
          <w:lang w:val="en-US"/>
        </w:rPr>
        <w:t>th, 2019,</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is not just Universal Children's Day; it's also the 30th anniversary of governments around the globe signing the UN Convention on the Rights of the Child, committing to offer all children the same civil, political, economic, social, health, and cultural rights. (Save the Children, 2019)</w:t>
      </w:r>
    </w:p>
    <w:p w:rsidR="21D0386F" w:rsidP="21D0386F" w:rsidRDefault="21D0386F" w14:paraId="1F391240" w14:textId="6D82562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It is also a chance for us at Save the Children to reflect on the accomplishments of our founder, Eglantyne Jebb, who published the first major statement on children's universal rights. (Save the Children, 2019).</w:t>
      </w:r>
    </w:p>
    <w:p w:rsidR="21D0386F" w:rsidP="21D0386F" w:rsidRDefault="21D0386F" w14:paraId="7F59F6B0" w14:textId="30AD30B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They are powerful concepts, but we must act </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for</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them to have an impact. Children continue to go to bed hungry, scarred by conflict, or living in continuous danger of disease or exploitation all around the world. They urgently require someone to speak up for them and their rights. Throughout her life, Eglantyne Jebb was a vocal advocate for children, and with the Declaration of the Rights of the Child, she began a conversation that continues to benefit millions of children throughout the world. It is our collective responsibility to ensure her legacy.</w:t>
      </w:r>
    </w:p>
    <w:p w:rsidR="21D0386F" w:rsidP="21D0386F" w:rsidRDefault="21D0386F" w14:paraId="601751E9" w14:textId="0FB3DD4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Wales is the only country in the United Kingdom to have made the United Nations Convention on the Rights of the Child part of its domestic law.</w:t>
      </w:r>
    </w:p>
    <w:p w:rsidR="21D0386F" w:rsidP="21D0386F" w:rsidRDefault="21D0386F" w14:paraId="7BF9639A" w14:textId="18C5095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Children and Young People Measure 2011 is an additional law passed by the Welsh government. There are also </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programmers</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on rights in schools.</w:t>
      </w:r>
    </w:p>
    <w:p w:rsidR="21D0386F" w:rsidP="21D0386F" w:rsidRDefault="21D0386F" w14:paraId="71C7425D" w14:textId="4B6A318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The research was conceived when Peter Clarke and Nigel Thomas met shortly after Peter's appointment. Then Save the Children's Anne Crowley and Funky Dragon's Darren Bird got involved. The goal was to honestly evaluate the Commissioner's work while also involving children and youth in the process. The project was supposed to last three years, from 2005 to 2008. The major goal was to "assess the effectiveness of the Children's Commissioner for Wales' work, with a focus on the impact on children and young people. The three-year plan was to devote Year 1 to planning, design, and 'pilot' work, Year 2 to the primary 'data collection,' and Year 3 to analysis and report writing!</w:t>
      </w:r>
    </w:p>
    <w:p w:rsidR="21D0386F" w:rsidP="21D0386F" w:rsidRDefault="21D0386F" w14:paraId="6DD9380A" w14:textId="1D74610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Following the appointment of the Children's Commissioner for Wales, the other British and Irish counties – Northern Ireland in 2003, Scotland in 2004, the Irish Republic in 2004, and ultimately England in 2005 – all appointed Children's Commissioners.</w:t>
      </w:r>
    </w:p>
    <w:p w:rsidR="21D0386F" w:rsidP="21D0386F" w:rsidRDefault="21D0386F" w14:paraId="38AAAEA9" w14:textId="4E2ABBB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English Commissioner is not as independent as the others, but he </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oversees</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policies affecting children and young people in Wales, such as youth crime and asylum.</w:t>
      </w:r>
    </w:p>
    <w:p w:rsidR="21D0386F" w:rsidP="21D0386F" w:rsidRDefault="21D0386F" w14:paraId="7CD80A47" w14:textId="4CCD462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All</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 Commissioners meet on a regular basis and try to collaborate.</w:t>
      </w:r>
    </w:p>
    <w:p w:rsidR="21D0386F" w:rsidP="21D0386F" w:rsidRDefault="21D0386F" w14:paraId="065EAFE1" w14:textId="3382F1C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roofErr w:type="gramStart"/>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However</w:t>
      </w:r>
      <w:proofErr w:type="gramEnd"/>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when Sally Holland became Commissioner a warning came as the four UK Children's Commissioners released a combined report examining the UK and devolved governments' record on children's rights over the previous seven years. It identifies areas of shared concern among the four countries, such as mental health services, child sexual abuse, minors in the legal system, UNCRC implementation, and repealing the Human Rights Act. It also contains 70 recommendations, all of which are critical in supporting the UK and devolved governments in fully </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realizing</w:t>
      </w:r>
      <w:r w:rsidRPr="21D0386F" w:rsidR="21D03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children's rights throughout the country.</w:t>
      </w:r>
    </w:p>
    <w:p w:rsidR="7F6F1639" w:rsidP="632F5F30" w:rsidRDefault="7F6F1639" w14:paraId="376910D5" w14:textId="02D6F9BD">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632F5F30" w:rsidR="632F5F3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Section 3</w:t>
      </w:r>
    </w:p>
    <w:p w:rsidR="632F5F30" w:rsidP="3ED81BB7" w:rsidRDefault="632F5F30" w14:paraId="079EFF67" w14:textId="2EA69B0A">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Neglect is defined as failing to address a child's basic physical and emotional requirements (Department for Education, 2018; Department of Health, 2017; Scottish Government, 2021; Wales Safeguarding Procedures Project Board, 2020).</w:t>
      </w:r>
    </w:p>
    <w:p w:rsidR="632F5F30" w:rsidP="3ED81BB7" w:rsidRDefault="632F5F30" w14:paraId="2319DCA3" w14:textId="3E3C78B5">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It is a type of child maltreatment that has substantial and long-term consequences for a child's growth and development, including serious damage and even death.</w:t>
      </w:r>
    </w:p>
    <w:p w:rsidR="3ED81BB7" w:rsidP="3ED81BB7" w:rsidRDefault="3ED81BB7" w14:paraId="5B1080D8" w14:textId="2157BDCB">
      <w:pPr>
        <w:ind w:left="720" w:right="720"/>
        <w:jc w:val="both"/>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four main types of neglect are:</w:t>
      </w:r>
    </w:p>
    <w:p w:rsidR="3ED81BB7" w:rsidP="3ED81BB7" w:rsidRDefault="3ED81BB7" w14:paraId="0943DB85" w14:textId="0FFB405C">
      <w:pPr>
        <w:pStyle w:val="ListParagraph"/>
        <w:numPr>
          <w:ilvl w:val="0"/>
          <w:numId w:val="1"/>
        </w:numPr>
        <w:spacing/>
        <w:ind w:left="720" w:right="720"/>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t>physical neglect</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not meeting a child’s basic needs, such as food, clothing or shelter; not supervising a child adequately or providing for their safety</w:t>
      </w:r>
    </w:p>
    <w:p w:rsidR="3ED81BB7" w:rsidP="3ED81BB7" w:rsidRDefault="3ED81BB7" w14:paraId="6ED2D612" w14:textId="1FE3F672">
      <w:pPr>
        <w:pStyle w:val="ListParagraph"/>
        <w:numPr>
          <w:ilvl w:val="0"/>
          <w:numId w:val="1"/>
        </w:numPr>
        <w:spacing/>
        <w:ind w:left="720" w:right="720"/>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t>educational neglect</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not making sure a child receives an education</w:t>
      </w:r>
    </w:p>
    <w:p w:rsidR="3ED81BB7" w:rsidP="3ED81BB7" w:rsidRDefault="3ED81BB7" w14:paraId="1D9FFAA0" w14:textId="25A123ED">
      <w:pPr>
        <w:pStyle w:val="ListParagraph"/>
        <w:numPr>
          <w:ilvl w:val="0"/>
          <w:numId w:val="1"/>
        </w:numPr>
        <w:spacing/>
        <w:ind w:left="720" w:right="720"/>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t>emotional neglect</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not meeting a child’s needs for nurture and stimulation, for example by ignoring, humiliating, intimidating or isolating them</w:t>
      </w:r>
    </w:p>
    <w:p w:rsidR="3ED81BB7" w:rsidP="3ED81BB7" w:rsidRDefault="3ED81BB7" w14:paraId="52309DDD" w14:textId="60825090">
      <w:pPr>
        <w:pStyle w:val="ListParagraph"/>
        <w:numPr>
          <w:ilvl w:val="0"/>
          <w:numId w:val="1"/>
        </w:numPr>
        <w:spacing/>
        <w:ind w:left="720" w:right="720"/>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t>medical neglect</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not providing appropriate health care (including dental care), refusing care or ignoring medical recommendations (Horwath, 2007).</w:t>
      </w:r>
    </w:p>
    <w:p w:rsidR="3ED81BB7" w:rsidP="3ED81BB7" w:rsidRDefault="3ED81BB7" w14:paraId="6015B395" w14:textId="228A64B0">
      <w:pPr>
        <w:pStyle w:val="Normal"/>
        <w:spacing/>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Neglect can strike at any moment of a </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child's</w:t>
      </w: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life, sometimes even before the birth of a child. If a mother has mental health issues or abuses substances while pregnant, she may ignore her own health, which can harm the development of the baby in the womb (Haynes et al, 2015).</w:t>
      </w:r>
    </w:p>
    <w:p w:rsidR="3ED81BB7" w:rsidP="3ED81BB7" w:rsidRDefault="3ED81BB7" w14:paraId="0953C596" w14:textId="6B1FA0A0">
      <w:pPr>
        <w:pStyle w:val="Normal"/>
        <w:spacing/>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Parents and caregivers must aid in the development of gross motor abilities in early children. This process may not occur properly if they are neglected or if their parents do not know how to stimulate their child. As a result, the child's development may be affected (Horwath, 2013).</w:t>
      </w:r>
    </w:p>
    <w:p w:rsidR="3ED81BB7" w:rsidP="3ED81BB7" w:rsidRDefault="3ED81BB7" w14:paraId="51796166" w14:textId="0DD175E7">
      <w:pPr>
        <w:pStyle w:val="Normal"/>
        <w:spacing/>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If a child is not provided sufficient food, they will feel hungry and uncomfortable right away, and they may have problems concentrating. Long-term starvation, on the other hand, will have an impact on their physical health and development.</w:t>
      </w:r>
    </w:p>
    <w:p w:rsidR="3ED81BB7" w:rsidP="3ED81BB7" w:rsidRDefault="3ED81BB7" w14:paraId="2DBE2AA1" w14:textId="4691FDE8">
      <w:pPr>
        <w:pStyle w:val="Normal"/>
        <w:spacing/>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Children who do not receive the affection and attention they require may develop attachment issues, making it difficult for them to develop a solid connection or trust with their caregiver. This can cause a child to become withdrawn, impacting their potential to form healthy relationships later in life. Neglected children are more likely to engage in risky behaviour, such as: eluding the authorities, disobeying the law, or misusing drugs or alcohol involvement in dysfunctional and/or abusive relationships. </w:t>
      </w:r>
    </w:p>
    <w:p w:rsidR="3ED81BB7" w:rsidP="3ED81BB7" w:rsidRDefault="3ED81BB7" w14:paraId="7CE4D46D" w14:textId="0D5A9E80">
      <w:pPr>
        <w:jc w:val="both"/>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Early aid, also known as early intervention, is assistance provided to a family as soon as a problem arises. It can be given to a child or a young person at any point in their lives. </w:t>
      </w:r>
    </w:p>
    <w:p w:rsidR="3ED81BB7" w:rsidP="3ED81BB7" w:rsidRDefault="3ED81BB7" w14:paraId="497D0C3D" w14:textId="4E42A296">
      <w:pPr>
        <w:jc w:val="both"/>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Statutory guidance in each nation of the UK highlights the importance of providing early intervention, rather than waiting until a child or family’s situation escalates (Department for Education (DfE), 2018; Department of Health, Social Services and Public Safety, 2017; Scottish Government, 2021; Wales Safeguarding Procedures Project Board, 2020).</w:t>
      </w:r>
    </w:p>
    <w:p w:rsidR="3ED81BB7" w:rsidP="3ED81BB7" w:rsidRDefault="3ED81BB7" w14:paraId="5CA257C6" w14:textId="4096CC68">
      <w:pPr>
        <w:pStyle w:val="Normal"/>
        <w:spacing/>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Early intervention services can be provided to parents, children, or entire families, but its primary goal is to enhance children's outcomes. Services may, for example, assist parents who are struggling to provide a safe and caring home for their children. However, if a child is engaging in risky behaviour, early interventionists may work with the child and their parents to determine the reasons for the child's actions and develop measures to keep them safe.</w:t>
      </w:r>
    </w:p>
    <w:p w:rsidR="3ED81BB7" w:rsidP="3ED81BB7" w:rsidRDefault="3ED81BB7" w14:paraId="3DC7D2B5" w14:textId="39D2A906">
      <w:pPr>
        <w:pStyle w:val="Normal"/>
        <w:spacing/>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It is critical to provide quick assistance. Early intervention can reduce risk factors and boost positive qualities in the life of a child (Early Intervention Foundation (EIF), 2021).</w:t>
      </w:r>
    </w:p>
    <w:p w:rsidR="7F6F1639" w:rsidP="3ED81BB7" w:rsidRDefault="7F6F1639" w14:paraId="788F63B6" w14:textId="512589F5">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Providing early assistance when problems develop is more beneficial than intervening later (DfE, 2018; EIF, 2021).</w:t>
      </w:r>
    </w:p>
    <w:p w:rsidR="7F6F1639" w:rsidP="3ED81BB7" w:rsidRDefault="7F6F1639" w14:paraId="72F58B19" w14:textId="401B7D05">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Early intervention can also help to avoid the rise of new challenges - for instance, as ways of a support contract for a child's needs when they return home from foster care (DfE, 2018).</w:t>
      </w:r>
    </w:p>
    <w:p w:rsidR="3ED81BB7" w:rsidP="3ED81BB7" w:rsidRDefault="3ED81BB7" w14:paraId="127A5A9C" w14:textId="762FF34E">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Early intervention services should be ongoing when providing care. this allows practitioners to answer to the many levels of need that children and their families may face (DfE, 2018). Programmes must be comprehensive, taking into account the family's overall needs and how to administer adequate services. Aswell also provide children with the assistance they require to attain their greatest potential (EIF, 2021). It has the ability to improve a child's home and family life, as well as their academic performance and mental health (EIF, 2021).</w:t>
      </w:r>
    </w:p>
    <w:p w:rsidR="3ED81BB7" w:rsidP="3ED81BB7" w:rsidRDefault="3ED81BB7" w14:paraId="18737E6D" w14:textId="44108F14">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Parry (1992) also states individual treatment approaches are less effective than multidisciplinary teams. Rather of focusing on a single inadequate area, the entire development of the child must be addressed. In young preschool children, home-based programmes are more beneficial than center-based programmes alone. Parental involvement in collaboration with professionals is critical for long-term success. When parenting skills are improved, maximum efficacy is obtained. Early-start preschool programmes are more effective than late-start preschool programmes.</w:t>
      </w:r>
    </w:p>
    <w:p w:rsidR="3ED81BB7" w:rsidP="3ED81BB7" w:rsidRDefault="3ED81BB7" w14:paraId="05D1F137" w14:textId="51D06132">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Early intervention is critical because it prevents problems like abuse, poverty, and illness from negatively impacting a cognitive upbringing, enables families in conflict, enabling them to achieve greatness and manage their problems.  However, preventative services like Home-Start provide assistance to families as soon as possible, before problems become more difficult to manage. Solutions like this also save money since issues may be addressed on a smaller scale instead of just being ignored when behaviour has become established and difficult to modify. Early intervention saves time and money in the long run.</w:t>
      </w:r>
    </w:p>
    <w:p w:rsidR="3ED81BB7" w:rsidP="3ED81BB7" w:rsidRDefault="3ED81BB7" w14:paraId="3ED54560" w14:textId="2AC8F80A">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Such programmes have a measurable impact. 95 percent of families that got Home-Start assistance reported that their children's physical and emotional well-being had benefited. 94 percent of parents stated their mental wellbeing is much better, their personality had elevated, and they felt less alienated as a result of the study. The physical health of 91 percent of parents had improved. According to research, students receiving Home-Start assistance have a brighter future in life than those who do not. It also demonstrates that those children continue to benefit three years after their Home-Start volunteer has left.</w:t>
      </w:r>
    </w:p>
    <w:p w:rsidR="3ED81BB7" w:rsidP="3ED81BB7" w:rsidRDefault="3ED81BB7" w14:paraId="18882340" w14:textId="06A38D3D">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However, child abuse is a widespread occurrence, according to the evidence. Domestic abuse affects around one in every five children in the United Kingdom. Covid-19 may have exacerbated the issue for many children, according to new evidence. We also know that being a victim of domestic violence has far-reaching and long-term consequences. Domestically abused children are more likely to be abused in adult relationships, to use drugs or alcohol, and to be unhappy. The effect on the mental health of children and teenagers can be significant.</w:t>
      </w:r>
    </w:p>
    <w:p w:rsidR="7F6F1639" w:rsidP="3ED81BB7" w:rsidRDefault="7F6F1639" w14:paraId="07BBACD1" w14:textId="69943BB5">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is a serious paucity of evidence about what helps to help children who have suffered or are at danger of domestic abuse. A lack of thorough impact assessment of innovative or popular programmes or practises, along with local authority budget limits and unpredictability, makes planning for these critical and much-needed services extremely difficult.</w:t>
      </w:r>
    </w:p>
    <w:p w:rsidR="3ED81BB7" w:rsidP="3ED81BB7" w:rsidRDefault="3ED81BB7" w14:paraId="0FD82EEA" w14:textId="696925B2">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Domestic Abuse Bill, which is now being debated in parliament, recognises children as separate victims of domestic abuse. This is a move forward, but the issue now is to ensure that every child and adult whom have suffered or is at danger of experiencing domestic abuse receives the help they require, when they require it.</w:t>
      </w:r>
    </w:p>
    <w:p w:rsidR="3ED81BB7" w:rsidP="3ED81BB7" w:rsidRDefault="3ED81BB7" w14:paraId="2B4C83CA" w14:textId="715FE2E7">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demand that the government create a long-term, cross-departmental fund to help  develop knowledge of what succeeds to protect children. Investing in rigorous testing of innovative and widely-used interventions, as well as increased uniformity in proper record methodologies, can help to encourage agreement on a standardised specific outcome, enhancing the ability to assess small-scale local actions, assisting in the evaluation of minority group support.</w:t>
      </w:r>
    </w:p>
    <w:p w:rsidR="3ED81BB7" w:rsidP="3ED81BB7" w:rsidRDefault="3ED81BB7" w14:paraId="2153F06D" w14:textId="5F6607E2">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81BB7" w:rsidR="3ED8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Participating in the use of assessment data to help enhance professional practise and the system also beyond analysing impact, expanding research into domestic violence services to include research on victims' experiences, risk and protective variables, and service users' and local decision-makers' interests.</w:t>
      </w:r>
    </w:p>
    <w:p w:rsidR="7F6F1639" w:rsidP="7F6F1639" w:rsidRDefault="7F6F1639" w14:paraId="64010D87" w14:textId="2A060E5C">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38FBA415" w14:textId="755FDEAC">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1F00B338" w14:textId="626E3F47">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5E9C81F3" w14:textId="7E50CDDF">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06EF0E12" w14:textId="09FC10A2">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12E27FEE" w14:textId="76324C7F">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28B5D8ED" w14:textId="334EDB20">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347D941A" w14:textId="77CD8673">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7F6F1639" w:rsidRDefault="7F6F1639" w14:paraId="5D27740B" w14:textId="5E69CF4A">
      <w:pPr>
        <w:pStyle w:val="Normal"/>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6F1639" w:rsidP="632F5F30" w:rsidRDefault="7F6F1639" w14:paraId="666BEFAA" w14:textId="29FC16B8">
      <w:pPr>
        <w:pStyle w:val="Normal"/>
        <w:ind w:left="0" w:right="0"/>
        <w:jc w:val="both"/>
        <w:rPr>
          <w:rFonts w:ascii="Tahoma" w:hAnsi="Tahoma" w:eastAsia="Tahoma" w:cs="Tahoma"/>
          <w:b w:val="0"/>
          <w:bCs w:val="0"/>
          <w:i w:val="0"/>
          <w:iCs w:val="0"/>
          <w:caps w:val="0"/>
          <w:smallCaps w:val="0"/>
          <w:noProof w:val="0"/>
          <w:color w:val="000000" w:themeColor="text1" w:themeTint="FF" w:themeShade="FF"/>
          <w:sz w:val="24"/>
          <w:szCs w:val="24"/>
          <w:lang w:val="en-US"/>
        </w:rPr>
      </w:pPr>
      <w:r w:rsidRPr="632F5F30" w:rsidR="7F6F1639">
        <w:rPr>
          <w:rFonts w:ascii="Tahoma" w:hAnsi="Tahoma" w:eastAsia="Tahoma" w:cs="Tahoma"/>
          <w:b w:val="0"/>
          <w:bCs w:val="0"/>
          <w:i w:val="0"/>
          <w:iCs w:val="0"/>
          <w:caps w:val="0"/>
          <w:smallCaps w:val="0"/>
          <w:noProof w:val="0"/>
          <w:color w:val="000000" w:themeColor="text1" w:themeTint="FF" w:themeShade="FF"/>
          <w:sz w:val="24"/>
          <w:szCs w:val="24"/>
          <w:lang w:val="en-US"/>
        </w:rPr>
        <w:t xml:space="preserve">Luke, J. S. (1998). </w:t>
      </w:r>
      <w:r w:rsidRPr="632F5F30" w:rsidR="7F6F1639">
        <w:rPr>
          <w:rFonts w:ascii="Tahoma" w:hAnsi="Tahoma" w:eastAsia="Tahoma" w:cs="Tahoma"/>
          <w:b w:val="0"/>
          <w:bCs w:val="0"/>
          <w:i w:val="1"/>
          <w:iCs w:val="1"/>
          <w:caps w:val="0"/>
          <w:smallCaps w:val="0"/>
          <w:noProof w:val="0"/>
          <w:color w:val="000000" w:themeColor="text1" w:themeTint="FF" w:themeShade="FF"/>
          <w:sz w:val="24"/>
          <w:szCs w:val="24"/>
          <w:lang w:val="en-US"/>
        </w:rPr>
        <w:t>Catalytic leadership: Strategies for an interconnected world</w:t>
      </w:r>
      <w:r w:rsidRPr="632F5F30" w:rsidR="7F6F1639">
        <w:rPr>
          <w:rFonts w:ascii="Tahoma" w:hAnsi="Tahoma" w:eastAsia="Tahoma" w:cs="Tahoma"/>
          <w:b w:val="0"/>
          <w:bCs w:val="0"/>
          <w:i w:val="0"/>
          <w:iCs w:val="0"/>
          <w:caps w:val="0"/>
          <w:smallCaps w:val="0"/>
          <w:noProof w:val="0"/>
          <w:color w:val="000000" w:themeColor="text1" w:themeTint="FF" w:themeShade="FF"/>
          <w:sz w:val="24"/>
          <w:szCs w:val="24"/>
          <w:lang w:val="en-US"/>
        </w:rPr>
        <w:t>. San Francisco: Jossey-Bass.</w:t>
      </w:r>
    </w:p>
    <w:p w:rsidR="632F5F30" w:rsidP="632F5F30" w:rsidRDefault="632F5F30" w14:paraId="61BCC208" w14:textId="6C43401C">
      <w:pPr>
        <w:pStyle w:val="Normal"/>
        <w:ind w:left="0" w:right="0"/>
        <w:jc w:val="both"/>
        <w:rPr>
          <w:rFonts w:ascii="Tahoma" w:hAnsi="Tahoma" w:eastAsia="Tahoma" w:cs="Tahoma"/>
          <w:noProof w:val="0"/>
          <w:sz w:val="24"/>
          <w:szCs w:val="24"/>
          <w:lang w:val="en-US"/>
        </w:rPr>
      </w:pPr>
      <w:r w:rsidRPr="632F5F30" w:rsidR="632F5F30">
        <w:rPr>
          <w:rFonts w:ascii="Tahoma" w:hAnsi="Tahoma" w:eastAsia="Tahoma" w:cs="Tahoma"/>
          <w:noProof w:val="0"/>
          <w:sz w:val="24"/>
          <w:szCs w:val="24"/>
          <w:lang w:val="en-US"/>
        </w:rPr>
        <w:t xml:space="preserve">Zachery, Kevin M., "The Leadership Catalyst: A New Paradigm for Helping Leadership Flourish in Organizations" (2011). Master of Science in Organizational Dynamics Theses. 65. </w:t>
      </w:r>
      <w:hyperlink r:id="Rfebef05baaeb4848">
        <w:r w:rsidRPr="632F5F30" w:rsidR="632F5F30">
          <w:rPr>
            <w:rStyle w:val="Hyperlink"/>
            <w:rFonts w:ascii="Tahoma" w:hAnsi="Tahoma" w:eastAsia="Tahoma" w:cs="Tahoma"/>
            <w:noProof w:val="0"/>
            <w:sz w:val="24"/>
            <w:szCs w:val="24"/>
            <w:lang w:val="en-US"/>
          </w:rPr>
          <w:t>https://repository.upenn.edu/od_theses_msod/65</w:t>
        </w:r>
      </w:hyperlink>
    </w:p>
    <w:p w:rsidR="632F5F30" w:rsidP="632F5F30" w:rsidRDefault="632F5F30" w14:paraId="0CFAC55B" w14:textId="266BC1F1">
      <w:pPr>
        <w:pStyle w:val="Normal"/>
        <w:ind w:left="0" w:right="0"/>
        <w:jc w:val="both"/>
        <w:rPr>
          <w:rFonts w:ascii="Tahoma" w:hAnsi="Tahoma" w:eastAsia="Tahoma" w:cs="Tahoma"/>
          <w:noProof w:val="0"/>
          <w:sz w:val="24"/>
          <w:szCs w:val="24"/>
          <w:lang w:val="en-US"/>
        </w:rPr>
      </w:pPr>
      <w:r w:rsidRPr="45ED9884" w:rsidR="632F5F30">
        <w:rPr>
          <w:rFonts w:ascii="Tahoma" w:hAnsi="Tahoma" w:eastAsia="Tahoma" w:cs="Tahoma"/>
          <w:noProof w:val="0"/>
          <w:sz w:val="24"/>
          <w:szCs w:val="24"/>
          <w:lang w:val="en-US"/>
        </w:rPr>
        <w:t>Robertson, H. (1929). The uncertainty principle. Physical Review, 34(1), 163.</w:t>
      </w:r>
    </w:p>
    <w:p w:rsidR="45ED9884" w:rsidP="21D0386F" w:rsidRDefault="45ED9884" w14:paraId="2F8C4024" w14:textId="1EEBBF26">
      <w:pPr>
        <w:pStyle w:val="Normal"/>
        <w:ind w:left="0" w:right="0"/>
        <w:jc w:val="both"/>
        <w:rPr>
          <w:rFonts w:ascii="Tahoma" w:hAnsi="Tahoma" w:eastAsia="Tahoma" w:cs="Tahoma"/>
          <w:noProof w:val="0"/>
          <w:sz w:val="24"/>
          <w:szCs w:val="24"/>
          <w:lang w:val="en-US"/>
        </w:rPr>
      </w:pPr>
      <w:r w:rsidRPr="21D0386F" w:rsidR="45ED9884">
        <w:rPr>
          <w:rFonts w:ascii="Tahoma" w:hAnsi="Tahoma" w:eastAsia="Tahoma" w:cs="Tahoma"/>
          <w:noProof w:val="0"/>
          <w:sz w:val="24"/>
          <w:szCs w:val="24"/>
          <w:lang w:val="en-US"/>
        </w:rPr>
        <w:t xml:space="preserve">Children’s Workforce Development Council. 2010. Available </w:t>
      </w:r>
      <w:r w:rsidRPr="21D0386F" w:rsidR="45ED9884">
        <w:rPr>
          <w:rFonts w:ascii="Tahoma" w:hAnsi="Tahoma" w:eastAsia="Tahoma" w:cs="Tahoma"/>
          <w:noProof w:val="0"/>
          <w:sz w:val="24"/>
          <w:szCs w:val="24"/>
          <w:lang w:val="en-US"/>
        </w:rPr>
        <w:t xml:space="preserve">at: </w:t>
      </w:r>
      <w:hyperlink r:id="Rda1422665150411b">
        <w:r w:rsidRPr="21D0386F" w:rsidR="45ED9884">
          <w:rPr>
            <w:rStyle w:val="Hyperlink"/>
            <w:rFonts w:ascii="Tahoma" w:hAnsi="Tahoma" w:eastAsia="Tahoma" w:cs="Tahoma"/>
            <w:noProof w:val="0"/>
            <w:sz w:val="24"/>
            <w:szCs w:val="24"/>
            <w:lang w:val="en-US"/>
          </w:rPr>
          <w:t>http</w:t>
        </w:r>
        <w:r w:rsidRPr="21D0386F" w:rsidR="45ED9884">
          <w:rPr>
            <w:rStyle w:val="Hyperlink"/>
            <w:rFonts w:ascii="Tahoma" w:hAnsi="Tahoma" w:eastAsia="Tahoma" w:cs="Tahoma"/>
            <w:noProof w:val="0"/>
            <w:sz w:val="24"/>
            <w:szCs w:val="24"/>
            <w:lang w:val="en-US"/>
          </w:rPr>
          <w:t>://www.cwdcouncil.org.Uk/</w:t>
        </w:r>
        <w:r w:rsidRPr="21D0386F" w:rsidR="45ED9884">
          <w:rPr>
            <w:rStyle w:val="Hyperlink"/>
            <w:rFonts w:ascii="Tahoma" w:hAnsi="Tahoma" w:eastAsia="Tahoma" w:cs="Tahoma"/>
            <w:noProof w:val="0"/>
            <w:sz w:val="24"/>
            <w:szCs w:val="24"/>
            <w:lang w:val="en-US"/>
          </w:rPr>
          <w:t>eyps</w:t>
        </w:r>
      </w:hyperlink>
      <w:r w:rsidR="21D0386F">
        <w:rPr/>
        <w:t xml:space="preserve"> </w:t>
      </w:r>
    </w:p>
    <w:p w:rsidR="45ED9884" w:rsidP="45ED9884" w:rsidRDefault="45ED9884" w14:paraId="57902FC3" w14:textId="64F6D657">
      <w:pPr>
        <w:pStyle w:val="Normal"/>
        <w:ind w:left="0" w:right="0"/>
        <w:jc w:val="both"/>
        <w:rPr>
          <w:rFonts w:ascii="Tahoma" w:hAnsi="Tahoma" w:eastAsia="Tahoma" w:cs="Tahoma"/>
          <w:noProof w:val="0"/>
          <w:sz w:val="24"/>
          <w:szCs w:val="24"/>
          <w:lang w:val="en-US"/>
        </w:rPr>
      </w:pPr>
      <w:r w:rsidRPr="45ED9884" w:rsidR="45ED9884">
        <w:rPr>
          <w:rFonts w:ascii="Tahoma" w:hAnsi="Tahoma" w:eastAsia="Tahoma" w:cs="Tahoma"/>
          <w:noProof w:val="0"/>
          <w:sz w:val="24"/>
          <w:szCs w:val="24"/>
          <w:lang w:val="en-US"/>
        </w:rPr>
        <w:t xml:space="preserve">Hard, L. and A. Jónsdóttir (2013), “Leadership is not a dirty word: Exploring and embracing leadership in ECEC”, European Early Childhood Education Research Journal, Vol. 21/3, pp. 311-325, </w:t>
      </w:r>
      <w:hyperlink r:id="R8481c8e5c77c47da">
        <w:r w:rsidRPr="45ED9884" w:rsidR="45ED9884">
          <w:rPr>
            <w:rStyle w:val="Hyperlink"/>
            <w:rFonts w:ascii="Tahoma" w:hAnsi="Tahoma" w:eastAsia="Tahoma" w:cs="Tahoma"/>
            <w:noProof w:val="0"/>
            <w:sz w:val="24"/>
            <w:szCs w:val="24"/>
            <w:lang w:val="en-US"/>
          </w:rPr>
          <w:t>http://dx.doi.org/10.1080/1350293x.2013.814355</w:t>
        </w:r>
      </w:hyperlink>
    </w:p>
    <w:p w:rsidR="45ED9884" w:rsidP="45ED9884" w:rsidRDefault="45ED9884" w14:paraId="17B01D56" w14:textId="3170AC3B">
      <w:pPr>
        <w:pStyle w:val="Normal"/>
        <w:ind w:left="0" w:right="0"/>
        <w:jc w:val="both"/>
        <w:rPr>
          <w:rFonts w:ascii="Tahoma" w:hAnsi="Tahoma" w:eastAsia="Tahoma" w:cs="Tahoma"/>
          <w:noProof w:val="0"/>
          <w:sz w:val="24"/>
          <w:szCs w:val="24"/>
          <w:lang w:val="en-US"/>
        </w:rPr>
      </w:pPr>
      <w:r w:rsidRPr="45ED9884" w:rsidR="45ED9884">
        <w:rPr>
          <w:rFonts w:ascii="Tahoma" w:hAnsi="Tahoma" w:eastAsia="Tahoma" w:cs="Tahoma"/>
          <w:noProof w:val="0"/>
          <w:sz w:val="24"/>
          <w:szCs w:val="24"/>
          <w:lang w:val="en-US"/>
        </w:rPr>
        <w:t>Arbour, M. et al. (2016), Improving quality and child outcomes in early childhood education by redefining the role afforded to teacher in professional development: A continuous quality improvement learning collaborative among public preschools in Chile, Society for Research in Educational Effectiveness, Evanston, IL.</w:t>
      </w:r>
    </w:p>
    <w:p w:rsidR="45ED9884" w:rsidP="45ED9884" w:rsidRDefault="45ED9884" w14:paraId="2E090138" w14:textId="28286AB4">
      <w:pPr>
        <w:pStyle w:val="Normal"/>
        <w:ind w:left="0" w:right="0"/>
        <w:jc w:val="both"/>
        <w:rPr>
          <w:rFonts w:ascii="Tahoma" w:hAnsi="Tahoma" w:eastAsia="Tahoma" w:cs="Tahoma"/>
          <w:noProof w:val="0"/>
          <w:sz w:val="24"/>
          <w:szCs w:val="24"/>
          <w:lang w:val="en-US"/>
        </w:rPr>
      </w:pPr>
      <w:r w:rsidRPr="45ED9884" w:rsidR="45ED9884">
        <w:rPr>
          <w:rFonts w:ascii="Tahoma" w:hAnsi="Tahoma" w:eastAsia="Tahoma" w:cs="Tahoma"/>
          <w:noProof w:val="0"/>
          <w:sz w:val="24"/>
          <w:szCs w:val="24"/>
          <w:lang w:val="en-US"/>
        </w:rPr>
        <w:t xml:space="preserve">Clark, R. (2012), “‘I’ve never thought of myself as a leader but…’: the Early Years Professional and catalytic leadership”, European Early Childhood Education Research Journal, Vol. 20/3, pp. 391-401, </w:t>
      </w:r>
      <w:hyperlink r:id="Rc8067c3d27d2442e">
        <w:r w:rsidRPr="45ED9884" w:rsidR="45ED9884">
          <w:rPr>
            <w:rStyle w:val="Hyperlink"/>
            <w:rFonts w:ascii="Tahoma" w:hAnsi="Tahoma" w:eastAsia="Tahoma" w:cs="Tahoma"/>
            <w:noProof w:val="0"/>
            <w:sz w:val="24"/>
            <w:szCs w:val="24"/>
            <w:lang w:val="en-US"/>
          </w:rPr>
          <w:t>http://dx.doi.org/10.1080/1350293x.2012.704762</w:t>
        </w:r>
      </w:hyperlink>
      <w:r w:rsidRPr="45ED9884" w:rsidR="45ED9884">
        <w:rPr>
          <w:rFonts w:ascii="Tahoma" w:hAnsi="Tahoma" w:eastAsia="Tahoma" w:cs="Tahoma"/>
          <w:noProof w:val="0"/>
          <w:sz w:val="24"/>
          <w:szCs w:val="24"/>
          <w:lang w:val="en-US"/>
        </w:rPr>
        <w:t>.</w:t>
      </w:r>
    </w:p>
    <w:p w:rsidR="45ED9884" w:rsidP="45ED9884" w:rsidRDefault="45ED9884" w14:paraId="7B1304FF" w14:textId="678A5A90">
      <w:pPr>
        <w:pStyle w:val="Normal"/>
        <w:ind w:left="0" w:right="0"/>
        <w:jc w:val="both"/>
        <w:rPr>
          <w:rFonts w:ascii="Tahoma" w:hAnsi="Tahoma" w:eastAsia="Tahoma" w:cs="Tahoma"/>
          <w:noProof w:val="0"/>
          <w:sz w:val="24"/>
          <w:szCs w:val="24"/>
          <w:lang w:val="en-US"/>
        </w:rPr>
      </w:pPr>
      <w:r w:rsidRPr="45ED9884" w:rsidR="45ED9884">
        <w:rPr>
          <w:rFonts w:ascii="Tahoma" w:hAnsi="Tahoma" w:eastAsia="Tahoma" w:cs="Tahoma"/>
          <w:noProof w:val="0"/>
          <w:sz w:val="24"/>
          <w:szCs w:val="24"/>
          <w:lang w:val="en-US"/>
        </w:rPr>
        <w:t xml:space="preserve">OECD (2019), Providing Quality Early Childhood Education and Care: Results from the Starting Strong Survey 2018, TALIS, OECD Publishing, Paris, </w:t>
      </w:r>
      <w:hyperlink r:id="Rd3419a6a90344c03">
        <w:r w:rsidRPr="45ED9884" w:rsidR="45ED9884">
          <w:rPr>
            <w:rStyle w:val="Hyperlink"/>
            <w:rFonts w:ascii="Tahoma" w:hAnsi="Tahoma" w:eastAsia="Tahoma" w:cs="Tahoma"/>
            <w:noProof w:val="0"/>
            <w:sz w:val="24"/>
            <w:szCs w:val="24"/>
            <w:lang w:val="en-US"/>
          </w:rPr>
          <w:t>https://doi.org/10.1787/301005d1-en</w:t>
        </w:r>
      </w:hyperlink>
      <w:r w:rsidRPr="45ED9884" w:rsidR="45ED9884">
        <w:rPr>
          <w:rFonts w:ascii="Tahoma" w:hAnsi="Tahoma" w:eastAsia="Tahoma" w:cs="Tahoma"/>
          <w:noProof w:val="0"/>
          <w:sz w:val="24"/>
          <w:szCs w:val="24"/>
          <w:lang w:val="en-US"/>
        </w:rPr>
        <w:t>.</w:t>
      </w:r>
    </w:p>
    <w:p w:rsidR="45ED9884" w:rsidP="45ED9884" w:rsidRDefault="45ED9884" w14:paraId="40140538" w14:textId="2A9F5B92">
      <w:pPr>
        <w:pStyle w:val="Normal"/>
        <w:ind w:left="0" w:right="0"/>
        <w:jc w:val="both"/>
        <w:rPr>
          <w:rFonts w:ascii="Tahoma" w:hAnsi="Tahoma" w:eastAsia="Tahoma" w:cs="Tahoma"/>
          <w:noProof w:val="0"/>
          <w:sz w:val="24"/>
          <w:szCs w:val="24"/>
          <w:lang w:val="en-US"/>
        </w:rPr>
      </w:pPr>
      <w:r w:rsidRPr="3ED81BB7" w:rsidR="45ED9884">
        <w:rPr>
          <w:rFonts w:ascii="Tahoma" w:hAnsi="Tahoma" w:eastAsia="Tahoma" w:cs="Tahoma"/>
          <w:noProof w:val="0"/>
          <w:sz w:val="24"/>
          <w:szCs w:val="24"/>
          <w:lang w:val="en-US"/>
        </w:rPr>
        <w:t>Center for Advanced Research in Education (CIAE) (2018), Study of characterization of leadership and the role of directors in education establishments for early childhood. socialization and reflection workshop, Center for Advanced Research in Education (CIAE</w:t>
      </w:r>
      <w:proofErr w:type="gramStart"/>
      <w:r w:rsidRPr="3ED81BB7" w:rsidR="45ED9884">
        <w:rPr>
          <w:rFonts w:ascii="Tahoma" w:hAnsi="Tahoma" w:eastAsia="Tahoma" w:cs="Tahoma"/>
          <w:noProof w:val="0"/>
          <w:sz w:val="24"/>
          <w:szCs w:val="24"/>
          <w:lang w:val="en-US"/>
        </w:rPr>
        <w:t>),Undersecretary</w:t>
      </w:r>
      <w:proofErr w:type="gramEnd"/>
      <w:r w:rsidRPr="3ED81BB7" w:rsidR="45ED9884">
        <w:rPr>
          <w:rFonts w:ascii="Tahoma" w:hAnsi="Tahoma" w:eastAsia="Tahoma" w:cs="Tahoma"/>
          <w:noProof w:val="0"/>
          <w:sz w:val="24"/>
          <w:szCs w:val="24"/>
          <w:lang w:val="en-US"/>
        </w:rPr>
        <w:t xml:space="preserve"> of Early Childhood Education Organization of Ibero-American States (OEI). PowerPoint Presentation, Chile.</w:t>
      </w:r>
    </w:p>
    <w:p w:rsidR="3ED81BB7" w:rsidP="3ED81BB7" w:rsidRDefault="3ED81BB7" w14:paraId="61AE34CD" w14:textId="3E898CE5">
      <w:pPr>
        <w:pStyle w:val="Normal"/>
        <w:ind w:left="0" w:right="0"/>
        <w:jc w:val="both"/>
        <w:rPr>
          <w:rFonts w:ascii="Tahoma" w:hAnsi="Tahoma" w:eastAsia="Tahoma" w:cs="Tahoma"/>
          <w:noProof w:val="0"/>
          <w:sz w:val="24"/>
          <w:szCs w:val="24"/>
          <w:lang w:val="en-US"/>
        </w:rPr>
      </w:pPr>
      <w:proofErr w:type="spellStart"/>
      <w:r w:rsidRPr="3ED81BB7" w:rsidR="3ED81BB7">
        <w:rPr>
          <w:rFonts w:ascii="Tahoma" w:hAnsi="Tahoma" w:eastAsia="Tahoma" w:cs="Tahoma"/>
          <w:noProof w:val="0"/>
          <w:sz w:val="24"/>
          <w:szCs w:val="24"/>
          <w:lang w:val="en-US"/>
        </w:rPr>
        <w:t>Mikailova</w:t>
      </w:r>
      <w:proofErr w:type="spellEnd"/>
      <w:r w:rsidRPr="3ED81BB7" w:rsidR="3ED81BB7">
        <w:rPr>
          <w:rFonts w:ascii="Tahoma" w:hAnsi="Tahoma" w:eastAsia="Tahoma" w:cs="Tahoma"/>
          <w:noProof w:val="0"/>
          <w:sz w:val="24"/>
          <w:szCs w:val="24"/>
          <w:lang w:val="en-US"/>
        </w:rPr>
        <w:t xml:space="preserve">, U. and V. Radsky (2013), “School leadership in Azerbaijani early childhood education: Implications for education transfer”, in </w:t>
      </w:r>
      <w:proofErr w:type="spellStart"/>
      <w:r w:rsidRPr="3ED81BB7" w:rsidR="3ED81BB7">
        <w:rPr>
          <w:rFonts w:ascii="Tahoma" w:hAnsi="Tahoma" w:eastAsia="Tahoma" w:cs="Tahoma"/>
          <w:noProof w:val="0"/>
          <w:sz w:val="24"/>
          <w:szCs w:val="24"/>
          <w:lang w:val="en-US"/>
        </w:rPr>
        <w:t>Hujala</w:t>
      </w:r>
      <w:proofErr w:type="spellEnd"/>
      <w:r w:rsidRPr="3ED81BB7" w:rsidR="3ED81BB7">
        <w:rPr>
          <w:rFonts w:ascii="Tahoma" w:hAnsi="Tahoma" w:eastAsia="Tahoma" w:cs="Tahoma"/>
          <w:noProof w:val="0"/>
          <w:sz w:val="24"/>
          <w:szCs w:val="24"/>
          <w:lang w:val="en-US"/>
        </w:rPr>
        <w:t xml:space="preserve">, E., M. </w:t>
      </w:r>
      <w:proofErr w:type="spellStart"/>
      <w:r w:rsidRPr="3ED81BB7" w:rsidR="3ED81BB7">
        <w:rPr>
          <w:rFonts w:ascii="Tahoma" w:hAnsi="Tahoma" w:eastAsia="Tahoma" w:cs="Tahoma"/>
          <w:noProof w:val="0"/>
          <w:sz w:val="24"/>
          <w:szCs w:val="24"/>
          <w:lang w:val="en-US"/>
        </w:rPr>
        <w:t>Waniganayake</w:t>
      </w:r>
      <w:proofErr w:type="spellEnd"/>
      <w:r w:rsidRPr="3ED81BB7" w:rsidR="3ED81BB7">
        <w:rPr>
          <w:rFonts w:ascii="Tahoma" w:hAnsi="Tahoma" w:eastAsia="Tahoma" w:cs="Tahoma"/>
          <w:noProof w:val="0"/>
          <w:sz w:val="24"/>
          <w:szCs w:val="24"/>
          <w:lang w:val="en-US"/>
        </w:rPr>
        <w:t xml:space="preserve"> and J. Rodd (eds.), Researching Leadership in Early Childhood Education, Tampere University Press, Tampere.</w:t>
      </w:r>
    </w:p>
    <w:p w:rsidR="3ED81BB7" w:rsidP="3ED81BB7" w:rsidRDefault="3ED81BB7" w14:paraId="236CE653" w14:textId="4D294526">
      <w:pPr>
        <w:pStyle w:val="Normal"/>
        <w:ind w:left="0" w:right="0"/>
        <w:jc w:val="both"/>
        <w:rPr>
          <w:rFonts w:ascii="Tahoma" w:hAnsi="Tahoma" w:eastAsia="Tahoma" w:cs="Tahoma"/>
          <w:noProof w:val="0"/>
          <w:sz w:val="24"/>
          <w:szCs w:val="24"/>
          <w:lang w:val="en-US"/>
        </w:rPr>
      </w:pPr>
      <w:r w:rsidRPr="3ED81BB7" w:rsidR="3ED81BB7">
        <w:rPr>
          <w:rFonts w:ascii="Tahoma" w:hAnsi="Tahoma" w:eastAsia="Tahoma" w:cs="Tahoma"/>
          <w:noProof w:val="0"/>
          <w:sz w:val="24"/>
          <w:szCs w:val="24"/>
          <w:lang w:val="en-US"/>
        </w:rPr>
        <w:t xml:space="preserve">Heikka, </w:t>
      </w:r>
      <w:r w:rsidRPr="3ED81BB7" w:rsidR="3ED81BB7">
        <w:rPr>
          <w:rFonts w:ascii="Tahoma" w:hAnsi="Tahoma" w:eastAsia="Tahoma" w:cs="Tahoma"/>
          <w:noProof w:val="0"/>
          <w:sz w:val="24"/>
          <w:szCs w:val="24"/>
          <w:lang w:val="en-US"/>
        </w:rPr>
        <w:t>J.</w:t>
      </w:r>
      <w:r w:rsidRPr="3ED81BB7" w:rsidR="3ED81BB7">
        <w:rPr>
          <w:rFonts w:ascii="Tahoma" w:hAnsi="Tahoma" w:eastAsia="Tahoma" w:cs="Tahoma"/>
          <w:noProof w:val="0"/>
          <w:sz w:val="24"/>
          <w:szCs w:val="24"/>
          <w:lang w:val="en-US"/>
        </w:rPr>
        <w:t xml:space="preserve"> and E. </w:t>
      </w:r>
      <w:r w:rsidRPr="3ED81BB7" w:rsidR="3ED81BB7">
        <w:rPr>
          <w:rFonts w:ascii="Tahoma" w:hAnsi="Tahoma" w:eastAsia="Tahoma" w:cs="Tahoma"/>
          <w:noProof w:val="0"/>
          <w:sz w:val="24"/>
          <w:szCs w:val="24"/>
          <w:lang w:val="en-US"/>
        </w:rPr>
        <w:t>Hujala</w:t>
      </w:r>
      <w:r w:rsidRPr="3ED81BB7" w:rsidR="3ED81BB7">
        <w:rPr>
          <w:rFonts w:ascii="Tahoma" w:hAnsi="Tahoma" w:eastAsia="Tahoma" w:cs="Tahoma"/>
          <w:noProof w:val="0"/>
          <w:sz w:val="24"/>
          <w:szCs w:val="24"/>
          <w:lang w:val="en-US"/>
        </w:rPr>
        <w:t xml:space="preserve"> (2013), “Early childhood leadership through the lens of distributed leadership”, European Early Childhood Education Research Journal, Vol. 21/4, pp. 568-580, </w:t>
      </w:r>
      <w:hyperlink r:id="Rc10fbd3fd5264296">
        <w:r w:rsidRPr="3ED81BB7" w:rsidR="3ED81BB7">
          <w:rPr>
            <w:rStyle w:val="Hyperlink"/>
            <w:rFonts w:ascii="Tahoma" w:hAnsi="Tahoma" w:eastAsia="Tahoma" w:cs="Tahoma"/>
            <w:noProof w:val="0"/>
            <w:sz w:val="24"/>
            <w:szCs w:val="24"/>
            <w:lang w:val="en-US"/>
          </w:rPr>
          <w:t>http://dx.doi.org/10.1080/1350293x.2013.845444</w:t>
        </w:r>
      </w:hyperlink>
      <w:r w:rsidRPr="3ED81BB7" w:rsidR="3ED81BB7">
        <w:rPr>
          <w:rFonts w:ascii="Tahoma" w:hAnsi="Tahoma" w:eastAsia="Tahoma" w:cs="Tahoma"/>
          <w:noProof w:val="0"/>
          <w:sz w:val="24"/>
          <w:szCs w:val="24"/>
          <w:lang w:val="en-US"/>
        </w:rPr>
        <w:t>.</w:t>
      </w:r>
    </w:p>
    <w:p w:rsidR="3ED81BB7" w:rsidP="3ED81BB7" w:rsidRDefault="3ED81BB7" w14:paraId="0ADE1667" w14:textId="4BD91451">
      <w:pPr>
        <w:pStyle w:val="Normal"/>
        <w:ind w:left="0" w:right="0"/>
        <w:jc w:val="both"/>
        <w:rPr>
          <w:rFonts w:ascii="Tahoma" w:hAnsi="Tahoma" w:eastAsia="Tahoma" w:cs="Tahoma"/>
          <w:noProof w:val="0"/>
          <w:sz w:val="24"/>
          <w:szCs w:val="24"/>
          <w:lang w:val="en-US"/>
        </w:rPr>
      </w:pPr>
      <w:r w:rsidRPr="3ED81BB7" w:rsidR="3ED81BB7">
        <w:rPr>
          <w:rFonts w:ascii="Tahoma" w:hAnsi="Tahoma" w:eastAsia="Tahoma" w:cs="Tahoma"/>
          <w:noProof w:val="0"/>
          <w:sz w:val="24"/>
          <w:szCs w:val="24"/>
          <w:lang w:val="en-US"/>
        </w:rPr>
        <w:t>Hujala</w:t>
      </w:r>
      <w:r w:rsidRPr="3ED81BB7" w:rsidR="3ED81BB7">
        <w:rPr>
          <w:rFonts w:ascii="Tahoma" w:hAnsi="Tahoma" w:eastAsia="Tahoma" w:cs="Tahoma"/>
          <w:noProof w:val="0"/>
          <w:sz w:val="24"/>
          <w:szCs w:val="24"/>
          <w:lang w:val="en-US"/>
        </w:rPr>
        <w:t xml:space="preserve">, E. et al. (2016), “Leadership tasks in early childhood education in Finland, Japan, and Singapore”, Journal of Research in Childhood Education, Vol. 30/3, pp. 406-421, </w:t>
      </w:r>
      <w:hyperlink r:id="R55f2e84ded924942">
        <w:r w:rsidRPr="3ED81BB7" w:rsidR="3ED81BB7">
          <w:rPr>
            <w:rStyle w:val="Hyperlink"/>
            <w:rFonts w:ascii="Tahoma" w:hAnsi="Tahoma" w:eastAsia="Tahoma" w:cs="Tahoma"/>
            <w:noProof w:val="0"/>
            <w:sz w:val="24"/>
            <w:szCs w:val="24"/>
            <w:lang w:val="en-US"/>
          </w:rPr>
          <w:t>http://dx.doi.org/10.1080/02568543.2016.1179551</w:t>
        </w:r>
      </w:hyperlink>
      <w:r w:rsidRPr="3ED81BB7" w:rsidR="3ED81BB7">
        <w:rPr>
          <w:rFonts w:ascii="Tahoma" w:hAnsi="Tahoma" w:eastAsia="Tahoma" w:cs="Tahoma"/>
          <w:noProof w:val="0"/>
          <w:sz w:val="24"/>
          <w:szCs w:val="24"/>
          <w:lang w:val="en-US"/>
        </w:rPr>
        <w:t>.</w:t>
      </w:r>
    </w:p>
    <w:p w:rsidR="3ED81BB7" w:rsidP="3ED81BB7" w:rsidRDefault="3ED81BB7" w14:paraId="4312B143" w14:textId="3FDA492C">
      <w:pPr>
        <w:pStyle w:val="Normal"/>
        <w:ind w:left="0" w:right="0"/>
        <w:jc w:val="both"/>
        <w:rPr>
          <w:rFonts w:ascii="Tahoma" w:hAnsi="Tahoma" w:eastAsia="Tahoma" w:cs="Tahoma"/>
          <w:noProof w:val="0"/>
          <w:sz w:val="24"/>
          <w:szCs w:val="24"/>
          <w:lang w:val="en-US"/>
        </w:rPr>
      </w:pPr>
      <w:r w:rsidRPr="3ED81BB7" w:rsidR="3ED81BB7">
        <w:rPr>
          <w:rFonts w:ascii="Tahoma" w:hAnsi="Tahoma" w:eastAsia="Tahoma" w:cs="Tahoma"/>
          <w:noProof w:val="0"/>
          <w:sz w:val="24"/>
          <w:szCs w:val="24"/>
          <w:lang w:val="en-US"/>
        </w:rPr>
        <w:t>Rodd,</w:t>
      </w:r>
      <w:r>
        <w:tab/>
      </w:r>
      <w:r w:rsidRPr="3ED81BB7" w:rsidR="3ED81BB7">
        <w:rPr>
          <w:rFonts w:ascii="Tahoma" w:hAnsi="Tahoma" w:eastAsia="Tahoma" w:cs="Tahoma"/>
          <w:noProof w:val="0"/>
          <w:sz w:val="24"/>
          <w:szCs w:val="24"/>
          <w:lang w:val="en-US"/>
        </w:rPr>
        <w:t>J.</w:t>
      </w:r>
      <w:r>
        <w:tab/>
      </w:r>
      <w:r w:rsidRPr="3ED81BB7" w:rsidR="3ED81BB7">
        <w:rPr>
          <w:rFonts w:ascii="Tahoma" w:hAnsi="Tahoma" w:eastAsia="Tahoma" w:cs="Tahoma"/>
          <w:noProof w:val="0"/>
          <w:sz w:val="24"/>
          <w:szCs w:val="24"/>
          <w:lang w:val="en-US"/>
        </w:rPr>
        <w:t>(2013).</w:t>
      </w:r>
      <w:r>
        <w:tab/>
      </w:r>
      <w:r w:rsidRPr="3ED81BB7" w:rsidR="3ED81BB7">
        <w:rPr>
          <w:rFonts w:ascii="Tahoma" w:hAnsi="Tahoma" w:eastAsia="Tahoma" w:cs="Tahoma"/>
          <w:noProof w:val="0"/>
          <w:sz w:val="24"/>
          <w:szCs w:val="24"/>
          <w:lang w:val="en-US"/>
        </w:rPr>
        <w:t>Leadership</w:t>
      </w:r>
      <w:r>
        <w:tab/>
      </w:r>
      <w:r w:rsidRPr="3ED81BB7" w:rsidR="3ED81BB7">
        <w:rPr>
          <w:rFonts w:ascii="Tahoma" w:hAnsi="Tahoma" w:eastAsia="Tahoma" w:cs="Tahoma"/>
          <w:noProof w:val="0"/>
          <w:sz w:val="24"/>
          <w:szCs w:val="24"/>
          <w:lang w:val="en-US"/>
        </w:rPr>
        <w:t>in</w:t>
      </w:r>
      <w:r>
        <w:tab/>
      </w:r>
      <w:r w:rsidRPr="3ED81BB7" w:rsidR="3ED81BB7">
        <w:rPr>
          <w:rFonts w:ascii="Tahoma" w:hAnsi="Tahoma" w:eastAsia="Tahoma" w:cs="Tahoma"/>
          <w:noProof w:val="0"/>
          <w:sz w:val="24"/>
          <w:szCs w:val="24"/>
          <w:lang w:val="en-US"/>
        </w:rPr>
        <w:t>Early</w:t>
      </w:r>
      <w:r>
        <w:tab/>
      </w:r>
      <w:r w:rsidRPr="3ED81BB7" w:rsidR="3ED81BB7">
        <w:rPr>
          <w:rFonts w:ascii="Tahoma" w:hAnsi="Tahoma" w:eastAsia="Tahoma" w:cs="Tahoma"/>
          <w:noProof w:val="0"/>
          <w:sz w:val="24"/>
          <w:szCs w:val="24"/>
          <w:lang w:val="en-US"/>
        </w:rPr>
        <w:t>Childhood.</w:t>
      </w:r>
      <w:r>
        <w:tab/>
      </w:r>
      <w:r w:rsidRPr="3ED81BB7" w:rsidR="3ED81BB7">
        <w:rPr>
          <w:rFonts w:ascii="Tahoma" w:hAnsi="Tahoma" w:eastAsia="Tahoma" w:cs="Tahoma"/>
          <w:noProof w:val="0"/>
          <w:sz w:val="24"/>
          <w:szCs w:val="24"/>
          <w:lang w:val="en-US"/>
        </w:rPr>
        <w:t>The</w:t>
      </w:r>
      <w:r>
        <w:tab/>
      </w:r>
      <w:r w:rsidRPr="3ED81BB7" w:rsidR="3ED81BB7">
        <w:rPr>
          <w:rFonts w:ascii="Tahoma" w:hAnsi="Tahoma" w:eastAsia="Tahoma" w:cs="Tahoma"/>
          <w:noProof w:val="0"/>
          <w:sz w:val="24"/>
          <w:szCs w:val="24"/>
          <w:lang w:val="en-US"/>
        </w:rPr>
        <w:t>pathway</w:t>
      </w:r>
      <w:r>
        <w:tab/>
      </w:r>
      <w:r w:rsidRPr="3ED81BB7" w:rsidR="3ED81BB7">
        <w:rPr>
          <w:rFonts w:ascii="Tahoma" w:hAnsi="Tahoma" w:eastAsia="Tahoma" w:cs="Tahoma"/>
          <w:noProof w:val="0"/>
          <w:sz w:val="24"/>
          <w:szCs w:val="24"/>
          <w:lang w:val="en-US"/>
        </w:rPr>
        <w:t>to</w:t>
      </w:r>
      <w:r>
        <w:tab/>
      </w:r>
      <w:r w:rsidRPr="3ED81BB7" w:rsidR="3ED81BB7">
        <w:rPr>
          <w:rFonts w:ascii="Tahoma" w:hAnsi="Tahoma" w:eastAsia="Tahoma" w:cs="Tahoma"/>
          <w:noProof w:val="0"/>
          <w:sz w:val="24"/>
          <w:szCs w:val="24"/>
          <w:lang w:val="en-US"/>
        </w:rPr>
        <w:t>professionalism (4th edition).</w:t>
      </w:r>
      <w:r>
        <w:tab/>
      </w:r>
      <w:r w:rsidRPr="3ED81BB7" w:rsidR="3ED81BB7">
        <w:rPr>
          <w:rFonts w:ascii="Tahoma" w:hAnsi="Tahoma" w:eastAsia="Tahoma" w:cs="Tahoma"/>
          <w:noProof w:val="0"/>
          <w:sz w:val="24"/>
          <w:szCs w:val="24"/>
          <w:lang w:val="en-US"/>
        </w:rPr>
        <w:t xml:space="preserve"> Sydney:</w:t>
      </w:r>
      <w:r>
        <w:tab/>
      </w:r>
      <w:r w:rsidRPr="3ED81BB7" w:rsidR="3ED81BB7">
        <w:rPr>
          <w:rFonts w:ascii="Tahoma" w:hAnsi="Tahoma" w:eastAsia="Tahoma" w:cs="Tahoma"/>
          <w:noProof w:val="0"/>
          <w:sz w:val="24"/>
          <w:szCs w:val="24"/>
          <w:lang w:val="en-US"/>
        </w:rPr>
        <w:t>Allen</w:t>
      </w:r>
      <w:r>
        <w:tab/>
      </w:r>
      <w:r w:rsidRPr="3ED81BB7" w:rsidR="3ED81BB7">
        <w:rPr>
          <w:rFonts w:ascii="Tahoma" w:hAnsi="Tahoma" w:eastAsia="Tahoma" w:cs="Tahoma"/>
          <w:noProof w:val="0"/>
          <w:sz w:val="24"/>
          <w:szCs w:val="24"/>
          <w:lang w:val="en-US"/>
        </w:rPr>
        <w:t>and</w:t>
      </w:r>
      <w:r>
        <w:tab/>
      </w:r>
      <w:r w:rsidRPr="3ED81BB7" w:rsidR="3ED81BB7">
        <w:rPr>
          <w:rFonts w:ascii="Tahoma" w:hAnsi="Tahoma" w:eastAsia="Tahoma" w:cs="Tahoma"/>
          <w:noProof w:val="0"/>
          <w:sz w:val="24"/>
          <w:szCs w:val="24"/>
          <w:lang w:val="en-US"/>
        </w:rPr>
        <w:t>Unwin.</w:t>
      </w:r>
    </w:p>
    <w:p w:rsidR="3ED81BB7" w:rsidP="3ED81BB7" w:rsidRDefault="3ED81BB7" w14:paraId="377FF055" w14:textId="3D3E14EF">
      <w:pPr>
        <w:pStyle w:val="Normal"/>
        <w:ind w:left="0" w:right="0"/>
        <w:jc w:val="both"/>
        <w:rPr>
          <w:rFonts w:ascii="Tahoma" w:hAnsi="Tahoma" w:eastAsia="Tahoma" w:cs="Tahoma"/>
          <w:noProof w:val="0"/>
          <w:sz w:val="24"/>
          <w:szCs w:val="24"/>
          <w:lang w:val="en-US"/>
        </w:rPr>
      </w:pPr>
      <w:proofErr w:type="spellStart"/>
      <w:r w:rsidRPr="3ED81BB7" w:rsidR="3ED81BB7">
        <w:rPr>
          <w:rFonts w:ascii="Tahoma" w:hAnsi="Tahoma" w:eastAsia="Tahoma" w:cs="Tahoma"/>
          <w:noProof w:val="0"/>
          <w:sz w:val="24"/>
          <w:szCs w:val="24"/>
          <w:lang w:val="en-US"/>
        </w:rPr>
        <w:t>Hujala</w:t>
      </w:r>
      <w:proofErr w:type="spellEnd"/>
      <w:r w:rsidRPr="3ED81BB7" w:rsidR="3ED81BB7">
        <w:rPr>
          <w:rFonts w:ascii="Tahoma" w:hAnsi="Tahoma" w:eastAsia="Tahoma" w:cs="Tahoma"/>
          <w:noProof w:val="0"/>
          <w:sz w:val="24"/>
          <w:szCs w:val="24"/>
          <w:lang w:val="en-US"/>
        </w:rPr>
        <w:t>,</w:t>
      </w:r>
      <w:r>
        <w:tab/>
      </w:r>
      <w:r w:rsidRPr="3ED81BB7" w:rsidR="3ED81BB7">
        <w:rPr>
          <w:rFonts w:ascii="Tahoma" w:hAnsi="Tahoma" w:eastAsia="Tahoma" w:cs="Tahoma"/>
          <w:noProof w:val="0"/>
          <w:sz w:val="24"/>
          <w:szCs w:val="24"/>
          <w:lang w:val="en-US"/>
        </w:rPr>
        <w:t>E.,</w:t>
      </w:r>
      <w:r>
        <w:tab/>
      </w:r>
      <w:proofErr w:type="spellStart"/>
      <w:r w:rsidRPr="3ED81BB7" w:rsidR="3ED81BB7">
        <w:rPr>
          <w:rFonts w:ascii="Tahoma" w:hAnsi="Tahoma" w:eastAsia="Tahoma" w:cs="Tahoma"/>
          <w:noProof w:val="0"/>
          <w:sz w:val="24"/>
          <w:szCs w:val="24"/>
          <w:lang w:val="en-US"/>
        </w:rPr>
        <w:t>Waniganayake</w:t>
      </w:r>
      <w:proofErr w:type="spellEnd"/>
      <w:r w:rsidRPr="3ED81BB7" w:rsidR="3ED81BB7">
        <w:rPr>
          <w:rFonts w:ascii="Tahoma" w:hAnsi="Tahoma" w:eastAsia="Tahoma" w:cs="Tahoma"/>
          <w:noProof w:val="0"/>
          <w:sz w:val="24"/>
          <w:szCs w:val="24"/>
          <w:lang w:val="en-US"/>
        </w:rPr>
        <w:t>,</w:t>
      </w:r>
      <w:r>
        <w:tab/>
      </w:r>
      <w:r w:rsidRPr="3ED81BB7" w:rsidR="3ED81BB7">
        <w:rPr>
          <w:rFonts w:ascii="Tahoma" w:hAnsi="Tahoma" w:eastAsia="Tahoma" w:cs="Tahoma"/>
          <w:noProof w:val="0"/>
          <w:sz w:val="24"/>
          <w:szCs w:val="24"/>
          <w:lang w:val="en-US"/>
        </w:rPr>
        <w:t>M.</w:t>
      </w:r>
      <w:r>
        <w:tab/>
      </w:r>
      <w:r w:rsidRPr="3ED81BB7" w:rsidR="3ED81BB7">
        <w:rPr>
          <w:rFonts w:ascii="Tahoma" w:hAnsi="Tahoma" w:eastAsia="Tahoma" w:cs="Tahoma"/>
          <w:noProof w:val="0"/>
          <w:sz w:val="24"/>
          <w:szCs w:val="24"/>
          <w:lang w:val="en-US"/>
        </w:rPr>
        <w:t>&amp;</w:t>
      </w:r>
      <w:r>
        <w:tab/>
      </w:r>
      <w:r w:rsidRPr="3ED81BB7" w:rsidR="3ED81BB7">
        <w:rPr>
          <w:rFonts w:ascii="Tahoma" w:hAnsi="Tahoma" w:eastAsia="Tahoma" w:cs="Tahoma"/>
          <w:noProof w:val="0"/>
          <w:sz w:val="24"/>
          <w:szCs w:val="24"/>
          <w:lang w:val="en-US"/>
        </w:rPr>
        <w:t>Rodd,</w:t>
      </w:r>
      <w:r>
        <w:tab/>
      </w:r>
      <w:r w:rsidRPr="3ED81BB7" w:rsidR="3ED81BB7">
        <w:rPr>
          <w:rFonts w:ascii="Tahoma" w:hAnsi="Tahoma" w:eastAsia="Tahoma" w:cs="Tahoma"/>
          <w:noProof w:val="0"/>
          <w:sz w:val="24"/>
          <w:szCs w:val="24"/>
          <w:lang w:val="en-US"/>
        </w:rPr>
        <w:t>J.</w:t>
      </w:r>
      <w:r>
        <w:tab/>
      </w:r>
      <w:r w:rsidRPr="3ED81BB7" w:rsidR="3ED81BB7">
        <w:rPr>
          <w:rFonts w:ascii="Tahoma" w:hAnsi="Tahoma" w:eastAsia="Tahoma" w:cs="Tahoma"/>
          <w:noProof w:val="0"/>
          <w:sz w:val="24"/>
          <w:szCs w:val="24"/>
          <w:lang w:val="en-US"/>
        </w:rPr>
        <w:t>(Eds)</w:t>
      </w:r>
      <w:r>
        <w:tab/>
      </w:r>
      <w:r w:rsidRPr="3ED81BB7" w:rsidR="3ED81BB7">
        <w:rPr>
          <w:rFonts w:ascii="Tahoma" w:hAnsi="Tahoma" w:eastAsia="Tahoma" w:cs="Tahoma"/>
          <w:noProof w:val="0"/>
          <w:sz w:val="24"/>
          <w:szCs w:val="24"/>
          <w:lang w:val="en-US"/>
        </w:rPr>
        <w:t>(2013).</w:t>
      </w:r>
      <w:r>
        <w:tab/>
      </w:r>
      <w:r w:rsidRPr="3ED81BB7" w:rsidR="3ED81BB7">
        <w:rPr>
          <w:rFonts w:ascii="Tahoma" w:hAnsi="Tahoma" w:eastAsia="Tahoma" w:cs="Tahoma"/>
          <w:noProof w:val="0"/>
          <w:sz w:val="24"/>
          <w:szCs w:val="24"/>
          <w:lang w:val="en-US"/>
        </w:rPr>
        <w:t>Researching</w:t>
      </w:r>
      <w:r>
        <w:tab/>
      </w:r>
      <w:r w:rsidRPr="3ED81BB7" w:rsidR="3ED81BB7">
        <w:rPr>
          <w:rFonts w:ascii="Tahoma" w:hAnsi="Tahoma" w:eastAsia="Tahoma" w:cs="Tahoma"/>
          <w:noProof w:val="0"/>
          <w:sz w:val="24"/>
          <w:szCs w:val="24"/>
          <w:lang w:val="en-US"/>
        </w:rPr>
        <w:t>leadership</w:t>
      </w:r>
      <w:r>
        <w:tab/>
      </w:r>
      <w:r w:rsidRPr="3ED81BB7" w:rsidR="3ED81BB7">
        <w:rPr>
          <w:rFonts w:ascii="Tahoma" w:hAnsi="Tahoma" w:eastAsia="Tahoma" w:cs="Tahoma"/>
          <w:noProof w:val="0"/>
          <w:sz w:val="24"/>
          <w:szCs w:val="24"/>
          <w:lang w:val="en-US"/>
        </w:rPr>
        <w:t>in</w:t>
      </w:r>
      <w:r>
        <w:tab/>
      </w:r>
      <w:r w:rsidRPr="3ED81BB7" w:rsidR="3ED81BB7">
        <w:rPr>
          <w:rFonts w:ascii="Tahoma" w:hAnsi="Tahoma" w:eastAsia="Tahoma" w:cs="Tahoma"/>
          <w:noProof w:val="0"/>
          <w:sz w:val="24"/>
          <w:szCs w:val="24"/>
          <w:lang w:val="en-US"/>
        </w:rPr>
        <w:t>early</w:t>
      </w:r>
      <w:r>
        <w:tab/>
      </w:r>
      <w:r w:rsidRPr="3ED81BB7" w:rsidR="3ED81BB7">
        <w:rPr>
          <w:rFonts w:ascii="Tahoma" w:hAnsi="Tahoma" w:eastAsia="Tahoma" w:cs="Tahoma"/>
          <w:noProof w:val="0"/>
          <w:sz w:val="24"/>
          <w:szCs w:val="24"/>
          <w:lang w:val="en-US"/>
        </w:rPr>
        <w:t>childhood</w:t>
      </w:r>
      <w:r>
        <w:tab/>
      </w:r>
      <w:r w:rsidRPr="3ED81BB7" w:rsidR="3ED81BB7">
        <w:rPr>
          <w:rFonts w:ascii="Tahoma" w:hAnsi="Tahoma" w:eastAsia="Tahoma" w:cs="Tahoma"/>
          <w:noProof w:val="0"/>
          <w:sz w:val="24"/>
          <w:szCs w:val="24"/>
          <w:lang w:val="en-US"/>
        </w:rPr>
        <w:t xml:space="preserve"> education.</w:t>
      </w:r>
      <w:r>
        <w:tab/>
      </w:r>
      <w:r w:rsidRPr="3ED81BB7" w:rsidR="3ED81BB7">
        <w:rPr>
          <w:rFonts w:ascii="Tahoma" w:hAnsi="Tahoma" w:eastAsia="Tahoma" w:cs="Tahoma"/>
          <w:noProof w:val="0"/>
          <w:sz w:val="24"/>
          <w:szCs w:val="24"/>
          <w:lang w:val="en-US"/>
        </w:rPr>
        <w:t>Tampere,</w:t>
      </w:r>
      <w:r>
        <w:tab/>
      </w:r>
      <w:r w:rsidRPr="3ED81BB7" w:rsidR="3ED81BB7">
        <w:rPr>
          <w:rFonts w:ascii="Tahoma" w:hAnsi="Tahoma" w:eastAsia="Tahoma" w:cs="Tahoma"/>
          <w:noProof w:val="0"/>
          <w:sz w:val="24"/>
          <w:szCs w:val="24"/>
          <w:lang w:val="en-US"/>
        </w:rPr>
        <w:t>Finland:</w:t>
      </w:r>
      <w:r>
        <w:tab/>
      </w:r>
      <w:r w:rsidRPr="3ED81BB7" w:rsidR="3ED81BB7">
        <w:rPr>
          <w:rFonts w:ascii="Tahoma" w:hAnsi="Tahoma" w:eastAsia="Tahoma" w:cs="Tahoma"/>
          <w:noProof w:val="0"/>
          <w:sz w:val="24"/>
          <w:szCs w:val="24"/>
          <w:lang w:val="en-US"/>
        </w:rPr>
        <w:t>Tampere</w:t>
      </w:r>
      <w:r>
        <w:tab/>
      </w:r>
      <w:r w:rsidRPr="3ED81BB7" w:rsidR="3ED81BB7">
        <w:rPr>
          <w:rFonts w:ascii="Tahoma" w:hAnsi="Tahoma" w:eastAsia="Tahoma" w:cs="Tahoma"/>
          <w:noProof w:val="0"/>
          <w:sz w:val="24"/>
          <w:szCs w:val="24"/>
          <w:lang w:val="en-US"/>
        </w:rPr>
        <w:t>University</w:t>
      </w:r>
      <w:r>
        <w:tab/>
      </w:r>
      <w:r w:rsidRPr="3ED81BB7" w:rsidR="3ED81BB7">
        <w:rPr>
          <w:rFonts w:ascii="Tahoma" w:hAnsi="Tahoma" w:eastAsia="Tahoma" w:cs="Tahoma"/>
          <w:noProof w:val="0"/>
          <w:sz w:val="24"/>
          <w:szCs w:val="24"/>
          <w:lang w:val="en-US"/>
        </w:rPr>
        <w:t>Press.</w:t>
      </w:r>
    </w:p>
    <w:p w:rsidR="3ED81BB7" w:rsidP="3ED81BB7" w:rsidRDefault="3ED81BB7" w14:paraId="6DA8EB63" w14:textId="686FEBEE">
      <w:pPr>
        <w:pStyle w:val="Normal"/>
        <w:ind w:left="0" w:right="0"/>
        <w:jc w:val="both"/>
        <w:rPr>
          <w:rFonts w:ascii="Tahoma" w:hAnsi="Tahoma" w:eastAsia="Tahoma" w:cs="Tahoma"/>
          <w:noProof w:val="0"/>
          <w:sz w:val="24"/>
          <w:szCs w:val="24"/>
          <w:lang w:val="en-US"/>
        </w:rPr>
      </w:pPr>
      <w:r w:rsidRPr="21D0386F" w:rsidR="3ED81BB7">
        <w:rPr>
          <w:rFonts w:ascii="Tahoma" w:hAnsi="Tahoma" w:eastAsia="Tahoma" w:cs="Tahoma"/>
          <w:noProof w:val="0"/>
          <w:sz w:val="24"/>
          <w:szCs w:val="24"/>
          <w:lang w:val="en-US"/>
        </w:rPr>
        <w:t>Shonkoff,</w:t>
      </w:r>
      <w:r>
        <w:tab/>
      </w:r>
      <w:r w:rsidRPr="21D0386F" w:rsidR="3ED81BB7">
        <w:rPr>
          <w:rFonts w:ascii="Tahoma" w:hAnsi="Tahoma" w:eastAsia="Tahoma" w:cs="Tahoma"/>
          <w:noProof w:val="0"/>
          <w:sz w:val="24"/>
          <w:szCs w:val="24"/>
          <w:lang w:val="en-US"/>
        </w:rPr>
        <w:t>J.</w:t>
      </w:r>
      <w:r>
        <w:tab/>
      </w:r>
      <w:r w:rsidRPr="21D0386F" w:rsidR="3ED81BB7">
        <w:rPr>
          <w:rFonts w:ascii="Tahoma" w:hAnsi="Tahoma" w:eastAsia="Tahoma" w:cs="Tahoma"/>
          <w:noProof w:val="0"/>
          <w:sz w:val="24"/>
          <w:szCs w:val="24"/>
          <w:lang w:val="en-US"/>
        </w:rPr>
        <w:t>(2014).</w:t>
      </w:r>
      <w:r>
        <w:tab/>
      </w:r>
      <w:r w:rsidRPr="21D0386F" w:rsidR="3ED81BB7">
        <w:rPr>
          <w:rFonts w:ascii="Tahoma" w:hAnsi="Tahoma" w:eastAsia="Tahoma" w:cs="Tahoma"/>
          <w:noProof w:val="0"/>
          <w:sz w:val="24"/>
          <w:szCs w:val="24"/>
          <w:lang w:val="en-US"/>
        </w:rPr>
        <w:t>The</w:t>
      </w:r>
      <w:r>
        <w:tab/>
      </w:r>
      <w:r w:rsidRPr="21D0386F" w:rsidR="3ED81BB7">
        <w:rPr>
          <w:rFonts w:ascii="Tahoma" w:hAnsi="Tahoma" w:eastAsia="Tahoma" w:cs="Tahoma"/>
          <w:noProof w:val="0"/>
          <w:sz w:val="24"/>
          <w:szCs w:val="24"/>
          <w:lang w:val="en-US"/>
        </w:rPr>
        <w:t>need</w:t>
      </w:r>
      <w:r>
        <w:tab/>
      </w:r>
      <w:r w:rsidRPr="21D0386F" w:rsidR="3ED81BB7">
        <w:rPr>
          <w:rFonts w:ascii="Tahoma" w:hAnsi="Tahoma" w:eastAsia="Tahoma" w:cs="Tahoma"/>
          <w:noProof w:val="0"/>
          <w:sz w:val="24"/>
          <w:szCs w:val="24"/>
          <w:lang w:val="en-US"/>
        </w:rPr>
        <w:t>for</w:t>
      </w:r>
      <w:r>
        <w:tab/>
      </w:r>
      <w:r w:rsidRPr="21D0386F" w:rsidR="3ED81BB7">
        <w:rPr>
          <w:rFonts w:ascii="Tahoma" w:hAnsi="Tahoma" w:eastAsia="Tahoma" w:cs="Tahoma"/>
          <w:noProof w:val="0"/>
          <w:sz w:val="24"/>
          <w:szCs w:val="24"/>
          <w:lang w:val="en-US"/>
        </w:rPr>
        <w:t>strategy:</w:t>
      </w:r>
      <w:r>
        <w:tab/>
      </w:r>
      <w:r w:rsidRPr="21D0386F" w:rsidR="3ED81BB7">
        <w:rPr>
          <w:rFonts w:ascii="Tahoma" w:hAnsi="Tahoma" w:eastAsia="Tahoma" w:cs="Tahoma"/>
          <w:noProof w:val="0"/>
          <w:sz w:val="24"/>
          <w:szCs w:val="24"/>
          <w:lang w:val="en-US"/>
        </w:rPr>
        <w:t>translating</w:t>
      </w:r>
      <w:r>
        <w:tab/>
      </w:r>
      <w:r w:rsidRPr="21D0386F" w:rsidR="3ED81BB7">
        <w:rPr>
          <w:rFonts w:ascii="Tahoma" w:hAnsi="Tahoma" w:eastAsia="Tahoma" w:cs="Tahoma"/>
          <w:noProof w:val="0"/>
          <w:sz w:val="24"/>
          <w:szCs w:val="24"/>
          <w:lang w:val="en-US"/>
        </w:rPr>
        <w:t>inspiration</w:t>
      </w:r>
      <w:r>
        <w:tab/>
      </w:r>
      <w:r w:rsidRPr="21D0386F" w:rsidR="3ED81BB7">
        <w:rPr>
          <w:rFonts w:ascii="Tahoma" w:hAnsi="Tahoma" w:eastAsia="Tahoma" w:cs="Tahoma"/>
          <w:noProof w:val="0"/>
          <w:sz w:val="24"/>
          <w:szCs w:val="24"/>
          <w:lang w:val="en-US"/>
        </w:rPr>
        <w:t>into</w:t>
      </w:r>
      <w:r>
        <w:tab/>
      </w:r>
      <w:r w:rsidRPr="21D0386F" w:rsidR="3ED81BB7">
        <w:rPr>
          <w:rFonts w:ascii="Tahoma" w:hAnsi="Tahoma" w:eastAsia="Tahoma" w:cs="Tahoma"/>
          <w:noProof w:val="0"/>
          <w:sz w:val="24"/>
          <w:szCs w:val="24"/>
          <w:lang w:val="en-US"/>
        </w:rPr>
        <w:t>concrete</w:t>
      </w:r>
      <w:r>
        <w:tab/>
      </w:r>
      <w:r w:rsidRPr="21D0386F" w:rsidR="3ED81BB7">
        <w:rPr>
          <w:rFonts w:ascii="Tahoma" w:hAnsi="Tahoma" w:eastAsia="Tahoma" w:cs="Tahoma"/>
          <w:noProof w:val="0"/>
          <w:sz w:val="24"/>
          <w:szCs w:val="24"/>
          <w:lang w:val="en-US"/>
        </w:rPr>
        <w:t>goals</w:t>
      </w:r>
      <w:r>
        <w:tab/>
      </w:r>
      <w:r w:rsidRPr="21D0386F" w:rsidR="3ED81BB7">
        <w:rPr>
          <w:rFonts w:ascii="Tahoma" w:hAnsi="Tahoma" w:eastAsia="Tahoma" w:cs="Tahoma"/>
          <w:noProof w:val="0"/>
          <w:sz w:val="24"/>
          <w:szCs w:val="24"/>
          <w:lang w:val="en-US"/>
        </w:rPr>
        <w:t>and</w:t>
      </w:r>
      <w:r>
        <w:tab/>
      </w:r>
      <w:r w:rsidRPr="21D0386F" w:rsidR="3ED81BB7">
        <w:rPr>
          <w:rFonts w:ascii="Tahoma" w:hAnsi="Tahoma" w:eastAsia="Tahoma" w:cs="Tahoma"/>
          <w:noProof w:val="0"/>
          <w:sz w:val="24"/>
          <w:szCs w:val="24"/>
          <w:lang w:val="en-US"/>
        </w:rPr>
        <w:t>plans</w:t>
      </w:r>
      <w:r>
        <w:tab/>
      </w:r>
      <w:r w:rsidRPr="21D0386F" w:rsidR="3ED81BB7">
        <w:rPr>
          <w:rFonts w:ascii="Tahoma" w:hAnsi="Tahoma" w:eastAsia="Tahoma" w:cs="Tahoma"/>
          <w:noProof w:val="0"/>
          <w:sz w:val="24"/>
          <w:szCs w:val="24"/>
          <w:lang w:val="en-US"/>
        </w:rPr>
        <w:t>we</w:t>
      </w:r>
      <w:r>
        <w:tab/>
      </w:r>
      <w:r w:rsidRPr="21D0386F" w:rsidR="3ED81BB7">
        <w:rPr>
          <w:rFonts w:ascii="Tahoma" w:hAnsi="Tahoma" w:eastAsia="Tahoma" w:cs="Tahoma"/>
          <w:noProof w:val="0"/>
          <w:sz w:val="24"/>
          <w:szCs w:val="24"/>
          <w:lang w:val="en-US"/>
        </w:rPr>
        <w:t xml:space="preserve"> develop</w:t>
      </w:r>
      <w:r>
        <w:tab/>
      </w:r>
      <w:r w:rsidRPr="21D0386F" w:rsidR="3ED81BB7">
        <w:rPr>
          <w:rFonts w:ascii="Tahoma" w:hAnsi="Tahoma" w:eastAsia="Tahoma" w:cs="Tahoma"/>
          <w:noProof w:val="0"/>
          <w:sz w:val="24"/>
          <w:szCs w:val="24"/>
          <w:lang w:val="en-US"/>
        </w:rPr>
        <w:t>together.</w:t>
      </w:r>
      <w:r>
        <w:tab/>
      </w:r>
      <w:r w:rsidRPr="21D0386F" w:rsidR="3ED81BB7">
        <w:rPr>
          <w:rFonts w:ascii="Tahoma" w:hAnsi="Tahoma" w:eastAsia="Tahoma" w:cs="Tahoma"/>
          <w:noProof w:val="0"/>
          <w:sz w:val="24"/>
          <w:szCs w:val="24"/>
          <w:lang w:val="en-US"/>
        </w:rPr>
        <w:t>Keynote</w:t>
      </w:r>
      <w:r>
        <w:tab/>
      </w:r>
      <w:r w:rsidRPr="21D0386F" w:rsidR="3ED81BB7">
        <w:rPr>
          <w:rFonts w:ascii="Tahoma" w:hAnsi="Tahoma" w:eastAsia="Tahoma" w:cs="Tahoma"/>
          <w:noProof w:val="0"/>
          <w:sz w:val="24"/>
          <w:szCs w:val="24"/>
          <w:lang w:val="en-US"/>
        </w:rPr>
        <w:t>presentation</w:t>
      </w:r>
      <w:r>
        <w:tab/>
      </w:r>
      <w:r w:rsidRPr="21D0386F" w:rsidR="3ED81BB7">
        <w:rPr>
          <w:rFonts w:ascii="Tahoma" w:hAnsi="Tahoma" w:eastAsia="Tahoma" w:cs="Tahoma"/>
          <w:noProof w:val="0"/>
          <w:sz w:val="24"/>
          <w:szCs w:val="24"/>
          <w:lang w:val="en-US"/>
        </w:rPr>
        <w:t>at</w:t>
      </w:r>
      <w:r>
        <w:tab/>
      </w:r>
      <w:r w:rsidRPr="21D0386F" w:rsidR="3ED81BB7">
        <w:rPr>
          <w:rFonts w:ascii="Tahoma" w:hAnsi="Tahoma" w:eastAsia="Tahoma" w:cs="Tahoma"/>
          <w:noProof w:val="0"/>
          <w:sz w:val="24"/>
          <w:szCs w:val="24"/>
          <w:lang w:val="en-US"/>
        </w:rPr>
        <w:t>The</w:t>
      </w:r>
      <w:r>
        <w:tab/>
      </w:r>
      <w:r w:rsidRPr="21D0386F" w:rsidR="3ED81BB7">
        <w:rPr>
          <w:rFonts w:ascii="Tahoma" w:hAnsi="Tahoma" w:eastAsia="Tahoma" w:cs="Tahoma"/>
          <w:noProof w:val="0"/>
          <w:sz w:val="24"/>
          <w:szCs w:val="24"/>
          <w:lang w:val="en-US"/>
        </w:rPr>
        <w:t>IDEA</w:t>
      </w:r>
      <w:r>
        <w:tab/>
      </w:r>
      <w:r w:rsidRPr="21D0386F" w:rsidR="3ED81BB7">
        <w:rPr>
          <w:rFonts w:ascii="Tahoma" w:hAnsi="Tahoma" w:eastAsia="Tahoma" w:cs="Tahoma"/>
          <w:noProof w:val="0"/>
          <w:sz w:val="24"/>
          <w:szCs w:val="24"/>
          <w:lang w:val="en-US"/>
        </w:rPr>
        <w:t>Conference.</w:t>
      </w:r>
      <w:r>
        <w:tab/>
      </w:r>
      <w:r w:rsidRPr="21D0386F" w:rsidR="3ED81BB7">
        <w:rPr>
          <w:rFonts w:ascii="Tahoma" w:hAnsi="Tahoma" w:eastAsia="Tahoma" w:cs="Tahoma"/>
          <w:noProof w:val="0"/>
          <w:sz w:val="24"/>
          <w:szCs w:val="24"/>
          <w:lang w:val="en-US"/>
        </w:rPr>
        <w:t>The</w:t>
      </w:r>
      <w:r>
        <w:tab/>
      </w:r>
      <w:r w:rsidRPr="21D0386F" w:rsidR="3ED81BB7">
        <w:rPr>
          <w:rFonts w:ascii="Tahoma" w:hAnsi="Tahoma" w:eastAsia="Tahoma" w:cs="Tahoma"/>
          <w:noProof w:val="0"/>
          <w:sz w:val="24"/>
          <w:szCs w:val="24"/>
          <w:lang w:val="en-US"/>
        </w:rPr>
        <w:t>LEGO</w:t>
      </w:r>
      <w:r>
        <w:tab/>
      </w:r>
      <w:r w:rsidRPr="21D0386F" w:rsidR="3ED81BB7">
        <w:rPr>
          <w:rFonts w:ascii="Tahoma" w:hAnsi="Tahoma" w:eastAsia="Tahoma" w:cs="Tahoma"/>
          <w:noProof w:val="0"/>
          <w:sz w:val="24"/>
          <w:szCs w:val="24"/>
          <w:lang w:val="en-US"/>
        </w:rPr>
        <w:t>Foundation.</w:t>
      </w:r>
      <w:r>
        <w:tab/>
      </w:r>
      <w:r w:rsidRPr="21D0386F" w:rsidR="3ED81BB7">
        <w:rPr>
          <w:rFonts w:ascii="Tahoma" w:hAnsi="Tahoma" w:eastAsia="Tahoma" w:cs="Tahoma"/>
          <w:noProof w:val="0"/>
          <w:sz w:val="24"/>
          <w:szCs w:val="24"/>
          <w:lang w:val="en-US"/>
        </w:rPr>
        <w:t xml:space="preserve"> 8-10</w:t>
      </w:r>
      <w:r>
        <w:tab/>
      </w:r>
      <w:r w:rsidRPr="21D0386F" w:rsidR="3ED81BB7">
        <w:rPr>
          <w:rFonts w:ascii="Tahoma" w:hAnsi="Tahoma" w:eastAsia="Tahoma" w:cs="Tahoma"/>
          <w:noProof w:val="0"/>
          <w:sz w:val="24"/>
          <w:szCs w:val="24"/>
          <w:lang w:val="en-US"/>
        </w:rPr>
        <w:t>April,</w:t>
      </w:r>
      <w:r>
        <w:tab/>
      </w:r>
      <w:r w:rsidRPr="21D0386F" w:rsidR="3ED81BB7">
        <w:rPr>
          <w:rFonts w:ascii="Tahoma" w:hAnsi="Tahoma" w:eastAsia="Tahoma" w:cs="Tahoma"/>
          <w:noProof w:val="0"/>
          <w:sz w:val="24"/>
          <w:szCs w:val="24"/>
          <w:lang w:val="en-US"/>
        </w:rPr>
        <w:t>Billund,</w:t>
      </w:r>
      <w:r>
        <w:tab/>
      </w:r>
      <w:r w:rsidRPr="21D0386F" w:rsidR="3ED81BB7">
        <w:rPr>
          <w:rFonts w:ascii="Tahoma" w:hAnsi="Tahoma" w:eastAsia="Tahoma" w:cs="Tahoma"/>
          <w:noProof w:val="0"/>
          <w:sz w:val="24"/>
          <w:szCs w:val="24"/>
          <w:lang w:val="en-US"/>
        </w:rPr>
        <w:t>Denmark.</w:t>
      </w:r>
      <w:r>
        <w:tab/>
      </w:r>
      <w:hyperlink r:id="Rdaa159f7d24e4428">
        <w:r w:rsidRPr="21D0386F" w:rsidR="3ED81BB7">
          <w:rPr>
            <w:rStyle w:val="Hyperlink"/>
            <w:rFonts w:ascii="Tahoma" w:hAnsi="Tahoma" w:eastAsia="Tahoma" w:cs="Tahoma"/>
            <w:noProof w:val="0"/>
            <w:sz w:val="24"/>
            <w:szCs w:val="24"/>
            <w:lang w:val="en-US"/>
          </w:rPr>
          <w:t>http://www.theideaconference.com/</w:t>
        </w:r>
      </w:hyperlink>
    </w:p>
    <w:p w:rsidR="21D0386F" w:rsidP="21D0386F" w:rsidRDefault="21D0386F" w14:paraId="3D0F0F64" w14:textId="53434474">
      <w:pPr>
        <w:pStyle w:val="Normal"/>
        <w:ind w:left="0" w:right="0"/>
        <w:jc w:val="both"/>
      </w:pPr>
      <w:r w:rsidRPr="21D0386F" w:rsidR="21D0386F">
        <w:rPr>
          <w:rFonts w:ascii="Tahoma" w:hAnsi="Tahoma" w:eastAsia="Tahoma" w:cs="Tahoma"/>
          <w:noProof w:val="0"/>
          <w:sz w:val="24"/>
          <w:szCs w:val="24"/>
          <w:lang w:val="en-US"/>
        </w:rPr>
        <w:t xml:space="preserve">Save the Children (2019) </w:t>
      </w:r>
      <w:r w:rsidRPr="21D0386F" w:rsidR="21D0386F">
        <w:rPr>
          <w:rFonts w:ascii="Tahoma" w:hAnsi="Tahoma" w:eastAsia="Tahoma" w:cs="Tahoma"/>
          <w:i w:val="1"/>
          <w:iCs w:val="1"/>
          <w:noProof w:val="0"/>
          <w:sz w:val="24"/>
          <w:szCs w:val="24"/>
          <w:lang w:val="en-US"/>
        </w:rPr>
        <w:t>Children Rights. Eglantyne Jebb’s incredible legacy</w:t>
      </w:r>
      <w:r w:rsidRPr="21D0386F" w:rsidR="21D0386F">
        <w:rPr>
          <w:rFonts w:ascii="Tahoma" w:hAnsi="Tahoma" w:eastAsia="Tahoma" w:cs="Tahoma"/>
          <w:noProof w:val="0"/>
          <w:sz w:val="24"/>
          <w:szCs w:val="24"/>
          <w:lang w:val="en-US"/>
        </w:rPr>
        <w:t xml:space="preserve">. Available at: </w:t>
      </w:r>
      <w:hyperlink r:id="Re0f3963dcafb4a09">
        <w:r w:rsidRPr="21D0386F" w:rsidR="21D0386F">
          <w:rPr>
            <w:rStyle w:val="Hyperlink"/>
            <w:rFonts w:ascii="Tahoma" w:hAnsi="Tahoma" w:eastAsia="Tahoma" w:cs="Tahoma"/>
            <w:noProof w:val="0"/>
            <w:sz w:val="24"/>
            <w:szCs w:val="24"/>
            <w:lang w:val="en-US"/>
          </w:rPr>
          <w:t>Children’s rights: Eglantyne Jebb’s incredible legacy (savethechildren.org.uk)</w:t>
        </w:r>
      </w:hyperlink>
      <w:r w:rsidRPr="21D0386F" w:rsidR="21D0386F">
        <w:rPr>
          <w:rFonts w:ascii="Tahoma" w:hAnsi="Tahoma" w:eastAsia="Tahoma" w:cs="Tahoma"/>
          <w:noProof w:val="0"/>
          <w:sz w:val="24"/>
          <w:szCs w:val="24"/>
          <w:lang w:val="en-US"/>
        </w:rPr>
        <w:t xml:space="preserve"> (Accessed at: 22</w:t>
      </w:r>
      <w:r w:rsidRPr="21D0386F" w:rsidR="21D0386F">
        <w:rPr>
          <w:rFonts w:ascii="Tahoma" w:hAnsi="Tahoma" w:eastAsia="Tahoma" w:cs="Tahoma"/>
          <w:noProof w:val="0"/>
          <w:sz w:val="24"/>
          <w:szCs w:val="24"/>
          <w:vertAlign w:val="superscript"/>
          <w:lang w:val="en-US"/>
        </w:rPr>
        <w:t>nd</w:t>
      </w:r>
      <w:r w:rsidRPr="21D0386F" w:rsidR="21D0386F">
        <w:rPr>
          <w:rFonts w:ascii="Tahoma" w:hAnsi="Tahoma" w:eastAsia="Tahoma" w:cs="Tahoma"/>
          <w:noProof w:val="0"/>
          <w:sz w:val="24"/>
          <w:szCs w:val="24"/>
          <w:lang w:val="en-US"/>
        </w:rPr>
        <w:t xml:space="preserve"> May 2022)/.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D675B"/>
    <w:rsid w:val="008AD1F5"/>
    <w:rsid w:val="00AB16E2"/>
    <w:rsid w:val="0240A9D0"/>
    <w:rsid w:val="03DC7A31"/>
    <w:rsid w:val="03F0A40F"/>
    <w:rsid w:val="046E489D"/>
    <w:rsid w:val="06243E40"/>
    <w:rsid w:val="065ED214"/>
    <w:rsid w:val="06DFA17A"/>
    <w:rsid w:val="0A5F061A"/>
    <w:rsid w:val="0AACAB77"/>
    <w:rsid w:val="0AEE7B38"/>
    <w:rsid w:val="0B36D26C"/>
    <w:rsid w:val="0B3AEB21"/>
    <w:rsid w:val="0B3AEB21"/>
    <w:rsid w:val="0B3C303C"/>
    <w:rsid w:val="0C542D41"/>
    <w:rsid w:val="0CA2FA14"/>
    <w:rsid w:val="0CA2FA14"/>
    <w:rsid w:val="0EE61FD8"/>
    <w:rsid w:val="0EE61FD8"/>
    <w:rsid w:val="0FC19AB2"/>
    <w:rsid w:val="0FF0AD48"/>
    <w:rsid w:val="11FCBCC7"/>
    <w:rsid w:val="137799CC"/>
    <w:rsid w:val="14BE45CB"/>
    <w:rsid w:val="1554E591"/>
    <w:rsid w:val="187A6423"/>
    <w:rsid w:val="1AE3F602"/>
    <w:rsid w:val="1B52CA1C"/>
    <w:rsid w:val="1B52CA1C"/>
    <w:rsid w:val="1C571F29"/>
    <w:rsid w:val="1C723E91"/>
    <w:rsid w:val="1E22C5BE"/>
    <w:rsid w:val="1F26AF10"/>
    <w:rsid w:val="1F5EC3A4"/>
    <w:rsid w:val="21D0386F"/>
    <w:rsid w:val="2339FEE0"/>
    <w:rsid w:val="251204C4"/>
    <w:rsid w:val="2708C3E2"/>
    <w:rsid w:val="2815AF32"/>
    <w:rsid w:val="295CBCAB"/>
    <w:rsid w:val="295CBCAB"/>
    <w:rsid w:val="2A2D99B6"/>
    <w:rsid w:val="2D41E912"/>
    <w:rsid w:val="2F4C32B8"/>
    <w:rsid w:val="2FFBE2F1"/>
    <w:rsid w:val="30422666"/>
    <w:rsid w:val="3067200D"/>
    <w:rsid w:val="30B45C8D"/>
    <w:rsid w:val="30B45C8D"/>
    <w:rsid w:val="3186754E"/>
    <w:rsid w:val="321F833E"/>
    <w:rsid w:val="32502CEE"/>
    <w:rsid w:val="330BEA71"/>
    <w:rsid w:val="3726D532"/>
    <w:rsid w:val="3726D532"/>
    <w:rsid w:val="37C89CAA"/>
    <w:rsid w:val="3B926627"/>
    <w:rsid w:val="3BCE7268"/>
    <w:rsid w:val="3BE1806D"/>
    <w:rsid w:val="3CAD1B85"/>
    <w:rsid w:val="3D6A42C9"/>
    <w:rsid w:val="3D73E0F6"/>
    <w:rsid w:val="3E8F2794"/>
    <w:rsid w:val="3ED81BB7"/>
    <w:rsid w:val="41A667E8"/>
    <w:rsid w:val="41A667E8"/>
    <w:rsid w:val="41C33FD8"/>
    <w:rsid w:val="43C2BE30"/>
    <w:rsid w:val="44FE6918"/>
    <w:rsid w:val="45753550"/>
    <w:rsid w:val="45ED9884"/>
    <w:rsid w:val="46DE0178"/>
    <w:rsid w:val="46DE0178"/>
    <w:rsid w:val="47C8DBC1"/>
    <w:rsid w:val="47C8DBC1"/>
    <w:rsid w:val="488BD6F9"/>
    <w:rsid w:val="4BE476D4"/>
    <w:rsid w:val="4CF00FE1"/>
    <w:rsid w:val="4D042D12"/>
    <w:rsid w:val="4DE941B7"/>
    <w:rsid w:val="4E8BE042"/>
    <w:rsid w:val="4EE99ED8"/>
    <w:rsid w:val="4F24247A"/>
    <w:rsid w:val="4F24247A"/>
    <w:rsid w:val="4F70F32E"/>
    <w:rsid w:val="525625B6"/>
    <w:rsid w:val="532FF6FE"/>
    <w:rsid w:val="540F99A2"/>
    <w:rsid w:val="55B02726"/>
    <w:rsid w:val="5691E6FB"/>
    <w:rsid w:val="56AB0F58"/>
    <w:rsid w:val="575CDDD1"/>
    <w:rsid w:val="59C987BD"/>
    <w:rsid w:val="5B8BBBEC"/>
    <w:rsid w:val="5B8BBBEC"/>
    <w:rsid w:val="5D135B15"/>
    <w:rsid w:val="5D4D675B"/>
    <w:rsid w:val="5D985D8B"/>
    <w:rsid w:val="5E9CF8E0"/>
    <w:rsid w:val="606A8188"/>
    <w:rsid w:val="61CDD8DA"/>
    <w:rsid w:val="632DB121"/>
    <w:rsid w:val="632F5F30"/>
    <w:rsid w:val="6587901F"/>
    <w:rsid w:val="65ADEEDE"/>
    <w:rsid w:val="65B89A99"/>
    <w:rsid w:val="65B89A99"/>
    <w:rsid w:val="68691004"/>
    <w:rsid w:val="6B8C9D99"/>
    <w:rsid w:val="6C0651A5"/>
    <w:rsid w:val="6C7FAD67"/>
    <w:rsid w:val="6CD230A1"/>
    <w:rsid w:val="6CD230A1"/>
    <w:rsid w:val="6D10270A"/>
    <w:rsid w:val="6D219F1A"/>
    <w:rsid w:val="6D6598C5"/>
    <w:rsid w:val="6D6598C5"/>
    <w:rsid w:val="6DBE1CD8"/>
    <w:rsid w:val="6E0BADF5"/>
    <w:rsid w:val="6FB41B0E"/>
    <w:rsid w:val="7020BC39"/>
    <w:rsid w:val="7020BC39"/>
    <w:rsid w:val="7047C7CC"/>
    <w:rsid w:val="7047C7CC"/>
    <w:rsid w:val="70F36B4D"/>
    <w:rsid w:val="71BC8C9A"/>
    <w:rsid w:val="732DF038"/>
    <w:rsid w:val="7404CC28"/>
    <w:rsid w:val="74612863"/>
    <w:rsid w:val="74E792D2"/>
    <w:rsid w:val="7640A1EB"/>
    <w:rsid w:val="76836333"/>
    <w:rsid w:val="7756F964"/>
    <w:rsid w:val="78EC136B"/>
    <w:rsid w:val="79349986"/>
    <w:rsid w:val="79A2E34A"/>
    <w:rsid w:val="79D39991"/>
    <w:rsid w:val="7AD5204C"/>
    <w:rsid w:val="7D189A7D"/>
    <w:rsid w:val="7DB8C5F8"/>
    <w:rsid w:val="7DB8C5F8"/>
    <w:rsid w:val="7F22316A"/>
    <w:rsid w:val="7F6F1639"/>
    <w:rsid w:val="7FC6C472"/>
    <w:rsid w:val="7FC6C4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D675B"/>
  <w15:chartTrackingRefBased/>
  <w15:docId w15:val="{6FDC41DC-C332-4ECF-BF5E-F8D926CF9F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repository.upenn.edu/od_theses_msod/65" TargetMode="External" Id="Rfebef05baaeb4848" /><Relationship Type="http://schemas.openxmlformats.org/officeDocument/2006/relationships/hyperlink" Target="http://dx.doi.org/10.1080/1350293x.2013.814355" TargetMode="External" Id="R8481c8e5c77c47da" /><Relationship Type="http://schemas.openxmlformats.org/officeDocument/2006/relationships/hyperlink" Target="http://dx.doi.org/10.1080/1350293x.2012.704762" TargetMode="External" Id="Rc8067c3d27d2442e" /><Relationship Type="http://schemas.openxmlformats.org/officeDocument/2006/relationships/hyperlink" Target="https://doi.org/10.1787/301005d1-en" TargetMode="External" Id="Rd3419a6a90344c03" /><Relationship Type="http://schemas.openxmlformats.org/officeDocument/2006/relationships/hyperlink" Target="http://dx.doi.org/10.1080/1350293x.2013.845444" TargetMode="External" Id="Rc10fbd3fd5264296" /><Relationship Type="http://schemas.openxmlformats.org/officeDocument/2006/relationships/hyperlink" Target="http://dx.doi.org/10.1080/02568543.2016.1179551" TargetMode="External" Id="R55f2e84ded924942" /><Relationship Type="http://schemas.openxmlformats.org/officeDocument/2006/relationships/numbering" Target="numbering.xml" Id="R6390130e519f43df" /><Relationship Type="http://schemas.openxmlformats.org/officeDocument/2006/relationships/hyperlink" Target="http://www.cwdcouncil.org.Uk/eyps" TargetMode="External" Id="Rda1422665150411b" /><Relationship Type="http://schemas.openxmlformats.org/officeDocument/2006/relationships/hyperlink" Target="http://www.theideaconference.com/" TargetMode="External" Id="Rdaa159f7d24e4428" /><Relationship Type="http://schemas.openxmlformats.org/officeDocument/2006/relationships/hyperlink" Target="https://www.savethechildren.org.uk/blogs/2014/childrens-rights-eglantyne-jebbs-incredible-legacy?ppc=true&amp;matchtype=&amp;s_keyword=&amp;adposition=&amp;s_kwcid=AL!9048!3!458052851954!!!g!!&amp;gclid=CjwKCAjw7IeUBhBbEiwADhiEMZAG7waaJBnQS5UrNo8eK3RnV19iGGla-n5Eg7gjmHMVP8lBMz2yKhoCSFQQAvD_BwE&amp;gclsrc=aw.ds" TargetMode="External" Id="Re0f3963dcafb4a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2022-03-11T14:09:03.1908671Z</dcterms:created>
  <dcterms:modified xsi:type="dcterms:W3CDTF">2022-05-16T18:00:48.9565707Z</dcterms:modified>
  <dc:creator>Kathryn Sanders (1910287)</dc:creator>
  <lastModifiedBy>Kathryn Sanders (1910287)</lastModifiedBy>
</coreProperties>
</file>