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6B3233" w14:textId="352BE21D" w:rsidR="2DE1A601" w:rsidRDefault="2DE1A601" w:rsidP="78D780FA">
      <w:pPr>
        <w:spacing w:after="0" w:line="360" w:lineRule="auto"/>
        <w:rPr>
          <w:rFonts w:ascii="Arial" w:eastAsia="Arial" w:hAnsi="Arial" w:cs="Arial"/>
          <w:sz w:val="28"/>
          <w:szCs w:val="28"/>
        </w:rPr>
      </w:pPr>
      <w:r w:rsidRPr="78D780FA">
        <w:rPr>
          <w:rFonts w:ascii="Arial" w:eastAsia="Arial" w:hAnsi="Arial" w:cs="Arial"/>
          <w:sz w:val="28"/>
          <w:szCs w:val="28"/>
        </w:rPr>
        <w:t xml:space="preserve">With reference to </w:t>
      </w:r>
      <w:r w:rsidR="0FE56AD4" w:rsidRPr="78D780FA">
        <w:rPr>
          <w:rFonts w:ascii="Arial" w:eastAsia="Arial" w:hAnsi="Arial" w:cs="Arial"/>
          <w:sz w:val="28"/>
          <w:szCs w:val="28"/>
        </w:rPr>
        <w:t xml:space="preserve">iron </w:t>
      </w:r>
      <w:r w:rsidRPr="78D780FA">
        <w:rPr>
          <w:rFonts w:ascii="Arial" w:eastAsia="Arial" w:hAnsi="Arial" w:cs="Arial"/>
          <w:sz w:val="28"/>
          <w:szCs w:val="28"/>
        </w:rPr>
        <w:t>discuss the implications of deficiency and toxicity.</w:t>
      </w:r>
    </w:p>
    <w:p w14:paraId="7682D4A5" w14:textId="39E8278B" w:rsidR="78D780FA" w:rsidRDefault="78D780FA" w:rsidP="78D780FA">
      <w:pPr>
        <w:spacing w:after="0" w:line="360" w:lineRule="auto"/>
        <w:rPr>
          <w:rFonts w:ascii="Arial" w:eastAsia="Arial" w:hAnsi="Arial" w:cs="Arial"/>
          <w:sz w:val="28"/>
          <w:szCs w:val="28"/>
        </w:rPr>
      </w:pPr>
    </w:p>
    <w:p w14:paraId="0CE8AE47" w14:textId="6AFC420F" w:rsidR="02C4CF1E" w:rsidRDefault="02C4CF1E" w:rsidP="78D780FA">
      <w:pPr>
        <w:spacing w:after="0" w:line="360" w:lineRule="auto"/>
        <w:rPr>
          <w:rFonts w:ascii="Arial" w:eastAsia="Arial" w:hAnsi="Arial" w:cs="Arial"/>
        </w:rPr>
      </w:pPr>
      <w:r w:rsidRPr="78D780FA">
        <w:rPr>
          <w:rFonts w:ascii="Arial" w:eastAsia="Arial" w:hAnsi="Arial" w:cs="Arial"/>
        </w:rPr>
        <w:t xml:space="preserve">The </w:t>
      </w:r>
      <w:r w:rsidR="5FE99019" w:rsidRPr="78D780FA">
        <w:rPr>
          <w:rFonts w:ascii="Arial" w:eastAsia="Arial" w:hAnsi="Arial" w:cs="Arial"/>
        </w:rPr>
        <w:t>key role</w:t>
      </w:r>
      <w:r w:rsidRPr="78D780FA">
        <w:rPr>
          <w:rFonts w:ascii="Arial" w:eastAsia="Arial" w:hAnsi="Arial" w:cs="Arial"/>
        </w:rPr>
        <w:t xml:space="preserve"> of minerals is to supply an </w:t>
      </w:r>
      <w:r w:rsidR="5A234670" w:rsidRPr="78D780FA">
        <w:rPr>
          <w:rFonts w:ascii="Arial" w:eastAsia="Arial" w:hAnsi="Arial" w:cs="Arial"/>
        </w:rPr>
        <w:t>efficient source of vital nutrients. Minerals can be absorbed into the body through the intestinal lumen into the bloodstream.</w:t>
      </w:r>
      <w:r w:rsidR="3BB313C8" w:rsidRPr="78D780FA">
        <w:rPr>
          <w:rFonts w:ascii="Arial" w:eastAsia="Arial" w:hAnsi="Arial" w:cs="Arial"/>
        </w:rPr>
        <w:t xml:space="preserve"> The effectiveness of absorption of minerals is determi</w:t>
      </w:r>
      <w:r w:rsidR="5BF46112" w:rsidRPr="78D780FA">
        <w:rPr>
          <w:rFonts w:ascii="Arial" w:eastAsia="Arial" w:hAnsi="Arial" w:cs="Arial"/>
        </w:rPr>
        <w:t xml:space="preserve">ned based off </w:t>
      </w:r>
      <w:r w:rsidR="3BB313C8" w:rsidRPr="78D780FA">
        <w:rPr>
          <w:rFonts w:ascii="Arial" w:eastAsia="Arial" w:hAnsi="Arial" w:cs="Arial"/>
        </w:rPr>
        <w:t>the bioavailability</w:t>
      </w:r>
      <w:r w:rsidR="329466DE" w:rsidRPr="78D780FA">
        <w:rPr>
          <w:rFonts w:ascii="Arial" w:eastAsia="Arial" w:hAnsi="Arial" w:cs="Arial"/>
        </w:rPr>
        <w:t xml:space="preserve"> (</w:t>
      </w:r>
      <w:r w:rsidR="6EEFB4A6" w:rsidRPr="78D780FA">
        <w:rPr>
          <w:rFonts w:ascii="Arial" w:eastAsia="Arial" w:hAnsi="Arial" w:cs="Arial"/>
        </w:rPr>
        <w:t>Damodaran and Parkin, 2017).</w:t>
      </w:r>
      <w:r w:rsidR="6BFD1502" w:rsidRPr="78D780FA">
        <w:rPr>
          <w:rFonts w:ascii="Arial" w:eastAsia="Arial" w:hAnsi="Arial" w:cs="Arial"/>
        </w:rPr>
        <w:t xml:space="preserve"> </w:t>
      </w:r>
      <w:r w:rsidR="73B461E1" w:rsidRPr="78D780FA">
        <w:rPr>
          <w:rFonts w:ascii="Arial" w:eastAsia="Arial" w:hAnsi="Arial" w:cs="Arial"/>
        </w:rPr>
        <w:t xml:space="preserve">All cell lives are </w:t>
      </w:r>
      <w:r w:rsidR="61A843AD" w:rsidRPr="78D780FA">
        <w:rPr>
          <w:rFonts w:ascii="Arial" w:eastAsia="Arial" w:hAnsi="Arial" w:cs="Arial"/>
        </w:rPr>
        <w:t>dependent</w:t>
      </w:r>
      <w:r w:rsidR="73B461E1" w:rsidRPr="78D780FA">
        <w:rPr>
          <w:rFonts w:ascii="Arial" w:eastAsia="Arial" w:hAnsi="Arial" w:cs="Arial"/>
        </w:rPr>
        <w:t xml:space="preserve"> o</w:t>
      </w:r>
      <w:r w:rsidR="6B41F324" w:rsidRPr="78D780FA">
        <w:rPr>
          <w:rFonts w:ascii="Arial" w:eastAsia="Arial" w:hAnsi="Arial" w:cs="Arial"/>
        </w:rPr>
        <w:t>n</w:t>
      </w:r>
      <w:r w:rsidR="73B461E1" w:rsidRPr="78D780FA">
        <w:rPr>
          <w:rFonts w:ascii="Arial" w:eastAsia="Arial" w:hAnsi="Arial" w:cs="Arial"/>
        </w:rPr>
        <w:t xml:space="preserve"> iron balance, therefore remaining in a ‘safe’ level of iron is </w:t>
      </w:r>
      <w:r w:rsidR="42815713" w:rsidRPr="78D780FA">
        <w:rPr>
          <w:rFonts w:ascii="Arial" w:eastAsia="Arial" w:hAnsi="Arial" w:cs="Arial"/>
        </w:rPr>
        <w:t xml:space="preserve">vital to ensure individuals are at less risk of developing </w:t>
      </w:r>
      <w:r w:rsidR="0F44FE90" w:rsidRPr="78D780FA">
        <w:rPr>
          <w:rFonts w:ascii="Arial" w:eastAsia="Arial" w:hAnsi="Arial" w:cs="Arial"/>
        </w:rPr>
        <w:t>deficiencies</w:t>
      </w:r>
      <w:r w:rsidR="42815713" w:rsidRPr="78D780FA">
        <w:rPr>
          <w:rFonts w:ascii="Arial" w:eastAsia="Arial" w:hAnsi="Arial" w:cs="Arial"/>
        </w:rPr>
        <w:t xml:space="preserve"> or toxicity (Camaschella, 2019).</w:t>
      </w:r>
    </w:p>
    <w:p w14:paraId="137ACFE7" w14:textId="31F5A6EB" w:rsidR="78D780FA" w:rsidRDefault="78D780FA" w:rsidP="78D780FA">
      <w:pPr>
        <w:spacing w:after="0" w:line="360" w:lineRule="auto"/>
        <w:rPr>
          <w:rFonts w:ascii="Arial" w:eastAsia="Arial" w:hAnsi="Arial" w:cs="Arial"/>
        </w:rPr>
      </w:pPr>
    </w:p>
    <w:p w14:paraId="42D1BD49" w14:textId="7D91A850" w:rsidR="33E813C4" w:rsidRDefault="33E813C4" w:rsidP="78D780FA">
      <w:pPr>
        <w:spacing w:after="0" w:line="360" w:lineRule="auto"/>
        <w:rPr>
          <w:rFonts w:ascii="Arial" w:eastAsia="Arial" w:hAnsi="Arial" w:cs="Arial"/>
          <w:sz w:val="26"/>
          <w:szCs w:val="26"/>
        </w:rPr>
      </w:pPr>
      <w:r w:rsidRPr="78D780FA">
        <w:rPr>
          <w:rFonts w:ascii="Arial" w:eastAsia="Arial" w:hAnsi="Arial" w:cs="Arial"/>
          <w:sz w:val="26"/>
          <w:szCs w:val="26"/>
        </w:rPr>
        <w:t xml:space="preserve">Iron </w:t>
      </w:r>
      <w:r w:rsidR="6AC6A8E7" w:rsidRPr="78D780FA">
        <w:rPr>
          <w:rFonts w:ascii="Arial" w:eastAsia="Arial" w:hAnsi="Arial" w:cs="Arial"/>
          <w:sz w:val="26"/>
          <w:szCs w:val="26"/>
        </w:rPr>
        <w:t>D</w:t>
      </w:r>
      <w:r w:rsidRPr="78D780FA">
        <w:rPr>
          <w:rFonts w:ascii="Arial" w:eastAsia="Arial" w:hAnsi="Arial" w:cs="Arial"/>
          <w:sz w:val="26"/>
          <w:szCs w:val="26"/>
        </w:rPr>
        <w:t>eficiency</w:t>
      </w:r>
      <w:r w:rsidR="6DD62D0D" w:rsidRPr="78D780FA">
        <w:rPr>
          <w:rFonts w:ascii="Arial" w:eastAsia="Arial" w:hAnsi="Arial" w:cs="Arial"/>
          <w:sz w:val="26"/>
          <w:szCs w:val="26"/>
        </w:rPr>
        <w:t xml:space="preserve"> </w:t>
      </w:r>
    </w:p>
    <w:p w14:paraId="707599EA" w14:textId="2D1D1BD4" w:rsidR="65CEC42C" w:rsidRDefault="65CEC42C" w:rsidP="78D780FA">
      <w:pPr>
        <w:spacing w:after="0" w:line="360" w:lineRule="auto"/>
        <w:rPr>
          <w:rFonts w:ascii="Arial" w:eastAsia="Arial" w:hAnsi="Arial" w:cs="Arial"/>
        </w:rPr>
      </w:pPr>
      <w:r w:rsidRPr="78D780FA">
        <w:rPr>
          <w:rFonts w:ascii="Arial" w:eastAsia="Arial" w:hAnsi="Arial" w:cs="Arial"/>
        </w:rPr>
        <w:t>According to British Dietetics Association (2021) foods sources</w:t>
      </w:r>
      <w:r w:rsidR="1E4BBB9D" w:rsidRPr="78D780FA">
        <w:rPr>
          <w:rFonts w:ascii="Arial" w:eastAsia="Arial" w:hAnsi="Arial" w:cs="Arial"/>
        </w:rPr>
        <w:t>;</w:t>
      </w:r>
      <w:r w:rsidR="7207B40D" w:rsidRPr="78D780FA">
        <w:rPr>
          <w:rFonts w:ascii="Arial" w:eastAsia="Arial" w:hAnsi="Arial" w:cs="Arial"/>
        </w:rPr>
        <w:t xml:space="preserve"> such as red meats, fish, pulses, legumes, </w:t>
      </w:r>
      <w:bookmarkStart w:id="0" w:name="_Int_ohuYYZSk"/>
      <w:r w:rsidR="7207B40D" w:rsidRPr="78D780FA">
        <w:rPr>
          <w:rFonts w:ascii="Arial" w:eastAsia="Arial" w:hAnsi="Arial" w:cs="Arial"/>
        </w:rPr>
        <w:t>nuts</w:t>
      </w:r>
      <w:bookmarkEnd w:id="0"/>
      <w:r w:rsidR="7207B40D" w:rsidRPr="78D780FA">
        <w:rPr>
          <w:rFonts w:ascii="Arial" w:eastAsia="Arial" w:hAnsi="Arial" w:cs="Arial"/>
        </w:rPr>
        <w:t xml:space="preserve"> and seeds </w:t>
      </w:r>
      <w:r w:rsidR="58DDC5FB" w:rsidRPr="78D780FA">
        <w:rPr>
          <w:rFonts w:ascii="Arial" w:eastAsia="Arial" w:hAnsi="Arial" w:cs="Arial"/>
        </w:rPr>
        <w:t>all have a high source of iron in them.</w:t>
      </w:r>
    </w:p>
    <w:p w14:paraId="6A190F4D" w14:textId="3EE27894" w:rsidR="7A39ACFC" w:rsidRDefault="7A39ACFC" w:rsidP="78D780FA">
      <w:pPr>
        <w:spacing w:after="0" w:line="360" w:lineRule="auto"/>
        <w:rPr>
          <w:rFonts w:ascii="Arial" w:eastAsia="Arial" w:hAnsi="Arial" w:cs="Arial"/>
        </w:rPr>
      </w:pPr>
      <w:r w:rsidRPr="78D780FA">
        <w:rPr>
          <w:rFonts w:ascii="Arial" w:eastAsia="Arial" w:hAnsi="Arial" w:cs="Arial"/>
        </w:rPr>
        <w:t>Iron deficiency affects over 1.2 billion people worldwid</w:t>
      </w:r>
      <w:r w:rsidR="7875AB2F" w:rsidRPr="78D780FA">
        <w:rPr>
          <w:rFonts w:ascii="Arial" w:eastAsia="Arial" w:hAnsi="Arial" w:cs="Arial"/>
        </w:rPr>
        <w:t xml:space="preserve">e </w:t>
      </w:r>
      <w:r w:rsidRPr="78D780FA">
        <w:rPr>
          <w:rFonts w:ascii="Arial" w:eastAsia="Arial" w:hAnsi="Arial" w:cs="Arial"/>
        </w:rPr>
        <w:t>(Camaschella, 2019).</w:t>
      </w:r>
      <w:r w:rsidR="1439CCE6" w:rsidRPr="78D780FA">
        <w:rPr>
          <w:rFonts w:ascii="Arial" w:eastAsia="Arial" w:hAnsi="Arial" w:cs="Arial"/>
        </w:rPr>
        <w:t xml:space="preserve"> </w:t>
      </w:r>
      <w:r w:rsidR="3A54E625" w:rsidRPr="78D780FA">
        <w:rPr>
          <w:rFonts w:ascii="Arial" w:eastAsia="Arial" w:hAnsi="Arial" w:cs="Arial"/>
        </w:rPr>
        <w:t>Iron is defined as the reduction in the body's overall iron concentration, however, when iron deficiency is severe enough to lower erythropoiesis, iron deficiency anaemia results</w:t>
      </w:r>
      <w:r w:rsidR="65D41604" w:rsidRPr="78D780FA">
        <w:rPr>
          <w:rFonts w:ascii="Arial" w:eastAsia="Arial" w:hAnsi="Arial" w:cs="Arial"/>
        </w:rPr>
        <w:t xml:space="preserve"> (Bermejo and Gracia-Lopez, 2009)</w:t>
      </w:r>
      <w:r w:rsidR="77501432" w:rsidRPr="78D780FA">
        <w:rPr>
          <w:rFonts w:ascii="Arial" w:eastAsia="Arial" w:hAnsi="Arial" w:cs="Arial"/>
        </w:rPr>
        <w:t xml:space="preserve">. </w:t>
      </w:r>
      <w:r w:rsidR="36682638" w:rsidRPr="78D780FA">
        <w:rPr>
          <w:rFonts w:ascii="Arial" w:eastAsia="Arial" w:hAnsi="Arial" w:cs="Arial"/>
        </w:rPr>
        <w:t xml:space="preserve">Iron deficiency is most </w:t>
      </w:r>
      <w:r w:rsidR="20A001B5" w:rsidRPr="78D780FA">
        <w:rPr>
          <w:rFonts w:ascii="Arial" w:eastAsia="Arial" w:hAnsi="Arial" w:cs="Arial"/>
        </w:rPr>
        <w:t>common</w:t>
      </w:r>
      <w:r w:rsidR="36682638" w:rsidRPr="78D780FA">
        <w:rPr>
          <w:rFonts w:ascii="Arial" w:eastAsia="Arial" w:hAnsi="Arial" w:cs="Arial"/>
        </w:rPr>
        <w:t xml:space="preserve"> in children, families living in low-income and middle-income countries </w:t>
      </w:r>
      <w:r w:rsidR="0349D973" w:rsidRPr="78D780FA">
        <w:rPr>
          <w:rFonts w:ascii="Arial" w:eastAsia="Arial" w:hAnsi="Arial" w:cs="Arial"/>
        </w:rPr>
        <w:t xml:space="preserve">and premenopausal women </w:t>
      </w:r>
      <w:r w:rsidR="36682638" w:rsidRPr="78D780FA">
        <w:rPr>
          <w:rFonts w:ascii="Arial" w:eastAsia="Arial" w:hAnsi="Arial" w:cs="Arial"/>
        </w:rPr>
        <w:t>(</w:t>
      </w:r>
      <w:r w:rsidR="0B771054" w:rsidRPr="78D780FA">
        <w:rPr>
          <w:rFonts w:ascii="Arial" w:eastAsia="Arial" w:hAnsi="Arial" w:cs="Arial"/>
        </w:rPr>
        <w:t>Pasricha et al., 202</w:t>
      </w:r>
      <w:r w:rsidR="5B2CF159" w:rsidRPr="78D780FA">
        <w:rPr>
          <w:rFonts w:ascii="Arial" w:eastAsia="Arial" w:hAnsi="Arial" w:cs="Arial"/>
        </w:rPr>
        <w:t>1</w:t>
      </w:r>
      <w:r w:rsidR="0B771054" w:rsidRPr="78D780FA">
        <w:rPr>
          <w:rFonts w:ascii="Arial" w:eastAsia="Arial" w:hAnsi="Arial" w:cs="Arial"/>
        </w:rPr>
        <w:t>)</w:t>
      </w:r>
      <w:r w:rsidR="68BCE5E9" w:rsidRPr="78D780FA">
        <w:rPr>
          <w:rFonts w:ascii="Arial" w:eastAsia="Arial" w:hAnsi="Arial" w:cs="Arial"/>
        </w:rPr>
        <w:t>.</w:t>
      </w:r>
      <w:r w:rsidR="359F3654" w:rsidRPr="78D780FA">
        <w:rPr>
          <w:rFonts w:ascii="Arial" w:eastAsia="Arial" w:hAnsi="Arial" w:cs="Arial"/>
        </w:rPr>
        <w:t xml:space="preserve"> </w:t>
      </w:r>
      <w:r w:rsidR="403A4663" w:rsidRPr="78D780FA">
        <w:rPr>
          <w:rFonts w:ascii="Arial" w:eastAsia="Arial" w:hAnsi="Arial" w:cs="Arial"/>
        </w:rPr>
        <w:t>According to Subramaniam and Girish (2015)</w:t>
      </w:r>
      <w:r w:rsidR="0AE2F5B3" w:rsidRPr="78D780FA">
        <w:rPr>
          <w:rFonts w:ascii="Arial" w:eastAsia="Arial" w:hAnsi="Arial" w:cs="Arial"/>
        </w:rPr>
        <w:t xml:space="preserve"> </w:t>
      </w:r>
      <w:r w:rsidR="38F78F01" w:rsidRPr="78D780FA">
        <w:rPr>
          <w:rFonts w:ascii="Arial" w:eastAsia="Arial" w:hAnsi="Arial" w:cs="Arial"/>
        </w:rPr>
        <w:t xml:space="preserve">iron deficiency is </w:t>
      </w:r>
      <w:r w:rsidR="14A4BFF0" w:rsidRPr="78D780FA">
        <w:rPr>
          <w:rFonts w:ascii="Arial" w:eastAsia="Arial" w:hAnsi="Arial" w:cs="Arial"/>
        </w:rPr>
        <w:t>extremely</w:t>
      </w:r>
      <w:r w:rsidR="38F78F01" w:rsidRPr="78D780FA">
        <w:rPr>
          <w:rFonts w:ascii="Arial" w:eastAsia="Arial" w:hAnsi="Arial" w:cs="Arial"/>
        </w:rPr>
        <w:t xml:space="preserve"> normal in children </w:t>
      </w:r>
      <w:r w:rsidR="4DBAE8FB" w:rsidRPr="78D780FA">
        <w:rPr>
          <w:rFonts w:ascii="Arial" w:eastAsia="Arial" w:hAnsi="Arial" w:cs="Arial"/>
        </w:rPr>
        <w:t xml:space="preserve">due to many reasons, commonly their diet, </w:t>
      </w:r>
      <w:r w:rsidR="38F78F01" w:rsidRPr="78D780FA">
        <w:rPr>
          <w:rFonts w:ascii="Arial" w:eastAsia="Arial" w:hAnsi="Arial" w:cs="Arial"/>
        </w:rPr>
        <w:t>and can be neglected by practitioners</w:t>
      </w:r>
      <w:r w:rsidR="4358C10C" w:rsidRPr="78D780FA">
        <w:rPr>
          <w:rFonts w:ascii="Arial" w:eastAsia="Arial" w:hAnsi="Arial" w:cs="Arial"/>
        </w:rPr>
        <w:t xml:space="preserve"> due to the common nature of it</w:t>
      </w:r>
      <w:r w:rsidR="38F78F01" w:rsidRPr="78D780FA">
        <w:rPr>
          <w:rFonts w:ascii="Arial" w:eastAsia="Arial" w:hAnsi="Arial" w:cs="Arial"/>
        </w:rPr>
        <w:t>.</w:t>
      </w:r>
      <w:r w:rsidR="74123EBE" w:rsidRPr="78D780FA">
        <w:rPr>
          <w:rFonts w:ascii="Arial" w:eastAsia="Arial" w:hAnsi="Arial" w:cs="Arial"/>
        </w:rPr>
        <w:t xml:space="preserve"> </w:t>
      </w:r>
      <w:r w:rsidR="5A954A2E" w:rsidRPr="78D780FA">
        <w:rPr>
          <w:rFonts w:ascii="Arial" w:eastAsia="Arial" w:hAnsi="Arial" w:cs="Arial"/>
        </w:rPr>
        <w:t xml:space="preserve">Children require to have a diet </w:t>
      </w:r>
      <w:r w:rsidR="0AE2F5B3" w:rsidRPr="78D780FA">
        <w:rPr>
          <w:rFonts w:ascii="Arial" w:eastAsia="Arial" w:hAnsi="Arial" w:cs="Arial"/>
        </w:rPr>
        <w:t>consist</w:t>
      </w:r>
      <w:r w:rsidR="55A99FEE" w:rsidRPr="78D780FA">
        <w:rPr>
          <w:rFonts w:ascii="Arial" w:eastAsia="Arial" w:hAnsi="Arial" w:cs="Arial"/>
        </w:rPr>
        <w:t>ing</w:t>
      </w:r>
      <w:r w:rsidR="0AE2F5B3" w:rsidRPr="78D780FA">
        <w:rPr>
          <w:rFonts w:ascii="Arial" w:eastAsia="Arial" w:hAnsi="Arial" w:cs="Arial"/>
        </w:rPr>
        <w:t xml:space="preserve"> of 30%</w:t>
      </w:r>
      <w:r w:rsidR="2F0A7A5B" w:rsidRPr="78D780FA">
        <w:rPr>
          <w:rFonts w:ascii="Arial" w:eastAsia="Arial" w:hAnsi="Arial" w:cs="Arial"/>
        </w:rPr>
        <w:t xml:space="preserve"> of their daily iron intake</w:t>
      </w:r>
      <w:r w:rsidR="465DFD4C" w:rsidRPr="78D780FA">
        <w:rPr>
          <w:rFonts w:ascii="Arial" w:eastAsia="Arial" w:hAnsi="Arial" w:cs="Arial"/>
        </w:rPr>
        <w:t>, this is due to their increase in muscle mass and significant growth spurts</w:t>
      </w:r>
      <w:r w:rsidR="0430474D" w:rsidRPr="78D780FA">
        <w:rPr>
          <w:rFonts w:ascii="Arial" w:eastAsia="Arial" w:hAnsi="Arial" w:cs="Arial"/>
        </w:rPr>
        <w:t xml:space="preserve"> (</w:t>
      </w:r>
      <w:r w:rsidR="0E44A016" w:rsidRPr="78D780FA">
        <w:rPr>
          <w:rFonts w:ascii="Arial" w:eastAsia="Arial" w:hAnsi="Arial" w:cs="Arial"/>
        </w:rPr>
        <w:t>Subramaniam and Girish, 2015)</w:t>
      </w:r>
      <w:r w:rsidR="4DBB2628" w:rsidRPr="78D780FA">
        <w:rPr>
          <w:rFonts w:ascii="Arial" w:eastAsia="Arial" w:hAnsi="Arial" w:cs="Arial"/>
        </w:rPr>
        <w:t>.</w:t>
      </w:r>
      <w:r w:rsidR="772BAEBA" w:rsidRPr="78D780FA">
        <w:rPr>
          <w:rFonts w:ascii="Arial" w:eastAsia="Arial" w:hAnsi="Arial" w:cs="Arial"/>
        </w:rPr>
        <w:t xml:space="preserve"> If children result in an iron deficiency it could cause neurodevelopmental</w:t>
      </w:r>
      <w:r w:rsidR="76F8F004" w:rsidRPr="78D780FA">
        <w:rPr>
          <w:rFonts w:ascii="Arial" w:eastAsia="Arial" w:hAnsi="Arial" w:cs="Arial"/>
        </w:rPr>
        <w:t xml:space="preserve"> disorders</w:t>
      </w:r>
      <w:r w:rsidR="772BAEBA" w:rsidRPr="78D780FA">
        <w:rPr>
          <w:rFonts w:ascii="Arial" w:eastAsia="Arial" w:hAnsi="Arial" w:cs="Arial"/>
        </w:rPr>
        <w:t xml:space="preserve"> and cognitive deficits, which may </w:t>
      </w:r>
      <w:r w:rsidR="33333AAE" w:rsidRPr="78D780FA">
        <w:rPr>
          <w:rFonts w:ascii="Arial" w:eastAsia="Arial" w:hAnsi="Arial" w:cs="Arial"/>
        </w:rPr>
        <w:t>be</w:t>
      </w:r>
      <w:r w:rsidR="772BAEBA" w:rsidRPr="78D780FA">
        <w:rPr>
          <w:rFonts w:ascii="Arial" w:eastAsia="Arial" w:hAnsi="Arial" w:cs="Arial"/>
        </w:rPr>
        <w:t xml:space="preserve"> pe</w:t>
      </w:r>
      <w:r w:rsidR="12A51CF6" w:rsidRPr="78D780FA">
        <w:rPr>
          <w:rFonts w:ascii="Arial" w:eastAsia="Arial" w:hAnsi="Arial" w:cs="Arial"/>
        </w:rPr>
        <w:t>rmanent</w:t>
      </w:r>
      <w:r w:rsidR="1AE513ED" w:rsidRPr="78D780FA">
        <w:rPr>
          <w:rFonts w:ascii="Arial" w:eastAsia="Arial" w:hAnsi="Arial" w:cs="Arial"/>
        </w:rPr>
        <w:t xml:space="preserve"> and irreversible (Subramaniam and Girish, 2015).</w:t>
      </w:r>
      <w:r w:rsidR="391D32FB" w:rsidRPr="78D780FA">
        <w:rPr>
          <w:rFonts w:ascii="Arial" w:eastAsia="Arial" w:hAnsi="Arial" w:cs="Arial"/>
        </w:rPr>
        <w:t xml:space="preserve"> </w:t>
      </w:r>
      <w:r w:rsidR="48F40FBF" w:rsidRPr="78D780FA">
        <w:rPr>
          <w:rFonts w:ascii="Arial" w:eastAsia="Arial" w:hAnsi="Arial" w:cs="Arial"/>
        </w:rPr>
        <w:t xml:space="preserve">The signs and symptoms of iron deficiency can be nonspecific and </w:t>
      </w:r>
      <w:r w:rsidR="49C40877" w:rsidRPr="78D780FA">
        <w:rPr>
          <w:rFonts w:ascii="Arial" w:eastAsia="Arial" w:hAnsi="Arial" w:cs="Arial"/>
        </w:rPr>
        <w:t>extremely subtle</w:t>
      </w:r>
      <w:r w:rsidR="321CB5C2" w:rsidRPr="78D780FA">
        <w:rPr>
          <w:rFonts w:ascii="Arial" w:eastAsia="Arial" w:hAnsi="Arial" w:cs="Arial"/>
        </w:rPr>
        <w:t xml:space="preserve"> (Romano et al., 2020).</w:t>
      </w:r>
      <w:r w:rsidR="2FDB9DAE" w:rsidRPr="78D780FA">
        <w:rPr>
          <w:rFonts w:ascii="Arial" w:eastAsia="Arial" w:hAnsi="Arial" w:cs="Arial"/>
        </w:rPr>
        <w:t xml:space="preserve"> </w:t>
      </w:r>
      <w:r w:rsidR="1731E449" w:rsidRPr="78D780FA">
        <w:rPr>
          <w:rFonts w:ascii="Arial" w:eastAsia="Arial" w:hAnsi="Arial" w:cs="Arial"/>
        </w:rPr>
        <w:t>Initially, iron recycling from erythrocyte turnover may prevent anaemia. Yet, many individuals may exhibit symptoms without anaemia because iron deficiency alone is linked to fatigue and restless leg syndrome (RLS) (Jimenez et al., 2015)</w:t>
      </w:r>
      <w:r w:rsidR="4816FED3" w:rsidRPr="78D780FA">
        <w:rPr>
          <w:rFonts w:ascii="Arial" w:eastAsia="Arial" w:hAnsi="Arial" w:cs="Arial"/>
        </w:rPr>
        <w:t xml:space="preserve">. Iron deficiency can be developed through transferrin saturation (TSAT) levels as this is an effective biomarker for the availability of iron in the body (Gattermann et al., 2021). According to Gattermann et al., (2021) iron deficiency is present when TSAT levels are below </w:t>
      </w:r>
      <w:r w:rsidR="4816FED3" w:rsidRPr="78D780FA">
        <w:rPr>
          <w:rFonts w:ascii="Arial" w:eastAsia="Arial" w:hAnsi="Arial" w:cs="Arial"/>
        </w:rPr>
        <w:lastRenderedPageBreak/>
        <w:t>20%. There are several factors that can enhance the risk of developing iron deficiency</w:t>
      </w:r>
      <w:r w:rsidR="352200CA" w:rsidRPr="78D780FA">
        <w:rPr>
          <w:rFonts w:ascii="Arial" w:eastAsia="Arial" w:hAnsi="Arial" w:cs="Arial"/>
        </w:rPr>
        <w:t xml:space="preserve">. According to </w:t>
      </w:r>
      <w:r w:rsidR="5A11CA5A" w:rsidRPr="78D780FA">
        <w:rPr>
          <w:rFonts w:ascii="Arial" w:eastAsia="Arial" w:hAnsi="Arial" w:cs="Arial"/>
        </w:rPr>
        <w:t>Kumar et al., (2022)</w:t>
      </w:r>
      <w:r w:rsidR="352200CA" w:rsidRPr="78D780FA">
        <w:rPr>
          <w:rFonts w:ascii="Arial" w:eastAsia="Arial" w:hAnsi="Arial" w:cs="Arial"/>
        </w:rPr>
        <w:t xml:space="preserve"> the most common causes of iron deficiency is menstruation in women, gastrointestinal bleeding and</w:t>
      </w:r>
      <w:r w:rsidR="66837596" w:rsidRPr="78D780FA">
        <w:rPr>
          <w:rFonts w:ascii="Arial" w:eastAsia="Arial" w:hAnsi="Arial" w:cs="Arial"/>
        </w:rPr>
        <w:t xml:space="preserve"> a</w:t>
      </w:r>
      <w:r w:rsidR="352200CA" w:rsidRPr="78D780FA">
        <w:rPr>
          <w:rFonts w:ascii="Arial" w:eastAsia="Arial" w:hAnsi="Arial" w:cs="Arial"/>
        </w:rPr>
        <w:t xml:space="preserve"> decrease</w:t>
      </w:r>
      <w:r w:rsidR="5481CB92" w:rsidRPr="78D780FA">
        <w:rPr>
          <w:rFonts w:ascii="Arial" w:eastAsia="Arial" w:hAnsi="Arial" w:cs="Arial"/>
        </w:rPr>
        <w:t xml:space="preserve"> </w:t>
      </w:r>
      <w:r w:rsidR="0453FD4C" w:rsidRPr="78D780FA">
        <w:rPr>
          <w:rFonts w:ascii="Arial" w:eastAsia="Arial" w:hAnsi="Arial" w:cs="Arial"/>
        </w:rPr>
        <w:t>dietary</w:t>
      </w:r>
      <w:r w:rsidR="352200CA" w:rsidRPr="78D780FA">
        <w:rPr>
          <w:rFonts w:ascii="Arial" w:eastAsia="Arial" w:hAnsi="Arial" w:cs="Arial"/>
        </w:rPr>
        <w:t xml:space="preserve"> iron and decreased </w:t>
      </w:r>
      <w:r w:rsidR="4FA77A8A" w:rsidRPr="78D780FA">
        <w:rPr>
          <w:rFonts w:ascii="Arial" w:eastAsia="Arial" w:hAnsi="Arial" w:cs="Arial"/>
        </w:rPr>
        <w:t>the absorption of iron.</w:t>
      </w:r>
      <w:r w:rsidR="406E6A01" w:rsidRPr="78D780FA">
        <w:rPr>
          <w:rFonts w:ascii="Arial" w:eastAsia="Arial" w:hAnsi="Arial" w:cs="Arial"/>
        </w:rPr>
        <w:t xml:space="preserve"> Many people believe that vegetarianism and or veganism diets can enhance the risk of developing an iron deficiency</w:t>
      </w:r>
      <w:r w:rsidR="3EE7BEEF" w:rsidRPr="78D780FA">
        <w:rPr>
          <w:rFonts w:ascii="Arial" w:eastAsia="Arial" w:hAnsi="Arial" w:cs="Arial"/>
        </w:rPr>
        <w:t xml:space="preserve"> due to the lower levels of bioavailability of iron within the body</w:t>
      </w:r>
      <w:r w:rsidR="406E6A01" w:rsidRPr="78D780FA">
        <w:rPr>
          <w:rFonts w:ascii="Arial" w:eastAsia="Arial" w:hAnsi="Arial" w:cs="Arial"/>
        </w:rPr>
        <w:t xml:space="preserve">, yet according to </w:t>
      </w:r>
      <w:r w:rsidR="06692074" w:rsidRPr="78D780FA">
        <w:rPr>
          <w:rFonts w:ascii="Arial" w:eastAsia="Arial" w:hAnsi="Arial" w:cs="Arial"/>
        </w:rPr>
        <w:t>Slywitch et al., (2021)</w:t>
      </w:r>
      <w:r w:rsidR="406E6A01" w:rsidRPr="78D780FA">
        <w:rPr>
          <w:rFonts w:ascii="Arial" w:eastAsia="Arial" w:hAnsi="Arial" w:cs="Arial"/>
        </w:rPr>
        <w:t xml:space="preserve"> the nutritional status and the inflammation levels of an individual c</w:t>
      </w:r>
      <w:r w:rsidR="77B9FFBC" w:rsidRPr="78D780FA">
        <w:rPr>
          <w:rFonts w:ascii="Arial" w:eastAsia="Arial" w:hAnsi="Arial" w:cs="Arial"/>
        </w:rPr>
        <w:t>an affect the ferritin levels w</w:t>
      </w:r>
      <w:r w:rsidR="06C98A53" w:rsidRPr="78D780FA">
        <w:rPr>
          <w:rFonts w:ascii="Arial" w:eastAsia="Arial" w:hAnsi="Arial" w:cs="Arial"/>
        </w:rPr>
        <w:t>hich might</w:t>
      </w:r>
      <w:r w:rsidR="77B9FFBC" w:rsidRPr="78D780FA">
        <w:rPr>
          <w:rFonts w:ascii="Arial" w:eastAsia="Arial" w:hAnsi="Arial" w:cs="Arial"/>
        </w:rPr>
        <w:t xml:space="preserve"> have a potential to interfere with an accurate diagnosis of iron deficiency</w:t>
      </w:r>
      <w:r w:rsidR="2368AC83" w:rsidRPr="78D780FA">
        <w:rPr>
          <w:rFonts w:ascii="Arial" w:eastAsia="Arial" w:hAnsi="Arial" w:cs="Arial"/>
        </w:rPr>
        <w:t xml:space="preserve"> in both omnivores and vegetarians/vegans.</w:t>
      </w:r>
      <w:r w:rsidR="3A045170" w:rsidRPr="78D780FA">
        <w:rPr>
          <w:rFonts w:ascii="Arial" w:eastAsia="Arial" w:hAnsi="Arial" w:cs="Arial"/>
        </w:rPr>
        <w:t xml:space="preserve"> This shows that </w:t>
      </w:r>
      <w:r w:rsidR="0E86D0DD" w:rsidRPr="78D780FA">
        <w:rPr>
          <w:rFonts w:ascii="Arial" w:eastAsia="Arial" w:hAnsi="Arial" w:cs="Arial"/>
        </w:rPr>
        <w:t>vegetarian</w:t>
      </w:r>
      <w:r w:rsidR="3A045170" w:rsidRPr="78D780FA">
        <w:rPr>
          <w:rFonts w:ascii="Arial" w:eastAsia="Arial" w:hAnsi="Arial" w:cs="Arial"/>
        </w:rPr>
        <w:t xml:space="preserve"> and or vegan diets may not have such a detrimental effect on iron </w:t>
      </w:r>
      <w:r w:rsidR="385513C3" w:rsidRPr="78D780FA">
        <w:rPr>
          <w:rFonts w:ascii="Arial" w:eastAsia="Arial" w:hAnsi="Arial" w:cs="Arial"/>
        </w:rPr>
        <w:t>deficiencies but</w:t>
      </w:r>
      <w:r w:rsidR="3A045170" w:rsidRPr="78D780FA">
        <w:rPr>
          <w:rFonts w:ascii="Arial" w:eastAsia="Arial" w:hAnsi="Arial" w:cs="Arial"/>
        </w:rPr>
        <w:t xml:space="preserve"> still could influence them.</w:t>
      </w:r>
      <w:r w:rsidR="4EAC8455" w:rsidRPr="78D780FA">
        <w:rPr>
          <w:rFonts w:ascii="Arial" w:eastAsia="Arial" w:hAnsi="Arial" w:cs="Arial"/>
        </w:rPr>
        <w:t xml:space="preserve"> </w:t>
      </w:r>
      <w:r w:rsidR="7251BD56" w:rsidRPr="78D780FA">
        <w:rPr>
          <w:rFonts w:ascii="Arial" w:eastAsia="Arial" w:hAnsi="Arial" w:cs="Arial"/>
        </w:rPr>
        <w:t>According</w:t>
      </w:r>
      <w:r w:rsidR="4EAC8455" w:rsidRPr="78D780FA">
        <w:rPr>
          <w:rFonts w:ascii="Arial" w:eastAsia="Arial" w:hAnsi="Arial" w:cs="Arial"/>
        </w:rPr>
        <w:t xml:space="preserve"> to </w:t>
      </w:r>
      <w:r w:rsidR="355D4EE8" w:rsidRPr="78D780FA">
        <w:rPr>
          <w:rFonts w:ascii="Arial" w:eastAsia="Arial" w:hAnsi="Arial" w:cs="Arial"/>
        </w:rPr>
        <w:t>Gupta (2017)</w:t>
      </w:r>
      <w:r w:rsidR="54231D01" w:rsidRPr="78D780FA">
        <w:rPr>
          <w:rFonts w:ascii="Arial" w:eastAsia="Arial" w:hAnsi="Arial" w:cs="Arial"/>
        </w:rPr>
        <w:t xml:space="preserve"> p.131-147</w:t>
      </w:r>
      <w:r w:rsidR="4EAC8455" w:rsidRPr="78D780FA">
        <w:rPr>
          <w:rFonts w:ascii="Arial" w:eastAsia="Arial" w:hAnsi="Arial" w:cs="Arial"/>
        </w:rPr>
        <w:t xml:space="preserve"> </w:t>
      </w:r>
      <w:r w:rsidR="7F836B29" w:rsidRPr="78D780FA">
        <w:rPr>
          <w:rFonts w:ascii="Arial" w:eastAsia="Arial" w:hAnsi="Arial" w:cs="Arial"/>
        </w:rPr>
        <w:t>a lack of iron reduces the blood's ability to carry oxygen and decreases the amount of oxygen that can reach the body's tissues, visceral organs, and skeletal muscles.</w:t>
      </w:r>
      <w:r w:rsidR="70D8C6C4" w:rsidRPr="78D780FA">
        <w:rPr>
          <w:rFonts w:ascii="Arial" w:eastAsia="Arial" w:hAnsi="Arial" w:cs="Arial"/>
        </w:rPr>
        <w:t xml:space="preserve"> This can be presented through symptoms such as fatigue, </w:t>
      </w:r>
      <w:bookmarkStart w:id="1" w:name="_Int_VXP2yh2q"/>
      <w:r w:rsidR="70D8C6C4" w:rsidRPr="78D780FA">
        <w:rPr>
          <w:rFonts w:ascii="Arial" w:eastAsia="Arial" w:hAnsi="Arial" w:cs="Arial"/>
        </w:rPr>
        <w:t>dizziness</w:t>
      </w:r>
      <w:bookmarkEnd w:id="1"/>
      <w:r w:rsidR="70D8C6C4" w:rsidRPr="78D780FA">
        <w:rPr>
          <w:rFonts w:ascii="Arial" w:eastAsia="Arial" w:hAnsi="Arial" w:cs="Arial"/>
        </w:rPr>
        <w:t xml:space="preserve"> and weakness.</w:t>
      </w:r>
    </w:p>
    <w:p w14:paraId="49A0E3F6" w14:textId="6C25924F" w:rsidR="78D780FA" w:rsidRDefault="78D780FA" w:rsidP="78D780FA">
      <w:pPr>
        <w:spacing w:after="0" w:line="360" w:lineRule="auto"/>
        <w:rPr>
          <w:rFonts w:ascii="Arial" w:eastAsia="Arial" w:hAnsi="Arial" w:cs="Arial"/>
        </w:rPr>
      </w:pPr>
    </w:p>
    <w:p w14:paraId="56302E8C" w14:textId="7BE3EF85" w:rsidR="55F77F4B" w:rsidRDefault="55F77F4B" w:rsidP="78D780FA">
      <w:pPr>
        <w:spacing w:after="0" w:line="360" w:lineRule="auto"/>
        <w:rPr>
          <w:rFonts w:ascii="Arial" w:eastAsia="Arial" w:hAnsi="Arial" w:cs="Arial"/>
          <w:sz w:val="26"/>
          <w:szCs w:val="26"/>
        </w:rPr>
      </w:pPr>
      <w:r w:rsidRPr="78D780FA">
        <w:rPr>
          <w:rFonts w:ascii="Arial" w:eastAsia="Arial" w:hAnsi="Arial" w:cs="Arial"/>
          <w:sz w:val="26"/>
          <w:szCs w:val="26"/>
        </w:rPr>
        <w:t>Iron Toxicity</w:t>
      </w:r>
    </w:p>
    <w:p w14:paraId="386963CE" w14:textId="7804EFDA" w:rsidR="0F6EEEB9" w:rsidRDefault="0F6EEEB9" w:rsidP="78D780FA">
      <w:pPr>
        <w:spacing w:after="0" w:line="360" w:lineRule="auto"/>
        <w:rPr>
          <w:rFonts w:ascii="Arial" w:eastAsia="Arial" w:hAnsi="Arial" w:cs="Arial"/>
        </w:rPr>
      </w:pPr>
      <w:r w:rsidRPr="78D780FA">
        <w:rPr>
          <w:rFonts w:ascii="Arial" w:eastAsia="Arial" w:hAnsi="Arial" w:cs="Arial"/>
        </w:rPr>
        <w:t xml:space="preserve">Iron can be stored, </w:t>
      </w:r>
      <w:bookmarkStart w:id="2" w:name="_Int_5imftelo"/>
      <w:r w:rsidRPr="78D780FA">
        <w:rPr>
          <w:rFonts w:ascii="Arial" w:eastAsia="Arial" w:hAnsi="Arial" w:cs="Arial"/>
        </w:rPr>
        <w:t>recycled</w:t>
      </w:r>
      <w:bookmarkEnd w:id="2"/>
      <w:r w:rsidR="36BC560F" w:rsidRPr="78D780FA">
        <w:rPr>
          <w:rFonts w:ascii="Arial" w:eastAsia="Arial" w:hAnsi="Arial" w:cs="Arial"/>
        </w:rPr>
        <w:t xml:space="preserve"> </w:t>
      </w:r>
      <w:r w:rsidRPr="78D780FA">
        <w:rPr>
          <w:rFonts w:ascii="Arial" w:eastAsia="Arial" w:hAnsi="Arial" w:cs="Arial"/>
        </w:rPr>
        <w:t>and absorbed by mechanisms that reduce</w:t>
      </w:r>
      <w:r w:rsidR="7811FBE9" w:rsidRPr="78D780FA">
        <w:rPr>
          <w:rFonts w:ascii="Arial" w:eastAsia="Arial" w:hAnsi="Arial" w:cs="Arial"/>
        </w:rPr>
        <w:t>s</w:t>
      </w:r>
      <w:r w:rsidRPr="78D780FA">
        <w:rPr>
          <w:rFonts w:ascii="Arial" w:eastAsia="Arial" w:hAnsi="Arial" w:cs="Arial"/>
        </w:rPr>
        <w:t xml:space="preserve"> toxicity. </w:t>
      </w:r>
      <w:bookmarkStart w:id="3" w:name="_Int_wSsgoq0m"/>
      <w:r w:rsidRPr="78D780FA">
        <w:rPr>
          <w:rFonts w:ascii="Arial" w:eastAsia="Arial" w:hAnsi="Arial" w:cs="Arial"/>
        </w:rPr>
        <w:t>The majority of</w:t>
      </w:r>
      <w:bookmarkEnd w:id="3"/>
      <w:r w:rsidRPr="78D780FA">
        <w:rPr>
          <w:rFonts w:ascii="Arial" w:eastAsia="Arial" w:hAnsi="Arial" w:cs="Arial"/>
        </w:rPr>
        <w:t xml:space="preserve"> the material currently in publication indicates that iron toxicity is widespread, focussing on infrequently occurring circumstances</w:t>
      </w:r>
      <w:r w:rsidR="7E3D5985" w:rsidRPr="78D780FA">
        <w:rPr>
          <w:rFonts w:ascii="Arial" w:eastAsia="Arial" w:hAnsi="Arial" w:cs="Arial"/>
        </w:rPr>
        <w:t xml:space="preserve"> (Eid et al., 2017)</w:t>
      </w:r>
      <w:r w:rsidRPr="78D780FA">
        <w:rPr>
          <w:rFonts w:ascii="Arial" w:eastAsia="Arial" w:hAnsi="Arial" w:cs="Arial"/>
        </w:rPr>
        <w:t>.</w:t>
      </w:r>
      <w:r w:rsidR="518C77BB" w:rsidRPr="78D780FA">
        <w:rPr>
          <w:rFonts w:ascii="Arial" w:eastAsia="Arial" w:hAnsi="Arial" w:cs="Arial"/>
        </w:rPr>
        <w:t xml:space="preserve"> According to Gattermann et al., (2021) iron toxicity </w:t>
      </w:r>
      <w:r w:rsidR="2B14D719" w:rsidRPr="78D780FA">
        <w:rPr>
          <w:rFonts w:ascii="Arial" w:eastAsia="Arial" w:hAnsi="Arial" w:cs="Arial"/>
        </w:rPr>
        <w:t>is cla</w:t>
      </w:r>
      <w:r w:rsidR="7A680728" w:rsidRPr="78D780FA">
        <w:rPr>
          <w:rFonts w:ascii="Arial" w:eastAsia="Arial" w:hAnsi="Arial" w:cs="Arial"/>
        </w:rPr>
        <w:t>ssified when</w:t>
      </w:r>
      <w:r w:rsidR="2B14D719" w:rsidRPr="78D780FA">
        <w:rPr>
          <w:rFonts w:ascii="Arial" w:eastAsia="Arial" w:hAnsi="Arial" w:cs="Arial"/>
        </w:rPr>
        <w:t xml:space="preserve"> TAST</w:t>
      </w:r>
      <w:r w:rsidR="63FDED40" w:rsidRPr="78D780FA">
        <w:rPr>
          <w:rFonts w:ascii="Arial" w:eastAsia="Arial" w:hAnsi="Arial" w:cs="Arial"/>
        </w:rPr>
        <w:t xml:space="preserve"> levels are over 40%.</w:t>
      </w:r>
      <w:r w:rsidR="700F3D30" w:rsidRPr="78D780FA">
        <w:rPr>
          <w:rFonts w:ascii="Arial" w:eastAsia="Arial" w:hAnsi="Arial" w:cs="Arial"/>
        </w:rPr>
        <w:t xml:space="preserve"> </w:t>
      </w:r>
      <w:bookmarkStart w:id="4" w:name="_Int_ajpeUuUj"/>
      <w:r w:rsidR="700F3D30" w:rsidRPr="78D780FA">
        <w:rPr>
          <w:rFonts w:ascii="Arial" w:eastAsia="Arial" w:hAnsi="Arial" w:cs="Arial"/>
        </w:rPr>
        <w:t>Similar to</w:t>
      </w:r>
      <w:bookmarkEnd w:id="4"/>
      <w:r w:rsidR="700F3D30" w:rsidRPr="78D780FA">
        <w:rPr>
          <w:rFonts w:ascii="Arial" w:eastAsia="Arial" w:hAnsi="Arial" w:cs="Arial"/>
        </w:rPr>
        <w:t xml:space="preserve"> iron deficiency, iron toxicity is </w:t>
      </w:r>
      <w:r w:rsidR="3E93EF32" w:rsidRPr="78D780FA">
        <w:rPr>
          <w:rFonts w:ascii="Arial" w:eastAsia="Arial" w:hAnsi="Arial" w:cs="Arial"/>
        </w:rPr>
        <w:t>quite common</w:t>
      </w:r>
      <w:r w:rsidR="700F3D30" w:rsidRPr="78D780FA">
        <w:rPr>
          <w:rFonts w:ascii="Arial" w:eastAsia="Arial" w:hAnsi="Arial" w:cs="Arial"/>
        </w:rPr>
        <w:t xml:space="preserve"> in children. </w:t>
      </w:r>
      <w:r w:rsidR="33A36CF7" w:rsidRPr="78D780FA">
        <w:rPr>
          <w:rFonts w:ascii="Arial" w:eastAsia="Arial" w:hAnsi="Arial" w:cs="Arial"/>
        </w:rPr>
        <w:t xml:space="preserve">According to </w:t>
      </w:r>
      <w:r w:rsidR="798963FB" w:rsidRPr="78D780FA">
        <w:rPr>
          <w:rFonts w:ascii="Arial" w:eastAsia="Arial" w:hAnsi="Arial" w:cs="Arial"/>
        </w:rPr>
        <w:t>Spanierman (2025)</w:t>
      </w:r>
      <w:r w:rsidR="33A36CF7" w:rsidRPr="78D780FA">
        <w:rPr>
          <w:rFonts w:ascii="Arial" w:eastAsia="Arial" w:hAnsi="Arial" w:cs="Arial"/>
        </w:rPr>
        <w:t xml:space="preserve"> one of the main reasons why infants under the age of six die from poisoning is iron overdose. Iron is used to treat anaemia in vitamin and mineral supplements for children and pregnant women. This article also </w:t>
      </w:r>
      <w:r w:rsidR="24B56359" w:rsidRPr="78D780FA">
        <w:rPr>
          <w:rFonts w:ascii="Arial" w:eastAsia="Arial" w:hAnsi="Arial" w:cs="Arial"/>
        </w:rPr>
        <w:t>stated</w:t>
      </w:r>
      <w:r w:rsidR="33A36CF7" w:rsidRPr="78D780FA">
        <w:rPr>
          <w:rFonts w:ascii="Arial" w:eastAsia="Arial" w:hAnsi="Arial" w:cs="Arial"/>
        </w:rPr>
        <w:t xml:space="preserve"> that young children find iron pills especially alluring because they resemble </w:t>
      </w:r>
      <w:r w:rsidR="47160FB8" w:rsidRPr="78D780FA">
        <w:rPr>
          <w:rFonts w:ascii="Arial" w:eastAsia="Arial" w:hAnsi="Arial" w:cs="Arial"/>
        </w:rPr>
        <w:t xml:space="preserve">sweets. </w:t>
      </w:r>
      <w:r w:rsidR="7B352526" w:rsidRPr="78D780FA">
        <w:rPr>
          <w:rFonts w:ascii="Arial" w:eastAsia="Arial" w:hAnsi="Arial" w:cs="Arial"/>
        </w:rPr>
        <w:t xml:space="preserve">According to </w:t>
      </w:r>
      <w:r w:rsidR="72F7F791" w:rsidRPr="78D780FA">
        <w:rPr>
          <w:rFonts w:ascii="Arial" w:eastAsia="Arial" w:hAnsi="Arial" w:cs="Arial"/>
        </w:rPr>
        <w:t>Yan and Becker (2023)</w:t>
      </w:r>
      <w:r w:rsidR="7B352526" w:rsidRPr="78D780FA">
        <w:rPr>
          <w:rFonts w:ascii="Arial" w:eastAsia="Arial" w:hAnsi="Arial" w:cs="Arial"/>
        </w:rPr>
        <w:t xml:space="preserve"> there are five phases to the clinical presentation of the symptoms of</w:t>
      </w:r>
      <w:r w:rsidR="4C14E835" w:rsidRPr="78D780FA">
        <w:rPr>
          <w:rFonts w:ascii="Arial" w:eastAsia="Arial" w:hAnsi="Arial" w:cs="Arial"/>
        </w:rPr>
        <w:t xml:space="preserve"> acute</w:t>
      </w:r>
      <w:r w:rsidR="7B352526" w:rsidRPr="78D780FA">
        <w:rPr>
          <w:rFonts w:ascii="Arial" w:eastAsia="Arial" w:hAnsi="Arial" w:cs="Arial"/>
        </w:rPr>
        <w:t xml:space="preserve"> iron toxicity; </w:t>
      </w:r>
      <w:r w:rsidR="6342CE7A" w:rsidRPr="78D780FA">
        <w:rPr>
          <w:rFonts w:ascii="Arial" w:eastAsia="Arial" w:hAnsi="Arial" w:cs="Arial"/>
        </w:rPr>
        <w:t xml:space="preserve">0.5 to 6 hours: </w:t>
      </w:r>
      <w:r w:rsidR="42D1C6F3" w:rsidRPr="78D780FA">
        <w:rPr>
          <w:rFonts w:ascii="Arial" w:eastAsia="Arial" w:hAnsi="Arial" w:cs="Arial"/>
        </w:rPr>
        <w:t>h</w:t>
      </w:r>
      <w:r w:rsidR="6342CE7A" w:rsidRPr="78D780FA">
        <w:rPr>
          <w:rFonts w:ascii="Arial" w:eastAsia="Arial" w:hAnsi="Arial" w:cs="Arial"/>
        </w:rPr>
        <w:t>aematemesis (blood in the vomit), nausea, vomiting, diarrhoea, and abdominal pain are all typical digestive symptoms. Iron's corrosive actions on the gastrointestinal mucosa are the cause of these symptoms</w:t>
      </w:r>
      <w:r w:rsidR="0305D27E" w:rsidRPr="78D780FA">
        <w:rPr>
          <w:rFonts w:ascii="Arial" w:eastAsia="Arial" w:hAnsi="Arial" w:cs="Arial"/>
        </w:rPr>
        <w:t xml:space="preserve">, </w:t>
      </w:r>
      <w:r w:rsidR="6342CE7A" w:rsidRPr="78D780FA">
        <w:rPr>
          <w:rFonts w:ascii="Arial" w:eastAsia="Arial" w:hAnsi="Arial" w:cs="Arial"/>
        </w:rPr>
        <w:t xml:space="preserve">6 to 24 hours: </w:t>
      </w:r>
      <w:r w:rsidR="2A792EA8" w:rsidRPr="78D780FA">
        <w:rPr>
          <w:rFonts w:ascii="Arial" w:eastAsia="Arial" w:hAnsi="Arial" w:cs="Arial"/>
        </w:rPr>
        <w:t>t</w:t>
      </w:r>
      <w:r w:rsidR="6342CE7A" w:rsidRPr="78D780FA">
        <w:rPr>
          <w:rFonts w:ascii="Arial" w:eastAsia="Arial" w:hAnsi="Arial" w:cs="Arial"/>
        </w:rPr>
        <w:t xml:space="preserve">here may be a period of recovery during which the gastrointestinal symptoms go away, but this does not mean that the poisoning has </w:t>
      </w:r>
      <w:r w:rsidR="6342CE7A" w:rsidRPr="78D780FA">
        <w:rPr>
          <w:rFonts w:ascii="Arial" w:eastAsia="Arial" w:hAnsi="Arial" w:cs="Arial"/>
        </w:rPr>
        <w:lastRenderedPageBreak/>
        <w:t>been resolved</w:t>
      </w:r>
      <w:r w:rsidR="79D5D829" w:rsidRPr="78D780FA">
        <w:rPr>
          <w:rFonts w:ascii="Arial" w:eastAsia="Arial" w:hAnsi="Arial" w:cs="Arial"/>
        </w:rPr>
        <w:t xml:space="preserve">, </w:t>
      </w:r>
      <w:r w:rsidR="2AE537EA" w:rsidRPr="78D780FA">
        <w:rPr>
          <w:rFonts w:ascii="Arial" w:eastAsia="Arial" w:hAnsi="Arial" w:cs="Arial"/>
        </w:rPr>
        <w:t>6</w:t>
      </w:r>
      <w:r w:rsidR="6342CE7A" w:rsidRPr="78D780FA">
        <w:rPr>
          <w:rFonts w:ascii="Arial" w:eastAsia="Arial" w:hAnsi="Arial" w:cs="Arial"/>
        </w:rPr>
        <w:t xml:space="preserve">–72 hours: </w:t>
      </w:r>
      <w:r w:rsidR="14D94A78" w:rsidRPr="78D780FA">
        <w:rPr>
          <w:rFonts w:ascii="Arial" w:eastAsia="Arial" w:hAnsi="Arial" w:cs="Arial"/>
        </w:rPr>
        <w:t>s</w:t>
      </w:r>
      <w:r w:rsidR="6342CE7A" w:rsidRPr="78D780FA">
        <w:rPr>
          <w:rFonts w:ascii="Arial" w:eastAsia="Arial" w:hAnsi="Arial" w:cs="Arial"/>
        </w:rPr>
        <w:t>hock, metabolic acidosis, coagulopathy (bleeding concerns), hepatic dysfunction, cardiomyopathy, and renal failure are among the severe consequences that may arise</w:t>
      </w:r>
      <w:r w:rsidR="4097E7E1" w:rsidRPr="78D780FA">
        <w:rPr>
          <w:rFonts w:ascii="Arial" w:eastAsia="Arial" w:hAnsi="Arial" w:cs="Arial"/>
        </w:rPr>
        <w:t xml:space="preserve">, </w:t>
      </w:r>
      <w:r w:rsidR="6342CE7A" w:rsidRPr="78D780FA">
        <w:rPr>
          <w:rFonts w:ascii="Arial" w:eastAsia="Arial" w:hAnsi="Arial" w:cs="Arial"/>
        </w:rPr>
        <w:t xml:space="preserve">12 to 96 hours: </w:t>
      </w:r>
      <w:r w:rsidR="36ACC7FD" w:rsidRPr="78D780FA">
        <w:rPr>
          <w:rFonts w:ascii="Arial" w:eastAsia="Arial" w:hAnsi="Arial" w:cs="Arial"/>
        </w:rPr>
        <w:t>i</w:t>
      </w:r>
      <w:r w:rsidR="6342CE7A" w:rsidRPr="78D780FA">
        <w:rPr>
          <w:rFonts w:ascii="Arial" w:eastAsia="Arial" w:hAnsi="Arial" w:cs="Arial"/>
        </w:rPr>
        <w:t>ncreased liver enzymes and the development of hepatic failure indicate more obvious liver injury</w:t>
      </w:r>
      <w:r w:rsidR="46B5AA33" w:rsidRPr="78D780FA">
        <w:rPr>
          <w:rFonts w:ascii="Arial" w:eastAsia="Arial" w:hAnsi="Arial" w:cs="Arial"/>
        </w:rPr>
        <w:t xml:space="preserve"> and </w:t>
      </w:r>
      <w:r w:rsidR="6342CE7A" w:rsidRPr="78D780FA">
        <w:rPr>
          <w:rFonts w:ascii="Arial" w:eastAsia="Arial" w:hAnsi="Arial" w:cs="Arial"/>
        </w:rPr>
        <w:t xml:space="preserve">2–8 weeks: </w:t>
      </w:r>
      <w:r w:rsidR="4D46AA62" w:rsidRPr="78D780FA">
        <w:rPr>
          <w:rFonts w:ascii="Arial" w:eastAsia="Arial" w:hAnsi="Arial" w:cs="Arial"/>
        </w:rPr>
        <w:t>p</w:t>
      </w:r>
      <w:r w:rsidR="6342CE7A" w:rsidRPr="78D780FA">
        <w:rPr>
          <w:rFonts w:ascii="Arial" w:eastAsia="Arial" w:hAnsi="Arial" w:cs="Arial"/>
        </w:rPr>
        <w:t>yloric or proximal bowel restrictions, blockage, and gastrointestinal scarring are possible long-term consequences.</w:t>
      </w:r>
      <w:r w:rsidR="128074C4" w:rsidRPr="78D780FA">
        <w:rPr>
          <w:rFonts w:ascii="Arial" w:eastAsia="Arial" w:hAnsi="Arial" w:cs="Arial"/>
        </w:rPr>
        <w:t xml:space="preserve"> Supportive care, intravenous fluids, acidosis correction, and the administration of the iron chelating drug deferoxamine are all part of the many treatments in place for individuals experiencing iron toxicity. In extreme situations, haemodialysis, iron supplements, or surgical excision may be required (Y</w:t>
      </w:r>
      <w:r w:rsidR="675D4672" w:rsidRPr="78D780FA">
        <w:rPr>
          <w:rFonts w:ascii="Arial" w:eastAsia="Arial" w:hAnsi="Arial" w:cs="Arial"/>
        </w:rPr>
        <w:t>ue</w:t>
      </w:r>
      <w:r w:rsidR="128074C4" w:rsidRPr="78D780FA">
        <w:rPr>
          <w:rFonts w:ascii="Arial" w:eastAsia="Arial" w:hAnsi="Arial" w:cs="Arial"/>
        </w:rPr>
        <w:t>n and Becker, 2023).</w:t>
      </w:r>
      <w:r w:rsidR="209611D5" w:rsidRPr="78D780FA">
        <w:rPr>
          <w:rFonts w:ascii="Arial" w:eastAsia="Arial" w:hAnsi="Arial" w:cs="Arial"/>
        </w:rPr>
        <w:t xml:space="preserve"> There is acute iron toxicity, which was previously discus, yet there is also</w:t>
      </w:r>
      <w:r w:rsidR="58DA5648" w:rsidRPr="78D780FA">
        <w:rPr>
          <w:rFonts w:ascii="Arial" w:eastAsia="Arial" w:hAnsi="Arial" w:cs="Arial"/>
        </w:rPr>
        <w:t xml:space="preserve"> chronic iron toxicity which is much more sever.</w:t>
      </w:r>
      <w:r w:rsidR="27E10A21" w:rsidRPr="78D780FA">
        <w:rPr>
          <w:rFonts w:ascii="Arial" w:eastAsia="Arial" w:hAnsi="Arial" w:cs="Arial"/>
        </w:rPr>
        <w:t xml:space="preserve"> Chronic overload is when the body has </w:t>
      </w:r>
      <w:r w:rsidR="134FB518" w:rsidRPr="78D780FA">
        <w:rPr>
          <w:rFonts w:ascii="Arial" w:eastAsia="Arial" w:hAnsi="Arial" w:cs="Arial"/>
        </w:rPr>
        <w:t xml:space="preserve">an excessive amount of </w:t>
      </w:r>
      <w:r w:rsidR="27E10A21" w:rsidRPr="78D780FA">
        <w:rPr>
          <w:rFonts w:ascii="Arial" w:eastAsia="Arial" w:hAnsi="Arial" w:cs="Arial"/>
        </w:rPr>
        <w:t>iron and has nowhere to store it, therefore must deposit the excess ir</w:t>
      </w:r>
      <w:r w:rsidR="06FECD61" w:rsidRPr="78D780FA">
        <w:rPr>
          <w:rFonts w:ascii="Arial" w:eastAsia="Arial" w:hAnsi="Arial" w:cs="Arial"/>
        </w:rPr>
        <w:t>on</w:t>
      </w:r>
      <w:r w:rsidR="60CB6544" w:rsidRPr="78D780FA">
        <w:rPr>
          <w:rFonts w:ascii="Arial" w:eastAsia="Arial" w:hAnsi="Arial" w:cs="Arial"/>
        </w:rPr>
        <w:t xml:space="preserve"> in many organs</w:t>
      </w:r>
      <w:r w:rsidR="1D6D66D9" w:rsidRPr="78D780FA">
        <w:rPr>
          <w:rFonts w:ascii="Arial" w:eastAsia="Arial" w:hAnsi="Arial" w:cs="Arial"/>
        </w:rPr>
        <w:t xml:space="preserve"> </w:t>
      </w:r>
      <w:r w:rsidR="58772946" w:rsidRPr="78D780FA">
        <w:rPr>
          <w:rFonts w:ascii="Arial" w:eastAsia="Arial" w:hAnsi="Arial" w:cs="Arial"/>
        </w:rPr>
        <w:t xml:space="preserve">such as the liver, </w:t>
      </w:r>
      <w:bookmarkStart w:id="5" w:name="_Int_tHga92oA"/>
      <w:r w:rsidR="58772946" w:rsidRPr="78D780FA">
        <w:rPr>
          <w:rFonts w:ascii="Arial" w:eastAsia="Arial" w:hAnsi="Arial" w:cs="Arial"/>
        </w:rPr>
        <w:t>pancreas</w:t>
      </w:r>
      <w:bookmarkEnd w:id="5"/>
      <w:r w:rsidR="58772946" w:rsidRPr="78D780FA">
        <w:rPr>
          <w:rFonts w:ascii="Arial" w:eastAsia="Arial" w:hAnsi="Arial" w:cs="Arial"/>
        </w:rPr>
        <w:t xml:space="preserve"> and the heart </w:t>
      </w:r>
      <w:r w:rsidR="1D6D66D9" w:rsidRPr="78D780FA">
        <w:rPr>
          <w:rFonts w:ascii="Arial" w:eastAsia="Arial" w:hAnsi="Arial" w:cs="Arial"/>
        </w:rPr>
        <w:t>(McDowell</w:t>
      </w:r>
      <w:r w:rsidR="39044756" w:rsidRPr="78D780FA">
        <w:rPr>
          <w:rFonts w:ascii="Arial" w:eastAsia="Arial" w:hAnsi="Arial" w:cs="Arial"/>
        </w:rPr>
        <w:t xml:space="preserve"> et al.,</w:t>
      </w:r>
      <w:r w:rsidR="1D6D66D9" w:rsidRPr="78D780FA">
        <w:rPr>
          <w:rFonts w:ascii="Arial" w:eastAsia="Arial" w:hAnsi="Arial" w:cs="Arial"/>
        </w:rPr>
        <w:t xml:space="preserve"> 202</w:t>
      </w:r>
      <w:r w:rsidR="5D88942B" w:rsidRPr="78D780FA">
        <w:rPr>
          <w:rFonts w:ascii="Arial" w:eastAsia="Arial" w:hAnsi="Arial" w:cs="Arial"/>
        </w:rPr>
        <w:t>4</w:t>
      </w:r>
      <w:r w:rsidR="1D6D66D9" w:rsidRPr="78D780FA">
        <w:rPr>
          <w:rFonts w:ascii="Arial" w:eastAsia="Arial" w:hAnsi="Arial" w:cs="Arial"/>
        </w:rPr>
        <w:t>)</w:t>
      </w:r>
      <w:r w:rsidR="5B771B41" w:rsidRPr="78D780FA">
        <w:rPr>
          <w:rFonts w:ascii="Arial" w:eastAsia="Arial" w:hAnsi="Arial" w:cs="Arial"/>
        </w:rPr>
        <w:t xml:space="preserve">. </w:t>
      </w:r>
      <w:r w:rsidR="4BD75E3E" w:rsidRPr="78D780FA">
        <w:rPr>
          <w:rFonts w:ascii="Arial" w:eastAsia="Arial" w:hAnsi="Arial" w:cs="Arial"/>
        </w:rPr>
        <w:t xml:space="preserve">Symptoms of chronic iron toxicity may include; </w:t>
      </w:r>
      <w:r w:rsidR="129957F4" w:rsidRPr="78D780FA">
        <w:rPr>
          <w:rFonts w:ascii="Arial" w:eastAsia="Arial" w:hAnsi="Arial" w:cs="Arial"/>
        </w:rPr>
        <w:t xml:space="preserve">chronic pain, abdominal pain, nausea and </w:t>
      </w:r>
      <w:r w:rsidR="07066F28" w:rsidRPr="78D780FA">
        <w:rPr>
          <w:rFonts w:ascii="Arial" w:eastAsia="Arial" w:hAnsi="Arial" w:cs="Arial"/>
          <w:color w:val="212529"/>
        </w:rPr>
        <w:t>diarrhea</w:t>
      </w:r>
      <w:r w:rsidR="07066F28" w:rsidRPr="78D780FA">
        <w:rPr>
          <w:rFonts w:ascii="Arial" w:eastAsia="Arial" w:hAnsi="Arial" w:cs="Arial"/>
        </w:rPr>
        <w:t xml:space="preserve"> (</w:t>
      </w:r>
      <w:r w:rsidR="61443C1F" w:rsidRPr="78D780FA">
        <w:rPr>
          <w:rFonts w:ascii="Arial" w:eastAsia="Arial" w:hAnsi="Arial" w:cs="Arial"/>
          <w:color w:val="000000" w:themeColor="text1"/>
        </w:rPr>
        <w:t>Germaine and Defendi, 2014).</w:t>
      </w:r>
      <w:r w:rsidR="3E082068" w:rsidRPr="78D780FA">
        <w:rPr>
          <w:rFonts w:ascii="Arial" w:eastAsia="Arial" w:hAnsi="Arial" w:cs="Arial"/>
          <w:color w:val="000000" w:themeColor="text1"/>
        </w:rPr>
        <w:t xml:space="preserve"> </w:t>
      </w:r>
      <w:r w:rsidR="46AC37AA" w:rsidRPr="78D780FA">
        <w:rPr>
          <w:rFonts w:ascii="Arial" w:eastAsia="Arial" w:hAnsi="Arial" w:cs="Arial"/>
          <w:color w:val="000000" w:themeColor="text1"/>
        </w:rPr>
        <w:t>Individuals can find their needed levels of iron intake on the dietary reference values page, as it will base their needs on their age as well as their lifestyle (</w:t>
      </w:r>
      <w:r w:rsidR="0859D8F7" w:rsidRPr="78D780FA">
        <w:rPr>
          <w:rFonts w:ascii="Arial" w:eastAsia="Arial" w:hAnsi="Arial" w:cs="Arial"/>
          <w:color w:val="000000" w:themeColor="text1"/>
        </w:rPr>
        <w:t>(Dietary Reference Values, 1991)</w:t>
      </w:r>
      <w:r w:rsidR="6F2EF4B8" w:rsidRPr="78D780FA">
        <w:rPr>
          <w:rFonts w:ascii="Arial" w:eastAsia="Arial" w:hAnsi="Arial" w:cs="Arial"/>
          <w:color w:val="000000" w:themeColor="text1"/>
        </w:rPr>
        <w:t>.</w:t>
      </w:r>
    </w:p>
    <w:p w14:paraId="678C2DB1" w14:textId="10F2FDA6" w:rsidR="78D780FA" w:rsidRDefault="78D780FA" w:rsidP="78D780FA">
      <w:pPr>
        <w:spacing w:after="0" w:line="360" w:lineRule="auto"/>
        <w:rPr>
          <w:rFonts w:ascii="Arial" w:eastAsia="Arial" w:hAnsi="Arial" w:cs="Arial"/>
          <w:color w:val="000000" w:themeColor="text1"/>
        </w:rPr>
      </w:pPr>
    </w:p>
    <w:p w14:paraId="5F2AA1D7" w14:textId="72BD8492" w:rsidR="52825795" w:rsidRDefault="52825795" w:rsidP="78D780FA">
      <w:pPr>
        <w:spacing w:line="360" w:lineRule="auto"/>
        <w:rPr>
          <w:rFonts w:ascii="Arial" w:eastAsia="Arial" w:hAnsi="Arial" w:cs="Arial"/>
        </w:rPr>
      </w:pPr>
      <w:r w:rsidRPr="78D780FA">
        <w:rPr>
          <w:rFonts w:ascii="Arial" w:eastAsia="Arial" w:hAnsi="Arial" w:cs="Arial"/>
        </w:rPr>
        <w:t xml:space="preserve">To conclude, </w:t>
      </w:r>
      <w:r w:rsidR="1367414E" w:rsidRPr="78D780FA">
        <w:rPr>
          <w:rFonts w:ascii="Arial" w:eastAsia="Arial" w:hAnsi="Arial" w:cs="Arial"/>
        </w:rPr>
        <w:t xml:space="preserve">numerous physiological functions, such as oxygen transport depend on iron. </w:t>
      </w:r>
      <w:r w:rsidR="2B9D7543" w:rsidRPr="78D780FA">
        <w:rPr>
          <w:rFonts w:ascii="Arial" w:eastAsia="Arial" w:hAnsi="Arial" w:cs="Arial"/>
        </w:rPr>
        <w:t xml:space="preserve">As </w:t>
      </w:r>
      <w:r w:rsidR="1367414E" w:rsidRPr="78D780FA">
        <w:rPr>
          <w:rFonts w:ascii="Arial" w:eastAsia="Arial" w:hAnsi="Arial" w:cs="Arial"/>
        </w:rPr>
        <w:t>iron toxicity and iron deficiency both have serious clinical consequences, maintaining appropriate iron homeostasis is crucial for good health.</w:t>
      </w:r>
      <w:r w:rsidR="105B6424" w:rsidRPr="78D780FA">
        <w:rPr>
          <w:rFonts w:ascii="Arial" w:eastAsia="Arial" w:hAnsi="Arial" w:cs="Arial"/>
        </w:rPr>
        <w:t xml:space="preserve"> </w:t>
      </w:r>
      <w:bookmarkStart w:id="6" w:name="_Int_WJnbfKd6"/>
      <w:r w:rsidR="1367414E" w:rsidRPr="78D780FA">
        <w:rPr>
          <w:rFonts w:ascii="Arial" w:eastAsia="Arial" w:hAnsi="Arial" w:cs="Arial"/>
        </w:rPr>
        <w:t>Iron is one of the most common nutritional deficiencies in the world</w:t>
      </w:r>
      <w:r w:rsidR="4DFAADBD" w:rsidRPr="78D780FA">
        <w:rPr>
          <w:rFonts w:ascii="Arial" w:eastAsia="Arial" w:hAnsi="Arial" w:cs="Arial"/>
        </w:rPr>
        <w:t>.</w:t>
      </w:r>
      <w:bookmarkEnd w:id="6"/>
      <w:r w:rsidR="4DFAADBD" w:rsidRPr="78D780FA">
        <w:rPr>
          <w:rFonts w:ascii="Arial" w:eastAsia="Arial" w:hAnsi="Arial" w:cs="Arial"/>
        </w:rPr>
        <w:t xml:space="preserve"> I</w:t>
      </w:r>
      <w:r w:rsidR="1367414E" w:rsidRPr="78D780FA">
        <w:rPr>
          <w:rFonts w:ascii="Arial" w:eastAsia="Arial" w:hAnsi="Arial" w:cs="Arial"/>
        </w:rPr>
        <w:t>ron deficiency is a major contributor to anaemia, especially in children and women of reproductive age. It causes fatigue, heightened vulnerability to infections, and compromised cognitive and physical function.</w:t>
      </w:r>
      <w:r w:rsidR="7C60F0BB" w:rsidRPr="78D780FA">
        <w:rPr>
          <w:rFonts w:ascii="Arial" w:eastAsia="Arial" w:hAnsi="Arial" w:cs="Arial"/>
        </w:rPr>
        <w:t xml:space="preserve"> On the other hand, iron poisoning can cause organ damage </w:t>
      </w:r>
      <w:r w:rsidR="3947B4C9" w:rsidRPr="78D780FA">
        <w:rPr>
          <w:rFonts w:ascii="Arial" w:eastAsia="Arial" w:hAnsi="Arial" w:cs="Arial"/>
        </w:rPr>
        <w:t>as e</w:t>
      </w:r>
      <w:r w:rsidR="7C60F0BB" w:rsidRPr="78D780FA">
        <w:rPr>
          <w:rFonts w:ascii="Arial" w:eastAsia="Arial" w:hAnsi="Arial" w:cs="Arial"/>
        </w:rPr>
        <w:t xml:space="preserve">xcess iron builds up in </w:t>
      </w:r>
      <w:r w:rsidR="0E59D63D" w:rsidRPr="78D780FA">
        <w:rPr>
          <w:rFonts w:ascii="Arial" w:eastAsia="Arial" w:hAnsi="Arial" w:cs="Arial"/>
        </w:rPr>
        <w:t xml:space="preserve">vital </w:t>
      </w:r>
      <w:r w:rsidR="7C60F0BB" w:rsidRPr="78D780FA">
        <w:rPr>
          <w:rFonts w:ascii="Arial" w:eastAsia="Arial" w:hAnsi="Arial" w:cs="Arial"/>
        </w:rPr>
        <w:t>organ</w:t>
      </w:r>
      <w:r w:rsidR="73E2ED6A" w:rsidRPr="78D780FA">
        <w:rPr>
          <w:rFonts w:ascii="Arial" w:eastAsia="Arial" w:hAnsi="Arial" w:cs="Arial"/>
        </w:rPr>
        <w:t xml:space="preserve">s, </w:t>
      </w:r>
      <w:r w:rsidR="7C60F0BB" w:rsidRPr="78D780FA">
        <w:rPr>
          <w:rFonts w:ascii="Arial" w:eastAsia="Arial" w:hAnsi="Arial" w:cs="Arial"/>
        </w:rPr>
        <w:t>which can lead to neurodegenerative disorders. The benefits and hazards of iron must be balanced through clinical monitoring, proper dietary consumption, and effective public health initiatives. Knowing that iron has two different effects on health emphasises how crucial it is to conduct individualised assessments and treat both overload and deficiency situations.</w:t>
      </w:r>
    </w:p>
    <w:p w14:paraId="6BA85BE3" w14:textId="755A7294" w:rsidR="60C439FB" w:rsidRDefault="60C439FB" w:rsidP="78D780FA">
      <w:pPr>
        <w:spacing w:after="0" w:line="360" w:lineRule="auto"/>
        <w:rPr>
          <w:rFonts w:ascii="Arial" w:eastAsia="Arial" w:hAnsi="Arial" w:cs="Arial"/>
        </w:rPr>
      </w:pPr>
      <w:r w:rsidRPr="78D780FA">
        <w:rPr>
          <w:rFonts w:ascii="Arial" w:eastAsia="Arial" w:hAnsi="Arial" w:cs="Arial"/>
        </w:rPr>
        <w:lastRenderedPageBreak/>
        <w:t xml:space="preserve">Word count: </w:t>
      </w:r>
      <w:r w:rsidR="547C3282" w:rsidRPr="78D780FA">
        <w:rPr>
          <w:rFonts w:ascii="Arial" w:eastAsia="Arial" w:hAnsi="Arial" w:cs="Arial"/>
        </w:rPr>
        <w:t>1,0</w:t>
      </w:r>
      <w:r w:rsidR="3FEE8109" w:rsidRPr="78D780FA">
        <w:rPr>
          <w:rFonts w:ascii="Arial" w:eastAsia="Arial" w:hAnsi="Arial" w:cs="Arial"/>
        </w:rPr>
        <w:t>8</w:t>
      </w:r>
      <w:r w:rsidR="52F11945" w:rsidRPr="78D780FA">
        <w:rPr>
          <w:rFonts w:ascii="Arial" w:eastAsia="Arial" w:hAnsi="Arial" w:cs="Arial"/>
        </w:rPr>
        <w:t>9</w:t>
      </w:r>
    </w:p>
    <w:p w14:paraId="56F5EE2D" w14:textId="174ABE60" w:rsidR="78D780FA" w:rsidRDefault="78D780FA" w:rsidP="78D780FA">
      <w:pPr>
        <w:spacing w:after="0" w:line="360" w:lineRule="auto"/>
        <w:rPr>
          <w:rFonts w:ascii="Arial" w:eastAsia="Arial" w:hAnsi="Arial" w:cs="Arial"/>
        </w:rPr>
      </w:pPr>
    </w:p>
    <w:p w14:paraId="6EDEFB50" w14:textId="28D2C673" w:rsidR="2EB4E69A" w:rsidRDefault="2EB4E69A" w:rsidP="78D780FA">
      <w:pPr>
        <w:spacing w:after="0" w:line="360" w:lineRule="auto"/>
        <w:rPr>
          <w:rFonts w:ascii="Arial" w:eastAsia="Arial" w:hAnsi="Arial" w:cs="Arial"/>
        </w:rPr>
      </w:pPr>
      <w:r w:rsidRPr="78D780FA">
        <w:rPr>
          <w:rFonts w:ascii="Arial" w:eastAsia="Arial" w:hAnsi="Arial" w:cs="Arial"/>
        </w:rPr>
        <w:t>Reference list:</w:t>
      </w:r>
    </w:p>
    <w:p w14:paraId="5F30C96A" w14:textId="2A2F718A" w:rsidR="32F0CDB0" w:rsidRDefault="32F0CDB0" w:rsidP="78D780FA">
      <w:pPr>
        <w:spacing w:after="0" w:line="360" w:lineRule="auto"/>
        <w:rPr>
          <w:rFonts w:ascii="Arial" w:eastAsia="Arial" w:hAnsi="Arial" w:cs="Arial"/>
        </w:rPr>
      </w:pPr>
      <w:r w:rsidRPr="78D780FA">
        <w:rPr>
          <w:rFonts w:ascii="Arial" w:eastAsia="Arial" w:hAnsi="Arial" w:cs="Arial"/>
        </w:rPr>
        <w:t>Bermejo, F and Gracia-Lopez, S (2009) ‘A guide to diagnoses of iron deficiency and iron deficiency anaemia in digestive diseases’,</w:t>
      </w:r>
      <w:r w:rsidR="0759C8BA" w:rsidRPr="78D780FA">
        <w:rPr>
          <w:rFonts w:ascii="Arial" w:eastAsia="Arial" w:hAnsi="Arial" w:cs="Arial"/>
        </w:rPr>
        <w:t xml:space="preserve"> </w:t>
      </w:r>
      <w:r w:rsidR="0759C8BA" w:rsidRPr="78D780FA">
        <w:rPr>
          <w:rFonts w:ascii="Arial" w:eastAsia="Arial" w:hAnsi="Arial" w:cs="Arial"/>
          <w:i/>
          <w:iCs/>
        </w:rPr>
        <w:t>World Journal of Gastroenterology</w:t>
      </w:r>
      <w:r w:rsidR="0759C8BA" w:rsidRPr="78D780FA">
        <w:rPr>
          <w:rFonts w:ascii="Arial" w:eastAsia="Arial" w:hAnsi="Arial" w:cs="Arial"/>
        </w:rPr>
        <w:t xml:space="preserve">, Vol 15(37), p. 4638. Available at: </w:t>
      </w:r>
      <w:r w:rsidR="0E90EF71" w:rsidRPr="78D780FA">
        <w:rPr>
          <w:rFonts w:ascii="Arial" w:eastAsia="Arial" w:hAnsi="Arial" w:cs="Arial"/>
        </w:rPr>
        <w:t xml:space="preserve">DOI: </w:t>
      </w:r>
      <w:hyperlink r:id="rId7">
        <w:r w:rsidR="0E90EF71" w:rsidRPr="78D780FA">
          <w:rPr>
            <w:rStyle w:val="Hyperlink"/>
            <w:rFonts w:ascii="Arial" w:eastAsia="Arial" w:hAnsi="Arial" w:cs="Arial"/>
          </w:rPr>
          <w:t>10.3748/wjg.15.4638</w:t>
        </w:r>
      </w:hyperlink>
    </w:p>
    <w:p w14:paraId="47FBCDD1" w14:textId="4C08C368" w:rsidR="78D780FA" w:rsidRDefault="78D780FA" w:rsidP="78D780FA">
      <w:pPr>
        <w:spacing w:after="0" w:line="360" w:lineRule="auto"/>
        <w:rPr>
          <w:rFonts w:ascii="Arial" w:eastAsia="Arial" w:hAnsi="Arial" w:cs="Arial"/>
        </w:rPr>
      </w:pPr>
    </w:p>
    <w:p w14:paraId="2D76211C" w14:textId="27076B1B" w:rsidR="42B1995F" w:rsidRDefault="42B1995F" w:rsidP="78D780FA">
      <w:pPr>
        <w:shd w:val="clear" w:color="auto" w:fill="FFFFFF" w:themeFill="background1"/>
        <w:spacing w:after="0" w:line="360" w:lineRule="auto"/>
        <w:rPr>
          <w:rFonts w:ascii="Arial" w:eastAsia="Arial" w:hAnsi="Arial" w:cs="Arial"/>
        </w:rPr>
      </w:pPr>
      <w:r w:rsidRPr="78D780FA">
        <w:rPr>
          <w:rFonts w:ascii="Arial" w:eastAsia="Arial" w:hAnsi="Arial" w:cs="Arial"/>
        </w:rPr>
        <w:t xml:space="preserve">British Dietetic Association (2021) </w:t>
      </w:r>
      <w:r w:rsidRPr="78D780FA">
        <w:rPr>
          <w:rFonts w:ascii="Arial" w:eastAsia="Arial" w:hAnsi="Arial" w:cs="Arial"/>
          <w:i/>
          <w:iCs/>
        </w:rPr>
        <w:t>Iron</w:t>
      </w:r>
      <w:r w:rsidRPr="78D780FA">
        <w:rPr>
          <w:rFonts w:ascii="Arial" w:eastAsia="Arial" w:hAnsi="Arial" w:cs="Arial"/>
        </w:rPr>
        <w:t xml:space="preserve">. Available at: </w:t>
      </w:r>
      <w:hyperlink r:id="rId8">
        <w:r w:rsidRPr="78D780FA">
          <w:rPr>
            <w:rStyle w:val="Hyperlink"/>
            <w:rFonts w:ascii="Arial" w:eastAsia="Arial" w:hAnsi="Arial" w:cs="Arial"/>
          </w:rPr>
          <w:t>https://www.bda.uk.com/resource/iron-rich-foods-iron-deficiency.html</w:t>
        </w:r>
      </w:hyperlink>
      <w:r w:rsidRPr="78D780FA">
        <w:rPr>
          <w:rFonts w:ascii="Arial" w:eastAsia="Arial" w:hAnsi="Arial" w:cs="Arial"/>
        </w:rPr>
        <w:t xml:space="preserve"> (Accessed: 29 April 2025)</w:t>
      </w:r>
    </w:p>
    <w:p w14:paraId="7033BDD8" w14:textId="58B8C58D" w:rsidR="78D780FA" w:rsidRDefault="78D780FA" w:rsidP="78D780FA">
      <w:pPr>
        <w:shd w:val="clear" w:color="auto" w:fill="FFFFFF" w:themeFill="background1"/>
        <w:spacing w:after="0" w:line="360" w:lineRule="auto"/>
        <w:rPr>
          <w:rFonts w:ascii="Arial" w:eastAsia="Arial" w:hAnsi="Arial" w:cs="Arial"/>
        </w:rPr>
      </w:pPr>
    </w:p>
    <w:p w14:paraId="03BFD61F" w14:textId="672541F4" w:rsidR="42B1995F" w:rsidRDefault="42B1995F" w:rsidP="78D780FA">
      <w:pPr>
        <w:spacing w:after="0" w:line="360" w:lineRule="auto"/>
        <w:rPr>
          <w:rFonts w:ascii="Arial" w:eastAsia="Arial" w:hAnsi="Arial" w:cs="Arial"/>
        </w:rPr>
      </w:pPr>
      <w:r w:rsidRPr="78D780FA">
        <w:rPr>
          <w:rFonts w:ascii="Arial" w:eastAsia="Arial" w:hAnsi="Arial" w:cs="Arial"/>
        </w:rPr>
        <w:t xml:space="preserve">Camashella, C (2019) ‘Iron deficiency’, </w:t>
      </w:r>
      <w:r w:rsidRPr="78D780FA">
        <w:rPr>
          <w:rFonts w:ascii="Arial" w:eastAsia="Arial" w:hAnsi="Arial" w:cs="Arial"/>
          <w:i/>
          <w:iCs/>
        </w:rPr>
        <w:t>Blood</w:t>
      </w:r>
      <w:r w:rsidRPr="78D780FA">
        <w:rPr>
          <w:rFonts w:ascii="Arial" w:eastAsia="Arial" w:hAnsi="Arial" w:cs="Arial"/>
        </w:rPr>
        <w:t xml:space="preserve">, Vol 133(1), pp. 30-39. Available at: DOI: </w:t>
      </w:r>
      <w:hyperlink r:id="rId9">
        <w:r w:rsidRPr="78D780FA">
          <w:rPr>
            <w:rStyle w:val="Hyperlink"/>
            <w:rFonts w:ascii="Arial" w:eastAsia="Arial" w:hAnsi="Arial" w:cs="Arial"/>
          </w:rPr>
          <w:t>https://doi.org/10.1182/blood-2018-05-815944</w:t>
        </w:r>
      </w:hyperlink>
    </w:p>
    <w:p w14:paraId="169AD0DA" w14:textId="5F5FCB65" w:rsidR="78D780FA" w:rsidRDefault="78D780FA" w:rsidP="78D780FA">
      <w:pPr>
        <w:shd w:val="clear" w:color="auto" w:fill="FFFFFF" w:themeFill="background1"/>
        <w:spacing w:after="0" w:line="360" w:lineRule="auto"/>
        <w:rPr>
          <w:rFonts w:ascii="Arial" w:eastAsia="Arial" w:hAnsi="Arial" w:cs="Arial"/>
        </w:rPr>
      </w:pPr>
    </w:p>
    <w:p w14:paraId="48CD322F" w14:textId="7004602F" w:rsidR="42B1995F" w:rsidRDefault="42B1995F" w:rsidP="78D780FA">
      <w:pPr>
        <w:spacing w:after="0" w:line="360" w:lineRule="auto"/>
        <w:rPr>
          <w:rFonts w:ascii="Arial" w:eastAsia="Arial" w:hAnsi="Arial" w:cs="Arial"/>
        </w:rPr>
      </w:pPr>
      <w:r w:rsidRPr="78D780FA">
        <w:rPr>
          <w:rFonts w:ascii="Arial" w:eastAsia="Arial" w:hAnsi="Arial" w:cs="Arial"/>
        </w:rPr>
        <w:t>Damodaran, S and Parkin, K.L (2017) Fennema’s Food Chemistry, 5</w:t>
      </w:r>
      <w:r w:rsidRPr="78D780FA">
        <w:rPr>
          <w:rFonts w:ascii="Arial" w:eastAsia="Arial" w:hAnsi="Arial" w:cs="Arial"/>
          <w:vertAlign w:val="superscript"/>
        </w:rPr>
        <w:t>th</w:t>
      </w:r>
      <w:r w:rsidRPr="78D780FA">
        <w:rPr>
          <w:rFonts w:ascii="Arial" w:eastAsia="Arial" w:hAnsi="Arial" w:cs="Arial"/>
        </w:rPr>
        <w:t xml:space="preserve"> edn. CRC Press. </w:t>
      </w:r>
      <w:hyperlink r:id="rId10">
        <w:r w:rsidRPr="78D780FA">
          <w:rPr>
            <w:rStyle w:val="Hyperlink"/>
            <w:rFonts w:ascii="Arial" w:eastAsia="Arial" w:hAnsi="Arial" w:cs="Arial"/>
          </w:rPr>
          <w:t>https://doi.org/10.1201/9781315372914</w:t>
        </w:r>
      </w:hyperlink>
      <w:r w:rsidRPr="78D780FA">
        <w:rPr>
          <w:rFonts w:ascii="Arial" w:eastAsia="Arial" w:hAnsi="Arial" w:cs="Arial"/>
          <w:color w:val="007A96"/>
          <w:u w:val="single"/>
        </w:rPr>
        <w:t>.</w:t>
      </w:r>
    </w:p>
    <w:p w14:paraId="4214B09D" w14:textId="6E370F0A" w:rsidR="42B1995F" w:rsidRDefault="42B1995F" w:rsidP="78D780FA">
      <w:pPr>
        <w:spacing w:before="240" w:after="240" w:line="360" w:lineRule="auto"/>
        <w:rPr>
          <w:rFonts w:ascii="Arial" w:eastAsia="Arial" w:hAnsi="Arial" w:cs="Arial"/>
          <w:color w:val="000000" w:themeColor="text1"/>
        </w:rPr>
      </w:pPr>
      <w:r w:rsidRPr="78D780FA">
        <w:rPr>
          <w:rFonts w:ascii="Arial" w:eastAsia="Arial" w:hAnsi="Arial" w:cs="Arial"/>
          <w:color w:val="000000" w:themeColor="text1"/>
        </w:rPr>
        <w:t xml:space="preserve">Dietary Reference Vales (1991) </w:t>
      </w:r>
      <w:r w:rsidRPr="78D780FA">
        <w:rPr>
          <w:rFonts w:ascii="Arial" w:eastAsia="Arial" w:hAnsi="Arial" w:cs="Arial"/>
        </w:rPr>
        <w:t>Dietary reference values a guide.</w:t>
      </w:r>
      <w:r w:rsidRPr="78D780FA">
        <w:rPr>
          <w:rFonts w:ascii="Arial" w:eastAsia="Arial" w:hAnsi="Arial" w:cs="Arial"/>
          <w:color w:val="000000" w:themeColor="text1"/>
        </w:rPr>
        <w:t xml:space="preserve"> Available at: </w:t>
      </w:r>
      <w:hyperlink r:id="rId11">
        <w:r w:rsidRPr="78D780FA">
          <w:rPr>
            <w:rStyle w:val="Hyperlink"/>
            <w:rFonts w:ascii="Arial" w:eastAsia="Arial" w:hAnsi="Arial" w:cs="Arial"/>
          </w:rPr>
          <w:t>https://assets.publishing.service.gov.uk/media/5bab995240f0b607130bd49d/Dietary_Reference_Values_-_A_Guide__1991_.pdf</w:t>
        </w:r>
      </w:hyperlink>
      <w:r w:rsidRPr="78D780FA">
        <w:rPr>
          <w:rFonts w:ascii="Arial" w:eastAsia="Arial" w:hAnsi="Arial" w:cs="Arial"/>
          <w:color w:val="000000" w:themeColor="text1"/>
        </w:rPr>
        <w:t xml:space="preserve"> (Accessed: 29 April 2025)</w:t>
      </w:r>
    </w:p>
    <w:p w14:paraId="362A6609" w14:textId="5C23744A" w:rsidR="42B1995F" w:rsidRDefault="42B1995F" w:rsidP="78D780FA">
      <w:pPr>
        <w:shd w:val="clear" w:color="auto" w:fill="FFFFFF" w:themeFill="background1"/>
        <w:spacing w:after="0" w:line="360" w:lineRule="auto"/>
        <w:rPr>
          <w:rFonts w:ascii="Arial" w:eastAsia="Arial" w:hAnsi="Arial" w:cs="Arial"/>
        </w:rPr>
      </w:pPr>
      <w:r w:rsidRPr="78D780FA">
        <w:rPr>
          <w:rFonts w:ascii="Arial" w:eastAsia="Arial" w:hAnsi="Arial" w:cs="Arial"/>
        </w:rPr>
        <w:t xml:space="preserve">Eid, R. et al (2017) ‘Iron medicated toxicity and programmed cell death: a review and re-examination of existing paradigms’, </w:t>
      </w:r>
      <w:r w:rsidRPr="78D780FA">
        <w:rPr>
          <w:rFonts w:ascii="Arial" w:eastAsia="Arial" w:hAnsi="Arial" w:cs="Arial"/>
          <w:i/>
          <w:iCs/>
        </w:rPr>
        <w:t>Biochimica et Biophysica Acta (BBA) - Molecular Cell Research,</w:t>
      </w:r>
      <w:r w:rsidRPr="78D780FA">
        <w:rPr>
          <w:rFonts w:ascii="Arial" w:eastAsia="Arial" w:hAnsi="Arial" w:cs="Arial"/>
        </w:rPr>
        <w:t xml:space="preserve"> Vol 1864(2), pp. 399-430. Available at: DOI: </w:t>
      </w:r>
      <w:hyperlink r:id="rId12">
        <w:r w:rsidRPr="78D780FA">
          <w:rPr>
            <w:rStyle w:val="Hyperlink"/>
            <w:rFonts w:ascii="Arial" w:eastAsia="Arial" w:hAnsi="Arial" w:cs="Arial"/>
          </w:rPr>
          <w:t>10.1016/j.bbamcr.2016.12.002</w:t>
        </w:r>
      </w:hyperlink>
    </w:p>
    <w:p w14:paraId="1E1C438E" w14:textId="7CC8CEF2" w:rsidR="78D780FA" w:rsidRDefault="78D780FA" w:rsidP="78D780FA">
      <w:pPr>
        <w:shd w:val="clear" w:color="auto" w:fill="FFFFFF" w:themeFill="background1"/>
        <w:spacing w:after="0" w:line="360" w:lineRule="auto"/>
        <w:rPr>
          <w:rFonts w:ascii="Arial" w:eastAsia="Arial" w:hAnsi="Arial" w:cs="Arial"/>
        </w:rPr>
      </w:pPr>
    </w:p>
    <w:p w14:paraId="61B7ED2A" w14:textId="492A3A76" w:rsidR="42B1995F" w:rsidRDefault="42B1995F" w:rsidP="78D780FA">
      <w:pPr>
        <w:shd w:val="clear" w:color="auto" w:fill="FFFFFF" w:themeFill="background1"/>
        <w:spacing w:after="0" w:line="360" w:lineRule="auto"/>
        <w:rPr>
          <w:rFonts w:ascii="Arial" w:eastAsia="Arial" w:hAnsi="Arial" w:cs="Arial"/>
        </w:rPr>
      </w:pPr>
      <w:bookmarkStart w:id="7" w:name="_Int_SkQWp9YN"/>
      <w:r w:rsidRPr="78D780FA">
        <w:rPr>
          <w:rFonts w:ascii="Arial" w:eastAsia="Arial" w:hAnsi="Arial" w:cs="Arial"/>
        </w:rPr>
        <w:t xml:space="preserve">Gattermann, N. et al (2021) ‘The evaluation of iron deficiency and iron overload’, </w:t>
      </w:r>
      <w:r w:rsidRPr="78D780FA">
        <w:rPr>
          <w:rFonts w:ascii="Arial" w:eastAsia="Arial" w:hAnsi="Arial" w:cs="Arial"/>
          <w:i/>
          <w:iCs/>
        </w:rPr>
        <w:t>Deutsches Arzteblatt International</w:t>
      </w:r>
      <w:r w:rsidRPr="78D780FA">
        <w:rPr>
          <w:rFonts w:ascii="Arial" w:eastAsia="Arial" w:hAnsi="Arial" w:cs="Arial"/>
        </w:rPr>
        <w:t>, Vol 118(49), pp. 847-856.</w:t>
      </w:r>
      <w:bookmarkEnd w:id="7"/>
      <w:r w:rsidRPr="78D780FA">
        <w:rPr>
          <w:rFonts w:ascii="Arial" w:eastAsia="Arial" w:hAnsi="Arial" w:cs="Arial"/>
        </w:rPr>
        <w:t xml:space="preserve"> Available at: DOI: </w:t>
      </w:r>
      <w:hyperlink r:id="rId13">
        <w:r w:rsidRPr="78D780FA">
          <w:rPr>
            <w:rStyle w:val="Hyperlink"/>
            <w:rFonts w:ascii="Arial" w:eastAsia="Arial" w:hAnsi="Arial" w:cs="Arial"/>
          </w:rPr>
          <w:t>10.3238/arztebl.m2021.0290</w:t>
        </w:r>
      </w:hyperlink>
    </w:p>
    <w:p w14:paraId="39C27D30" w14:textId="3D7D9E06" w:rsidR="78D780FA" w:rsidRDefault="78D780FA" w:rsidP="78D780FA">
      <w:pPr>
        <w:spacing w:after="0" w:line="360" w:lineRule="auto"/>
        <w:rPr>
          <w:rFonts w:ascii="Arial" w:eastAsia="Arial" w:hAnsi="Arial" w:cs="Arial"/>
        </w:rPr>
      </w:pPr>
    </w:p>
    <w:p w14:paraId="27DC901B" w14:textId="39C1AC44" w:rsidR="42B1995F" w:rsidRDefault="42B1995F" w:rsidP="78D780FA">
      <w:pPr>
        <w:spacing w:after="0" w:line="360" w:lineRule="auto"/>
        <w:rPr>
          <w:rFonts w:ascii="Arial" w:eastAsia="Arial" w:hAnsi="Arial" w:cs="Arial"/>
        </w:rPr>
      </w:pPr>
      <w:r w:rsidRPr="78D780FA">
        <w:rPr>
          <w:rFonts w:ascii="Arial" w:eastAsia="Arial" w:hAnsi="Arial" w:cs="Arial"/>
        </w:rPr>
        <w:t>Germaine, L and Defendi, M.D (2014) ‘Iron Imbalance in Children, Part 2: Identification and Treatment of Iron Poisoning,</w:t>
      </w:r>
      <w:r w:rsidRPr="78D780FA">
        <w:rPr>
          <w:rFonts w:ascii="Arial" w:eastAsia="Arial" w:hAnsi="Arial" w:cs="Arial"/>
          <w:i/>
          <w:iCs/>
        </w:rPr>
        <w:t xml:space="preserve"> Iron Deficiency</w:t>
      </w:r>
      <w:r w:rsidRPr="78D780FA">
        <w:rPr>
          <w:rFonts w:ascii="Arial" w:eastAsia="Arial" w:hAnsi="Arial" w:cs="Arial"/>
        </w:rPr>
        <w:t xml:space="preserve">, Vol 13(11). Available </w:t>
      </w:r>
      <w:r w:rsidRPr="78D780FA">
        <w:rPr>
          <w:rFonts w:ascii="Arial" w:eastAsia="Arial" w:hAnsi="Arial" w:cs="Arial"/>
        </w:rPr>
        <w:lastRenderedPageBreak/>
        <w:t xml:space="preserve">at: </w:t>
      </w:r>
      <w:hyperlink r:id="rId14">
        <w:r w:rsidRPr="78D780FA">
          <w:rPr>
            <w:rStyle w:val="Hyperlink"/>
            <w:rFonts w:ascii="Arial" w:eastAsia="Arial" w:hAnsi="Arial" w:cs="Arial"/>
          </w:rPr>
          <w:t>https://www.consultant360.com/articles/iron-imbalance-children-part-2-identification-and-treatment-iron-poisoning</w:t>
        </w:r>
      </w:hyperlink>
      <w:r w:rsidRPr="78D780FA">
        <w:rPr>
          <w:rFonts w:ascii="Arial" w:eastAsia="Arial" w:hAnsi="Arial" w:cs="Arial"/>
        </w:rPr>
        <w:t xml:space="preserve"> (Accessed: 29 April 2025)</w:t>
      </w:r>
    </w:p>
    <w:p w14:paraId="2E852B49" w14:textId="60DE21F1" w:rsidR="78D780FA" w:rsidRDefault="78D780FA" w:rsidP="78D780FA">
      <w:pPr>
        <w:spacing w:after="0" w:line="360" w:lineRule="auto"/>
        <w:rPr>
          <w:rFonts w:ascii="Arial" w:eastAsia="Arial" w:hAnsi="Arial" w:cs="Arial"/>
          <w:color w:val="007A96"/>
          <w:u w:val="single"/>
        </w:rPr>
      </w:pPr>
    </w:p>
    <w:p w14:paraId="45B69A37" w14:textId="5C848736" w:rsidR="42B1995F" w:rsidRDefault="42B1995F" w:rsidP="78D780FA">
      <w:pPr>
        <w:spacing w:after="0" w:line="360" w:lineRule="auto"/>
        <w:rPr>
          <w:rFonts w:ascii="Arial" w:eastAsia="Arial" w:hAnsi="Arial" w:cs="Arial"/>
        </w:rPr>
      </w:pPr>
      <w:r w:rsidRPr="78D780FA">
        <w:rPr>
          <w:rFonts w:ascii="Arial" w:eastAsia="Arial" w:hAnsi="Arial" w:cs="Arial"/>
          <w:color w:val="222222"/>
        </w:rPr>
        <w:t xml:space="preserve">Gupta, A. (2017) Consequences of Iron Deficiency Anaemia. In: Nutritional Anaemia in Preschool Children. </w:t>
      </w:r>
      <w:r w:rsidRPr="78D780FA">
        <w:rPr>
          <w:rFonts w:ascii="Arial" w:eastAsia="Arial" w:hAnsi="Arial" w:cs="Arial"/>
          <w:i/>
          <w:iCs/>
          <w:color w:val="222222"/>
        </w:rPr>
        <w:t>Springer</w:t>
      </w:r>
      <w:r w:rsidRPr="78D780FA">
        <w:rPr>
          <w:rFonts w:ascii="Arial" w:eastAsia="Arial" w:hAnsi="Arial" w:cs="Arial"/>
          <w:color w:val="222222"/>
        </w:rPr>
        <w:t xml:space="preserve">, Singapore. </w:t>
      </w:r>
      <w:hyperlink r:id="rId15">
        <w:r w:rsidRPr="78D780FA">
          <w:rPr>
            <w:rStyle w:val="Hyperlink"/>
            <w:rFonts w:ascii="Arial" w:eastAsia="Arial" w:hAnsi="Arial" w:cs="Arial"/>
          </w:rPr>
          <w:t>https://doi.org/10.1007/978-981-10-5178-4_7</w:t>
        </w:r>
      </w:hyperlink>
    </w:p>
    <w:p w14:paraId="5E98E400" w14:textId="1DEE31D4" w:rsidR="78D780FA" w:rsidRDefault="78D780FA" w:rsidP="78D780FA">
      <w:pPr>
        <w:spacing w:after="0" w:line="360" w:lineRule="auto"/>
        <w:rPr>
          <w:rFonts w:ascii="Arial" w:eastAsia="Arial" w:hAnsi="Arial" w:cs="Arial"/>
          <w:color w:val="007A96"/>
          <w:u w:val="single"/>
        </w:rPr>
      </w:pPr>
    </w:p>
    <w:p w14:paraId="1C9D8A26" w14:textId="324EB468" w:rsidR="42B1995F" w:rsidRDefault="42B1995F" w:rsidP="78D780FA">
      <w:pPr>
        <w:spacing w:after="0" w:line="360" w:lineRule="auto"/>
        <w:rPr>
          <w:rFonts w:ascii="Arial" w:eastAsia="Arial" w:hAnsi="Arial" w:cs="Arial"/>
        </w:rPr>
      </w:pPr>
      <w:r w:rsidRPr="78D780FA">
        <w:rPr>
          <w:rFonts w:ascii="Arial" w:eastAsia="Arial" w:hAnsi="Arial" w:cs="Arial"/>
        </w:rPr>
        <w:t xml:space="preserve">Jimenez, K. et al (2015) ‘Management of iron deficiency anaemia’, </w:t>
      </w:r>
      <w:r w:rsidRPr="78D780FA">
        <w:rPr>
          <w:rFonts w:ascii="Arial" w:eastAsia="Arial" w:hAnsi="Arial" w:cs="Arial"/>
          <w:i/>
          <w:iCs/>
        </w:rPr>
        <w:t>Gastroenterology &amp; Hepatology</w:t>
      </w:r>
      <w:r w:rsidRPr="78D780FA">
        <w:rPr>
          <w:rFonts w:ascii="Arial" w:eastAsia="Arial" w:hAnsi="Arial" w:cs="Arial"/>
        </w:rPr>
        <w:t xml:space="preserve">, Vol 11(4), p. 241. Available at: </w:t>
      </w:r>
      <w:hyperlink r:id="rId16">
        <w:r w:rsidRPr="78D780FA">
          <w:rPr>
            <w:rStyle w:val="Hyperlink"/>
            <w:rFonts w:ascii="Arial" w:eastAsia="Arial" w:hAnsi="Arial" w:cs="Arial"/>
          </w:rPr>
          <w:t>https://pmc.ncbi.nlm.nih.gov/articles/PMC4836595/</w:t>
        </w:r>
      </w:hyperlink>
      <w:r w:rsidRPr="78D780FA">
        <w:rPr>
          <w:rFonts w:ascii="Arial" w:eastAsia="Arial" w:hAnsi="Arial" w:cs="Arial"/>
        </w:rPr>
        <w:t xml:space="preserve"> (Accessed: 27 April 2025)</w:t>
      </w:r>
    </w:p>
    <w:p w14:paraId="73569787" w14:textId="026744A9" w:rsidR="78D780FA" w:rsidRDefault="78D780FA" w:rsidP="78D780FA">
      <w:pPr>
        <w:spacing w:after="0" w:line="360" w:lineRule="auto"/>
        <w:rPr>
          <w:rFonts w:ascii="Arial" w:eastAsia="Arial" w:hAnsi="Arial" w:cs="Arial"/>
        </w:rPr>
      </w:pPr>
    </w:p>
    <w:p w14:paraId="683909D9" w14:textId="2FD321CC" w:rsidR="42B1995F" w:rsidRDefault="42B1995F" w:rsidP="78D780FA">
      <w:pPr>
        <w:shd w:val="clear" w:color="auto" w:fill="FFFFFF" w:themeFill="background1"/>
        <w:spacing w:after="0" w:line="360" w:lineRule="auto"/>
        <w:rPr>
          <w:rFonts w:ascii="Arial" w:eastAsia="Arial" w:hAnsi="Arial" w:cs="Arial"/>
          <w:i/>
          <w:iCs/>
        </w:rPr>
      </w:pPr>
      <w:r w:rsidRPr="78D780FA">
        <w:rPr>
          <w:rFonts w:ascii="Arial" w:eastAsia="Arial" w:hAnsi="Arial" w:cs="Arial"/>
        </w:rPr>
        <w:t xml:space="preserve">Kumar, A (2022) ‘Iron deficiency anaemia: pathophysiology, assessment, practical management’, </w:t>
      </w:r>
      <w:r w:rsidRPr="78D780FA">
        <w:rPr>
          <w:rFonts w:ascii="Arial" w:eastAsia="Arial" w:hAnsi="Arial" w:cs="Arial"/>
          <w:i/>
          <w:iCs/>
        </w:rPr>
        <w:t xml:space="preserve">MBJ Open Gastroenterology, Vol 9(1), pp. 1-9. Available at: DOI: </w:t>
      </w:r>
      <w:hyperlink r:id="rId17">
        <w:r w:rsidRPr="78D780FA">
          <w:rPr>
            <w:rStyle w:val="Hyperlink"/>
            <w:rFonts w:ascii="Arial" w:eastAsia="Arial" w:hAnsi="Arial" w:cs="Arial"/>
          </w:rPr>
          <w:t>10.1136/bmjgast-2021-000759</w:t>
        </w:r>
      </w:hyperlink>
    </w:p>
    <w:p w14:paraId="2E1E86B8" w14:textId="3F7ED1B3" w:rsidR="78D780FA" w:rsidRDefault="78D780FA" w:rsidP="78D780FA">
      <w:pPr>
        <w:shd w:val="clear" w:color="auto" w:fill="FFFFFF" w:themeFill="background1"/>
        <w:spacing w:after="0" w:line="360" w:lineRule="auto"/>
        <w:rPr>
          <w:rFonts w:ascii="Arial" w:eastAsia="Arial" w:hAnsi="Arial" w:cs="Arial"/>
        </w:rPr>
      </w:pPr>
    </w:p>
    <w:p w14:paraId="6972FCA0" w14:textId="2E1383A9" w:rsidR="179E103F" w:rsidRDefault="179E103F" w:rsidP="78D780FA">
      <w:pPr>
        <w:shd w:val="clear" w:color="auto" w:fill="FFFFFF" w:themeFill="background1"/>
        <w:spacing w:after="0" w:line="360" w:lineRule="auto"/>
        <w:rPr>
          <w:rFonts w:ascii="Arial" w:eastAsia="Arial" w:hAnsi="Arial" w:cs="Arial"/>
        </w:rPr>
      </w:pPr>
      <w:r w:rsidRPr="78D780FA">
        <w:rPr>
          <w:rFonts w:ascii="Arial" w:eastAsia="Arial" w:hAnsi="Arial" w:cs="Arial"/>
        </w:rPr>
        <w:t xml:space="preserve">McDowell, L.A. et al (2024) ‘Iron Overload’, </w:t>
      </w:r>
      <w:r w:rsidRPr="78D780FA">
        <w:rPr>
          <w:rFonts w:ascii="Arial" w:eastAsia="Arial" w:hAnsi="Arial" w:cs="Arial"/>
          <w:i/>
          <w:iCs/>
        </w:rPr>
        <w:t xml:space="preserve">National Library of Medicine. </w:t>
      </w:r>
      <w:r w:rsidRPr="78D780FA">
        <w:rPr>
          <w:rFonts w:ascii="Arial" w:eastAsia="Arial" w:hAnsi="Arial" w:cs="Arial"/>
        </w:rPr>
        <w:t>Treasure Island (FL): Starpearls Publishing.</w:t>
      </w:r>
    </w:p>
    <w:p w14:paraId="01BA49B7" w14:textId="4E1B9C02" w:rsidR="78D780FA" w:rsidRDefault="78D780FA" w:rsidP="78D780FA">
      <w:pPr>
        <w:shd w:val="clear" w:color="auto" w:fill="FFFFFF" w:themeFill="background1"/>
        <w:spacing w:after="0" w:line="360" w:lineRule="auto"/>
        <w:rPr>
          <w:rFonts w:ascii="Arial" w:eastAsia="Arial" w:hAnsi="Arial" w:cs="Arial"/>
        </w:rPr>
      </w:pPr>
    </w:p>
    <w:p w14:paraId="42CFFAD9" w14:textId="442C3E9F" w:rsidR="395EE614" w:rsidRDefault="395EE614" w:rsidP="78D780FA">
      <w:pPr>
        <w:spacing w:after="0" w:line="360" w:lineRule="auto"/>
        <w:rPr>
          <w:rFonts w:ascii="Arial" w:eastAsia="Arial" w:hAnsi="Arial" w:cs="Arial"/>
        </w:rPr>
      </w:pPr>
      <w:r w:rsidRPr="78D780FA">
        <w:rPr>
          <w:rFonts w:ascii="Arial" w:eastAsia="Arial" w:hAnsi="Arial" w:cs="Arial"/>
        </w:rPr>
        <w:t>Pasricha, S.R. et al (2</w:t>
      </w:r>
      <w:r w:rsidR="1B550D35" w:rsidRPr="78D780FA">
        <w:rPr>
          <w:rFonts w:ascii="Arial" w:eastAsia="Arial" w:hAnsi="Arial" w:cs="Arial"/>
        </w:rPr>
        <w:t xml:space="preserve">021) ‘Iron deficiency’, </w:t>
      </w:r>
      <w:r w:rsidR="1B550D35" w:rsidRPr="78D780FA">
        <w:rPr>
          <w:rFonts w:ascii="Arial" w:eastAsia="Arial" w:hAnsi="Arial" w:cs="Arial"/>
          <w:i/>
          <w:iCs/>
        </w:rPr>
        <w:t>The Lancet</w:t>
      </w:r>
      <w:r w:rsidR="1B550D35" w:rsidRPr="78D780FA">
        <w:rPr>
          <w:rFonts w:ascii="Arial" w:eastAsia="Arial" w:hAnsi="Arial" w:cs="Arial"/>
        </w:rPr>
        <w:t>, Vol 397(10270), pp. 233-248</w:t>
      </w:r>
      <w:r w:rsidR="1FDFAD46" w:rsidRPr="78D780FA">
        <w:rPr>
          <w:rFonts w:ascii="Arial" w:eastAsia="Arial" w:hAnsi="Arial" w:cs="Arial"/>
        </w:rPr>
        <w:t xml:space="preserve">. Available at: </w:t>
      </w:r>
      <w:hyperlink r:id="rId18">
        <w:r w:rsidR="4E71185A" w:rsidRPr="78D780FA">
          <w:rPr>
            <w:rStyle w:val="Hyperlink"/>
            <w:rFonts w:ascii="Arial" w:eastAsia="Arial" w:hAnsi="Arial" w:cs="Arial"/>
          </w:rPr>
          <w:t>https://www.thelancet.com/article/S0140-6736(20)32594-0/abstract</w:t>
        </w:r>
      </w:hyperlink>
      <w:r w:rsidR="4E71185A" w:rsidRPr="78D780FA">
        <w:rPr>
          <w:rFonts w:ascii="Arial" w:eastAsia="Arial" w:hAnsi="Arial" w:cs="Arial"/>
        </w:rPr>
        <w:t xml:space="preserve"> (Accessed: 27 April 2025)</w:t>
      </w:r>
    </w:p>
    <w:p w14:paraId="2AEDCD4B" w14:textId="29071DAE" w:rsidR="78D780FA" w:rsidRDefault="78D780FA" w:rsidP="78D780FA">
      <w:pPr>
        <w:spacing w:after="0" w:line="360" w:lineRule="auto"/>
        <w:rPr>
          <w:rFonts w:ascii="Arial" w:eastAsia="Arial" w:hAnsi="Arial" w:cs="Arial"/>
        </w:rPr>
      </w:pPr>
    </w:p>
    <w:p w14:paraId="5D37B697" w14:textId="1A65D01B" w:rsidR="63E2E655" w:rsidRDefault="63E2E655" w:rsidP="78D780FA">
      <w:pPr>
        <w:spacing w:after="0" w:line="360" w:lineRule="auto"/>
        <w:rPr>
          <w:rFonts w:ascii="Arial" w:eastAsia="Arial" w:hAnsi="Arial" w:cs="Arial"/>
        </w:rPr>
      </w:pPr>
      <w:r w:rsidRPr="78D780FA">
        <w:rPr>
          <w:rFonts w:ascii="Arial" w:eastAsia="Arial" w:hAnsi="Arial" w:cs="Arial"/>
        </w:rPr>
        <w:t>Romano, A.D ‘</w:t>
      </w:r>
      <w:r w:rsidR="6833133F" w:rsidRPr="78D780FA">
        <w:rPr>
          <w:rFonts w:ascii="Arial" w:eastAsia="Arial" w:hAnsi="Arial" w:cs="Arial"/>
        </w:rPr>
        <w:t xml:space="preserve">Iron deficiency </w:t>
      </w:r>
      <w:r w:rsidR="3ED4D567" w:rsidRPr="78D780FA">
        <w:rPr>
          <w:rFonts w:ascii="Arial" w:eastAsia="Arial" w:hAnsi="Arial" w:cs="Arial"/>
        </w:rPr>
        <w:t>anaemia</w:t>
      </w:r>
      <w:bookmarkStart w:id="8" w:name="_Int_gMdZWSQs"/>
      <w:r w:rsidR="6833133F" w:rsidRPr="78D780FA">
        <w:rPr>
          <w:rFonts w:ascii="Arial" w:eastAsia="Arial" w:hAnsi="Arial" w:cs="Arial"/>
        </w:rPr>
        <w:t>’,</w:t>
      </w:r>
      <w:bookmarkEnd w:id="8"/>
      <w:r w:rsidR="6833133F" w:rsidRPr="78D780FA">
        <w:rPr>
          <w:rFonts w:ascii="Arial" w:eastAsia="Arial" w:hAnsi="Arial" w:cs="Arial"/>
        </w:rPr>
        <w:t xml:space="preserve"> </w:t>
      </w:r>
      <w:r w:rsidR="5D37558E" w:rsidRPr="78D780FA">
        <w:rPr>
          <w:rFonts w:ascii="Arial" w:eastAsia="Arial" w:hAnsi="Arial" w:cs="Arial"/>
          <w:i/>
          <w:iCs/>
        </w:rPr>
        <w:t xml:space="preserve">Management of </w:t>
      </w:r>
      <w:r w:rsidR="10967AD0" w:rsidRPr="78D780FA">
        <w:rPr>
          <w:rFonts w:ascii="Arial" w:eastAsia="Arial" w:hAnsi="Arial" w:cs="Arial"/>
          <w:i/>
          <w:iCs/>
        </w:rPr>
        <w:t>Anaemia</w:t>
      </w:r>
      <w:r w:rsidR="5D37558E" w:rsidRPr="78D780FA">
        <w:rPr>
          <w:rFonts w:ascii="Arial" w:eastAsia="Arial" w:hAnsi="Arial" w:cs="Arial"/>
        </w:rPr>
        <w:t>, Vol</w:t>
      </w:r>
      <w:r w:rsidR="5E994B6C" w:rsidRPr="78D780FA">
        <w:rPr>
          <w:rFonts w:ascii="Arial" w:eastAsia="Arial" w:hAnsi="Arial" w:cs="Arial"/>
        </w:rPr>
        <w:t xml:space="preserve"> 21(11), p. 3821. Available at: DOI: </w:t>
      </w:r>
      <w:hyperlink r:id="rId19">
        <w:r w:rsidR="5E994B6C" w:rsidRPr="78D780FA">
          <w:rPr>
            <w:rStyle w:val="Hyperlink"/>
            <w:rFonts w:ascii="Arial" w:eastAsia="Arial" w:hAnsi="Arial" w:cs="Arial"/>
          </w:rPr>
          <w:t>https://doi.org/10.1007/978-1-4939-7360-6_2</w:t>
        </w:r>
      </w:hyperlink>
    </w:p>
    <w:p w14:paraId="0FC8697F" w14:textId="051F4443" w:rsidR="78D780FA" w:rsidRDefault="78D780FA" w:rsidP="78D780FA">
      <w:pPr>
        <w:spacing w:after="0" w:line="360" w:lineRule="auto"/>
        <w:rPr>
          <w:rFonts w:ascii="Arial" w:eastAsia="Arial" w:hAnsi="Arial" w:cs="Arial"/>
        </w:rPr>
      </w:pPr>
    </w:p>
    <w:p w14:paraId="0A820123" w14:textId="59F46531" w:rsidR="4367F36C" w:rsidRDefault="4367F36C" w:rsidP="78D780FA">
      <w:pPr>
        <w:shd w:val="clear" w:color="auto" w:fill="FFFFFF" w:themeFill="background1"/>
        <w:spacing w:after="0" w:line="360" w:lineRule="auto"/>
        <w:rPr>
          <w:rFonts w:ascii="Arial" w:eastAsia="Arial" w:hAnsi="Arial" w:cs="Arial"/>
        </w:rPr>
      </w:pPr>
      <w:r w:rsidRPr="78D780FA">
        <w:rPr>
          <w:rFonts w:ascii="Arial" w:eastAsia="Arial" w:hAnsi="Arial" w:cs="Arial"/>
        </w:rPr>
        <w:t xml:space="preserve">Spanierman, C.S (2025) Iron toxicity: practice essentials, pathophysiology, epidemiology. Available at: </w:t>
      </w:r>
      <w:hyperlink r:id="rId20">
        <w:r w:rsidRPr="78D780FA">
          <w:rPr>
            <w:rStyle w:val="Hyperlink"/>
            <w:rFonts w:ascii="Arial" w:eastAsia="Arial" w:hAnsi="Arial" w:cs="Arial"/>
          </w:rPr>
          <w:t>https://emedicine.medscape.com/article/815213-overview?form=fpf</w:t>
        </w:r>
      </w:hyperlink>
      <w:r w:rsidRPr="78D780FA">
        <w:rPr>
          <w:rFonts w:ascii="Arial" w:eastAsia="Arial" w:hAnsi="Arial" w:cs="Arial"/>
        </w:rPr>
        <w:t xml:space="preserve"> (Accessed: 28 April 2025)</w:t>
      </w:r>
    </w:p>
    <w:p w14:paraId="3FC64E85" w14:textId="0C01B60E" w:rsidR="78D780FA" w:rsidRDefault="78D780FA" w:rsidP="78D780FA">
      <w:pPr>
        <w:shd w:val="clear" w:color="auto" w:fill="FFFFFF" w:themeFill="background1"/>
        <w:spacing w:after="0" w:line="360" w:lineRule="auto"/>
        <w:rPr>
          <w:rFonts w:ascii="Arial" w:eastAsia="Arial" w:hAnsi="Arial" w:cs="Arial"/>
        </w:rPr>
      </w:pPr>
    </w:p>
    <w:p w14:paraId="770396FA" w14:textId="3DA8AF58" w:rsidR="4367F36C" w:rsidRDefault="4367F36C" w:rsidP="78D780FA">
      <w:pPr>
        <w:shd w:val="clear" w:color="auto" w:fill="FFFFFF" w:themeFill="background1"/>
        <w:spacing w:after="0" w:line="360" w:lineRule="auto"/>
        <w:rPr>
          <w:rFonts w:ascii="Arial" w:eastAsia="Arial" w:hAnsi="Arial" w:cs="Arial"/>
        </w:rPr>
      </w:pPr>
      <w:r w:rsidRPr="78D780FA">
        <w:rPr>
          <w:rFonts w:ascii="Arial" w:eastAsia="Arial" w:hAnsi="Arial" w:cs="Arial"/>
        </w:rPr>
        <w:t>Slywitch, E (2021) ‘Iron deficiency in vegetarian and omnivorous individuals: analysis of 1340 individua's’,</w:t>
      </w:r>
      <w:r w:rsidRPr="78D780FA">
        <w:rPr>
          <w:rFonts w:ascii="Arial" w:eastAsia="Arial" w:hAnsi="Arial" w:cs="Arial"/>
          <w:i/>
          <w:iCs/>
        </w:rPr>
        <w:t xml:space="preserve"> Nutrients</w:t>
      </w:r>
      <w:r w:rsidRPr="78D780FA">
        <w:rPr>
          <w:rFonts w:ascii="Arial" w:eastAsia="Arial" w:hAnsi="Arial" w:cs="Arial"/>
        </w:rPr>
        <w:t xml:space="preserve">, Vol 13(9), p. 2964. Available at: DOI: </w:t>
      </w:r>
      <w:hyperlink r:id="rId21">
        <w:r w:rsidRPr="78D780FA">
          <w:rPr>
            <w:rStyle w:val="Hyperlink"/>
            <w:rFonts w:ascii="Arial" w:eastAsia="Arial" w:hAnsi="Arial" w:cs="Arial"/>
          </w:rPr>
          <w:t>10.3390/nu13092964</w:t>
        </w:r>
      </w:hyperlink>
    </w:p>
    <w:p w14:paraId="208F26EA" w14:textId="5A665F1C" w:rsidR="78D780FA" w:rsidRDefault="78D780FA" w:rsidP="78D780FA">
      <w:pPr>
        <w:spacing w:after="0" w:line="360" w:lineRule="auto"/>
        <w:rPr>
          <w:rFonts w:ascii="Arial" w:eastAsia="Arial" w:hAnsi="Arial" w:cs="Arial"/>
        </w:rPr>
      </w:pPr>
    </w:p>
    <w:p w14:paraId="465AE608" w14:textId="16047E17" w:rsidR="583179E9" w:rsidRDefault="583179E9" w:rsidP="78D780FA">
      <w:pPr>
        <w:spacing w:after="0" w:line="360" w:lineRule="auto"/>
        <w:rPr>
          <w:rFonts w:ascii="Arial" w:eastAsia="Arial" w:hAnsi="Arial" w:cs="Arial"/>
        </w:rPr>
      </w:pPr>
      <w:r w:rsidRPr="78D780FA">
        <w:rPr>
          <w:rFonts w:ascii="Arial" w:eastAsia="Arial" w:hAnsi="Arial" w:cs="Arial"/>
        </w:rPr>
        <w:lastRenderedPageBreak/>
        <w:t xml:space="preserve">Subramaniam, G and Girish, M (2015) ‘Iron deficiency anaemia in children’, </w:t>
      </w:r>
      <w:r w:rsidRPr="78D780FA">
        <w:rPr>
          <w:rFonts w:ascii="Arial" w:eastAsia="Arial" w:hAnsi="Arial" w:cs="Arial"/>
          <w:i/>
          <w:iCs/>
        </w:rPr>
        <w:t xml:space="preserve">The Indian </w:t>
      </w:r>
      <w:r w:rsidR="315CA338" w:rsidRPr="78D780FA">
        <w:rPr>
          <w:rFonts w:ascii="Arial" w:eastAsia="Arial" w:hAnsi="Arial" w:cs="Arial"/>
          <w:i/>
          <w:iCs/>
        </w:rPr>
        <w:t>Journal of Paediatrics</w:t>
      </w:r>
      <w:r w:rsidR="315CA338" w:rsidRPr="78D780FA">
        <w:rPr>
          <w:rFonts w:ascii="Arial" w:eastAsia="Arial" w:hAnsi="Arial" w:cs="Arial"/>
        </w:rPr>
        <w:t xml:space="preserve">, Vol 82(6), pp. 558-568. Available at: DOI: </w:t>
      </w:r>
      <w:hyperlink r:id="rId22">
        <w:r w:rsidR="315CA338" w:rsidRPr="78D780FA">
          <w:rPr>
            <w:rStyle w:val="Hyperlink"/>
            <w:rFonts w:ascii="Arial" w:eastAsia="Arial" w:hAnsi="Arial" w:cs="Arial"/>
          </w:rPr>
          <w:t>https://doi.org/10.1007/s12098-014-1643-9</w:t>
        </w:r>
      </w:hyperlink>
    </w:p>
    <w:p w14:paraId="2F3CFBE6" w14:textId="58BFEA71" w:rsidR="78D780FA" w:rsidRDefault="78D780FA" w:rsidP="78D780FA">
      <w:pPr>
        <w:spacing w:after="0" w:line="360" w:lineRule="auto"/>
        <w:rPr>
          <w:rFonts w:ascii="Arial" w:eastAsia="Arial" w:hAnsi="Arial" w:cs="Arial"/>
        </w:rPr>
      </w:pPr>
    </w:p>
    <w:p w14:paraId="1F97BEAC" w14:textId="3F3E5AC6" w:rsidR="0324B658" w:rsidRDefault="0324B658" w:rsidP="78D780FA">
      <w:pPr>
        <w:shd w:val="clear" w:color="auto" w:fill="FFFFFF" w:themeFill="background1"/>
        <w:spacing w:after="0" w:line="360" w:lineRule="auto"/>
        <w:rPr>
          <w:rFonts w:ascii="Arial" w:eastAsia="Arial" w:hAnsi="Arial" w:cs="Arial"/>
        </w:rPr>
      </w:pPr>
      <w:r w:rsidRPr="78D780FA">
        <w:rPr>
          <w:rFonts w:ascii="Arial" w:eastAsia="Arial" w:hAnsi="Arial" w:cs="Arial"/>
        </w:rPr>
        <w:t>Yuen, H.W. and Becker, W (2023)</w:t>
      </w:r>
      <w:r w:rsidRPr="78D780FA">
        <w:rPr>
          <w:rFonts w:ascii="Arial" w:eastAsia="Arial" w:hAnsi="Arial" w:cs="Arial"/>
          <w:i/>
          <w:iCs/>
        </w:rPr>
        <w:t xml:space="preserve"> ‘</w:t>
      </w:r>
      <w:r w:rsidRPr="78D780FA">
        <w:rPr>
          <w:rFonts w:ascii="Arial" w:eastAsia="Arial" w:hAnsi="Arial" w:cs="Arial"/>
        </w:rPr>
        <w:t xml:space="preserve">Iron </w:t>
      </w:r>
      <w:r w:rsidR="1AA5BAEF" w:rsidRPr="78D780FA">
        <w:rPr>
          <w:rFonts w:ascii="Arial" w:eastAsia="Arial" w:hAnsi="Arial" w:cs="Arial"/>
        </w:rPr>
        <w:t>Toxicity</w:t>
      </w:r>
      <w:r w:rsidRPr="78D780FA">
        <w:rPr>
          <w:rFonts w:ascii="Arial" w:eastAsia="Arial" w:hAnsi="Arial" w:cs="Arial"/>
        </w:rPr>
        <w:t>,</w:t>
      </w:r>
      <w:r w:rsidRPr="78D780FA">
        <w:rPr>
          <w:rFonts w:ascii="Arial" w:eastAsia="Arial" w:hAnsi="Arial" w:cs="Arial"/>
          <w:i/>
          <w:iCs/>
        </w:rPr>
        <w:t xml:space="preserve"> National Lib</w:t>
      </w:r>
      <w:r w:rsidR="192F8F64" w:rsidRPr="78D780FA">
        <w:rPr>
          <w:rFonts w:ascii="Arial" w:eastAsia="Arial" w:hAnsi="Arial" w:cs="Arial"/>
          <w:i/>
          <w:iCs/>
        </w:rPr>
        <w:t>rary of Medicine</w:t>
      </w:r>
      <w:r w:rsidRPr="78D780FA">
        <w:rPr>
          <w:rFonts w:ascii="Arial" w:eastAsia="Arial" w:hAnsi="Arial" w:cs="Arial"/>
        </w:rPr>
        <w:t xml:space="preserve">. Available at: </w:t>
      </w:r>
      <w:hyperlink r:id="rId23">
        <w:r w:rsidRPr="78D780FA">
          <w:rPr>
            <w:rStyle w:val="Hyperlink"/>
            <w:rFonts w:ascii="Arial" w:eastAsia="Arial" w:hAnsi="Arial" w:cs="Arial"/>
          </w:rPr>
          <w:t>https://www.ncbi.nlm.nih.gov/sites/books/NBK459224/</w:t>
        </w:r>
      </w:hyperlink>
      <w:r w:rsidRPr="78D780FA">
        <w:rPr>
          <w:rFonts w:ascii="Arial" w:eastAsia="Arial" w:hAnsi="Arial" w:cs="Arial"/>
        </w:rPr>
        <w:t xml:space="preserve"> </w:t>
      </w:r>
      <w:r w:rsidR="4F44C1B9" w:rsidRPr="78D780FA">
        <w:rPr>
          <w:rFonts w:ascii="Arial" w:eastAsia="Arial" w:hAnsi="Arial" w:cs="Arial"/>
        </w:rPr>
        <w:t>(</w:t>
      </w:r>
      <w:r w:rsidRPr="78D780FA">
        <w:rPr>
          <w:rFonts w:ascii="Arial" w:eastAsia="Arial" w:hAnsi="Arial" w:cs="Arial"/>
        </w:rPr>
        <w:t>Accessed 29 April 2025</w:t>
      </w:r>
      <w:r w:rsidR="20E9F1AE" w:rsidRPr="78D780FA">
        <w:rPr>
          <w:rFonts w:ascii="Arial" w:eastAsia="Arial" w:hAnsi="Arial" w:cs="Arial"/>
        </w:rPr>
        <w:t>)</w:t>
      </w:r>
    </w:p>
    <w:sectPr w:rsidR="0324B658">
      <w:headerReference w:type="default" r:id="rId24"/>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F5F9E" w14:textId="77777777" w:rsidR="00520F08" w:rsidRDefault="00520F08">
      <w:pPr>
        <w:spacing w:after="0" w:line="240" w:lineRule="auto"/>
      </w:pPr>
      <w:r>
        <w:separator/>
      </w:r>
    </w:p>
  </w:endnote>
  <w:endnote w:type="continuationSeparator" w:id="0">
    <w:p w14:paraId="72E89BEA" w14:textId="77777777" w:rsidR="00520F08" w:rsidRDefault="00520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8D780FA" w14:paraId="603A5CE0" w14:textId="77777777" w:rsidTr="78D780FA">
      <w:trPr>
        <w:trHeight w:val="300"/>
      </w:trPr>
      <w:tc>
        <w:tcPr>
          <w:tcW w:w="3005" w:type="dxa"/>
        </w:tcPr>
        <w:p w14:paraId="7A733F8E" w14:textId="641DFEFC" w:rsidR="78D780FA" w:rsidRDefault="78D780FA" w:rsidP="78D780FA">
          <w:pPr>
            <w:pStyle w:val="Header"/>
            <w:ind w:left="-115"/>
          </w:pPr>
        </w:p>
      </w:tc>
      <w:tc>
        <w:tcPr>
          <w:tcW w:w="3005" w:type="dxa"/>
        </w:tcPr>
        <w:p w14:paraId="2868C58C" w14:textId="44CC24CA" w:rsidR="78D780FA" w:rsidRDefault="78D780FA" w:rsidP="78D780FA">
          <w:pPr>
            <w:pStyle w:val="Header"/>
            <w:jc w:val="center"/>
          </w:pPr>
        </w:p>
      </w:tc>
      <w:tc>
        <w:tcPr>
          <w:tcW w:w="3005" w:type="dxa"/>
        </w:tcPr>
        <w:p w14:paraId="2F602830" w14:textId="4BCB0131" w:rsidR="78D780FA" w:rsidRDefault="78D780FA" w:rsidP="78D780FA">
          <w:pPr>
            <w:pStyle w:val="Header"/>
            <w:ind w:right="-115"/>
            <w:jc w:val="right"/>
          </w:pPr>
        </w:p>
      </w:tc>
    </w:tr>
  </w:tbl>
  <w:p w14:paraId="3611CD28" w14:textId="086DB6B0" w:rsidR="78D780FA" w:rsidRDefault="78D780FA" w:rsidP="78D780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763752" w14:textId="77777777" w:rsidR="00520F08" w:rsidRDefault="00520F08">
      <w:pPr>
        <w:spacing w:after="0" w:line="240" w:lineRule="auto"/>
      </w:pPr>
      <w:r>
        <w:separator/>
      </w:r>
    </w:p>
  </w:footnote>
  <w:footnote w:type="continuationSeparator" w:id="0">
    <w:p w14:paraId="18D79CBF" w14:textId="77777777" w:rsidR="00520F08" w:rsidRDefault="00520F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390"/>
      <w:gridCol w:w="2620"/>
      <w:gridCol w:w="3005"/>
    </w:tblGrid>
    <w:tr w:rsidR="78D780FA" w14:paraId="3FAA0700" w14:textId="77777777" w:rsidTr="78D780FA">
      <w:trPr>
        <w:trHeight w:val="300"/>
      </w:trPr>
      <w:tc>
        <w:tcPr>
          <w:tcW w:w="3390" w:type="dxa"/>
        </w:tcPr>
        <w:p w14:paraId="3994B36D" w14:textId="3DA521C7" w:rsidR="78D780FA" w:rsidRDefault="78D780FA" w:rsidP="78D780FA">
          <w:pPr>
            <w:pStyle w:val="Header"/>
            <w:ind w:left="-115"/>
            <w:rPr>
              <w:rFonts w:ascii="Arial" w:eastAsia="Arial" w:hAnsi="Arial" w:cs="Arial"/>
            </w:rPr>
          </w:pPr>
          <w:r w:rsidRPr="78D780FA">
            <w:rPr>
              <w:rFonts w:ascii="Arial" w:eastAsia="Arial" w:hAnsi="Arial" w:cs="Arial"/>
            </w:rPr>
            <w:t>Amelie Preece</w:t>
          </w:r>
        </w:p>
        <w:p w14:paraId="2C066D2C" w14:textId="1D2F077C" w:rsidR="78D780FA" w:rsidRDefault="78D780FA" w:rsidP="78D780FA">
          <w:pPr>
            <w:pStyle w:val="Header"/>
            <w:ind w:left="-115"/>
            <w:rPr>
              <w:rFonts w:ascii="Arial" w:eastAsia="Arial" w:hAnsi="Arial" w:cs="Arial"/>
            </w:rPr>
          </w:pPr>
          <w:r w:rsidRPr="78D780FA">
            <w:rPr>
              <w:rFonts w:ascii="Arial" w:eastAsia="Arial" w:hAnsi="Arial" w:cs="Arial"/>
            </w:rPr>
            <w:t>2400928</w:t>
          </w:r>
        </w:p>
        <w:p w14:paraId="42ED466D" w14:textId="5956DDC6" w:rsidR="78D780FA" w:rsidRDefault="78D780FA" w:rsidP="78D780FA">
          <w:pPr>
            <w:pStyle w:val="Header"/>
            <w:ind w:left="-115"/>
            <w:rPr>
              <w:rFonts w:ascii="Arial" w:eastAsia="Arial" w:hAnsi="Arial" w:cs="Arial"/>
              <w:u w:val="single"/>
            </w:rPr>
          </w:pPr>
          <w:r w:rsidRPr="78D780FA">
            <w:rPr>
              <w:rFonts w:ascii="Arial" w:eastAsia="Arial" w:hAnsi="Arial" w:cs="Arial"/>
            </w:rPr>
            <w:t>Health, Nutrition &amp; Lifestyle</w:t>
          </w:r>
        </w:p>
      </w:tc>
      <w:tc>
        <w:tcPr>
          <w:tcW w:w="2620" w:type="dxa"/>
        </w:tcPr>
        <w:p w14:paraId="2EF5ACA0" w14:textId="2254E676" w:rsidR="78D780FA" w:rsidRDefault="78D780FA" w:rsidP="78D780FA">
          <w:pPr>
            <w:pStyle w:val="Header"/>
            <w:jc w:val="center"/>
          </w:pPr>
        </w:p>
      </w:tc>
      <w:tc>
        <w:tcPr>
          <w:tcW w:w="3005" w:type="dxa"/>
        </w:tcPr>
        <w:p w14:paraId="10CAEB7C" w14:textId="6B372EE9" w:rsidR="78D780FA" w:rsidRDefault="78D780FA" w:rsidP="78D780FA">
          <w:pPr>
            <w:pStyle w:val="Header"/>
            <w:ind w:right="-115"/>
            <w:jc w:val="right"/>
          </w:pPr>
        </w:p>
      </w:tc>
    </w:tr>
  </w:tbl>
  <w:p w14:paraId="6CF8CD3A" w14:textId="4D4C2B76" w:rsidR="78D780FA" w:rsidRDefault="78D780FA" w:rsidP="78D780FA">
    <w:pPr>
      <w:pStyle w:val="Header"/>
    </w:pPr>
  </w:p>
</w:hdr>
</file>

<file path=word/intelligence2.xml><?xml version="1.0" encoding="utf-8"?>
<int2:intelligence xmlns:int2="http://schemas.microsoft.com/office/intelligence/2020/intelligence" xmlns:oel="http://schemas.microsoft.com/office/2019/extlst">
  <int2:observations>
    <int2:textHash int2:hashCode="xqer4X2hhdb8Rg" int2:id="N2rUlEQM">
      <int2:state int2:value="Rejected" int2:type="AugLoop_Text_Critique"/>
    </int2:textHash>
    <int2:textHash int2:hashCode="ajS1tdegZHtCq9" int2:id="8qswKRbH">
      <int2:state int2:value="Rejected" int2:type="AugLoop_Text_Critique"/>
    </int2:textHash>
    <int2:textHash int2:hashCode="RgmTomM/zT8C7t" int2:id="KlH9W5HV">
      <int2:state int2:value="Rejected" int2:type="AugLoop_Text_Critique"/>
    </int2:textHash>
    <int2:textHash int2:hashCode="8u/d5WAyCETxi1" int2:id="Piy6vH21">
      <int2:state int2:value="Rejected" int2:type="AugLoop_Text_Critique"/>
    </int2:textHash>
    <int2:textHash int2:hashCode="QCT/XiadPAWhKH" int2:id="qTgF9gyz">
      <int2:state int2:value="Rejected" int2:type="AugLoop_Text_Critique"/>
    </int2:textHash>
    <int2:textHash int2:hashCode="u75GKnsM2dLFul" int2:id="gvqK6HQb">
      <int2:state int2:value="Rejected" int2:type="AugLoop_Text_Critique"/>
    </int2:textHash>
    <int2:textHash int2:hashCode="2eHabk5F0VCC2e" int2:id="V88yMl6Y">
      <int2:state int2:value="Rejected" int2:type="AugLoop_Text_Critique"/>
    </int2:textHash>
    <int2:textHash int2:hashCode="1Q9Zi+uGVybGjn" int2:id="cvvai8Sz">
      <int2:state int2:value="Rejected" int2:type="AugLoop_Text_Critique"/>
    </int2:textHash>
    <int2:textHash int2:hashCode="o41K9cazlaaM6s" int2:id="VZoAfaIu">
      <int2:state int2:value="Rejected" int2:type="AugLoop_Text_Critique"/>
    </int2:textHash>
    <int2:textHash int2:hashCode="AUggP9Q/DKyL5h" int2:id="fbctXevg">
      <int2:state int2:value="Rejected" int2:type="AugLoop_Text_Critique"/>
    </int2:textHash>
    <int2:textHash int2:hashCode="R4XFmPOz/2rHCw" int2:id="fVuFyOJN">
      <int2:state int2:value="Rejected" int2:type="AugLoop_Text_Critique"/>
    </int2:textHash>
    <int2:textHash int2:hashCode="x00krGOj6K7hP7" int2:id="DNuyAgtQ">
      <int2:state int2:value="Rejected" int2:type="AugLoop_Text_Critique"/>
    </int2:textHash>
    <int2:textHash int2:hashCode="lQ2cwYAb4whP+W" int2:id="ez7gJZ84">
      <int2:state int2:value="Rejected" int2:type="AugLoop_Text_Critique"/>
    </int2:textHash>
    <int2:textHash int2:hashCode="ZfA+78ebLrtVvm" int2:id="bKPrBxBb">
      <int2:state int2:value="Rejected" int2:type="AugLoop_Text_Critique"/>
    </int2:textHash>
    <int2:textHash int2:hashCode="yTnQB51G7KooK+" int2:id="dS9P723v">
      <int2:state int2:value="Rejected" int2:type="AugLoop_Text_Critique"/>
    </int2:textHash>
    <int2:textHash int2:hashCode="Y7rxyEYEGk+h8X" int2:id="4E7vq6is">
      <int2:state int2:value="Rejected" int2:type="AugLoop_Text_Critique"/>
    </int2:textHash>
    <int2:textHash int2:hashCode="t4upYyh6lIovNd" int2:id="gaxrFHhl">
      <int2:state int2:value="Rejected" int2:type="AugLoop_Text_Critique"/>
    </int2:textHash>
    <int2:bookmark int2:bookmarkName="_Int_SkQWp9YN" int2:invalidationBookmarkName="" int2:hashCode="Go5fu4Vua5BnE3" int2:id="WvYYVY4j">
      <int2:extLst>
        <oel:ext uri="426473B9-03D8-482F-96C9-C2C85392BACA">
          <int2:similarityCritique int2:version="1" int2:context="Gattermann, N. et al (2021) ‘The evaluation of iron deficiency and iron overload’, Deutsches Arzteblatt International, Vol 118(49), pp. 847-856.">
            <int2:source int2:sourceType="Online" int2:sourceTitle="Iron-Binding Capacity | Treatment &amp; Management | Point of Care - StatPearls" int2:sourceUrl="https://www.statpearls.com/point-of-care/36441" int2:sourceSnippet="Gattermann N, Muckenthaler MU, Kulozik AE, Metzgeroth G, Hastka J. The Evaluation of Iron Deficiency and Iron Overload. Deutsches Arzteblatt international. 2021 Dec 10:118(49):847-856. doi: 10.3238/arztebl.m2021.0290. Epub [PubMed PMID: 34755596] Hawkins RC. Total iron binding capacity or transferrin concentration alone outperforms iron and ...">
              <int2:suggestions int2:citationType="Inline">
                <int2:suggestion int2:citationStyle="Mla" int2:isIdentical="0">
                  <int2:citationText>(“Iron-Binding Capacity | Treatment &amp; Management | Point of Care - StatPearls”)</int2:citationText>
                </int2:suggestion>
                <int2:suggestion int2:citationStyle="Apa" int2:isIdentical="0">
                  <int2:citationText>(“Iron-Binding Capacity | Treatment &amp; Management | Point of Care - StatPearls”)</int2:citationText>
                </int2:suggestion>
                <int2:suggestion int2:citationStyle="Chicago" int2:isIdentical="0">
                  <int2:citationText>(“Iron-Binding Capacity | Treatment &amp; Management | Point of Care - StatPearls”)</int2:citationText>
                </int2:suggestion>
              </int2:suggestions>
              <int2:suggestions int2:citationType="Full">
                <int2:suggestion int2:citationStyle="Mla" int2:isIdentical="0">
                  <int2:citationText>&lt;i&gt;Iron-Binding Capacity | Treatment &amp; Management | Point of Care - StatPearls&lt;/i&gt;, https://www.statpearls.com/point-of-care/36441.</int2:citationText>
                </int2:suggestion>
                <int2:suggestion int2:citationStyle="Apa" int2:isIdentical="0">
                  <int2:citationText>&lt;i&gt;Iron-Binding Capacity | Treatment &amp; Management | Point of Care - StatPearls&lt;/i&gt;. (n.d.). Retrieved from https://www.statpearls.com/point-of-care/36441</int2:citationText>
                </int2:suggestion>
                <int2:suggestion int2:citationStyle="Chicago" int2:isIdentical="0">
                  <int2:citationText>“Iron-Binding Capacity | Treatment &amp; Management | Point of Care - StatPearls” n.d., https://www.statpearls.com/point-of-care/36441.</int2:citationText>
                </int2:suggestion>
              </int2:suggestions>
            </int2:source>
          </int2:similarityCritique>
        </oel:ext>
      </int2:extLst>
    </int2:bookmark>
    <int2:bookmark int2:bookmarkName="_Int_WJnbfKd6" int2:invalidationBookmarkName="" int2:hashCode="Zm54EeyrqL8CiU" int2:id="qkWeux5D">
      <int2:extLst>
        <oel:ext uri="426473B9-03D8-482F-96C9-C2C85392BACA">
          <int2:similarityCritique int2:version="1" int2:context="Iron is one of the most common nutritional deficiencies in the world.">
            <int2:source int2:sourceType="Online" int2:sourceTitle="4 Nutrient Deficiencies That Are More Common Than You Think" int2:sourceUrl="https://tyemedical.com/blog/4-nutrient-deficiencies-that-are-more-common-than-you-think/" int2:sourceSnippet="Iron deficiency affects over 25% of the world’s population and is one of the most common nutritional deficiencies in the world. Surprisingly, preschool children are most affected by iron deficiency, even more so than the elderly population. Iron deficiency affects about 47% of pre-school age children.">
              <int2:suggestions int2:citationType="Inline">
                <int2:suggestion int2:citationStyle="Mla" int2:isIdentical="0">
                  <int2:citationText>(“4 Nutrient Deficiencies That Are More Common Than You Think”)</int2:citationText>
                </int2:suggestion>
                <int2:suggestion int2:citationStyle="Apa" int2:isIdentical="0">
                  <int2:citationText>(“4 Nutrient Deficiencies That Are More Common Than You Think”)</int2:citationText>
                </int2:suggestion>
                <int2:suggestion int2:citationStyle="Chicago" int2:isIdentical="0">
                  <int2:citationText>(“4 Nutrient Deficiencies That Are More Common Than You Think”)</int2:citationText>
                </int2:suggestion>
              </int2:suggestions>
              <int2:suggestions int2:citationType="Full">
                <int2:suggestion int2:citationStyle="Mla" int2:isIdentical="0">
                  <int2:citationText>&lt;i&gt;4 Nutrient Deficiencies That Are More Common Than You Think&lt;/i&gt;, https://tyemedical.com/blog/4-nutrient-deficiencies-that-are-more-common-than-you-think/.</int2:citationText>
                </int2:suggestion>
                <int2:suggestion int2:citationStyle="Apa" int2:isIdentical="0">
                  <int2:citationText>&lt;i&gt;4 Nutrient Deficiencies That Are More Common Than You Think&lt;/i&gt;. (n.d.). Retrieved from https://tyemedical.com/blog/4-nutrient-deficiencies-that-are-more-common-than-you-think/</int2:citationText>
                </int2:suggestion>
                <int2:suggestion int2:citationStyle="Chicago" int2:isIdentical="0">
                  <int2:citationText>“4 Nutrient Deficiencies That Are More Common Than You Think” n.d., https://tyemedical.com/blog/4-nutrient-deficiencies-that-are-more-common-than-you-think/.</int2:citationText>
                </int2:suggestion>
              </int2:suggestions>
            </int2:source>
          </int2:similarityCritique>
        </oel:ext>
      </int2:extLst>
    </int2:bookmark>
    <int2:bookmark int2:bookmarkName="_Int_5imftelo" int2:invalidationBookmarkName="" int2:hashCode="RPVnd9r7ebCxT3" int2:id="G7e4qVeu">
      <int2:state int2:value="Rejected" int2:type="AugLoop_Text_Critique"/>
    </int2:bookmark>
    <int2:bookmark int2:bookmarkName="_Int_ohuYYZSk" int2:invalidationBookmarkName="" int2:hashCode="/mtLUM7HYcrLaL" int2:id="5KivquBO">
      <int2:state int2:value="Rejected" int2:type="AugLoop_Text_Critique"/>
    </int2:bookmark>
    <int2:bookmark int2:bookmarkName="_Int_VXP2yh2q" int2:invalidationBookmarkName="" int2:hashCode="nbhFryqySL+A3D" int2:id="EHehXz2g">
      <int2:state int2:value="Rejected" int2:type="AugLoop_Text_Critique"/>
    </int2:bookmark>
    <int2:bookmark int2:bookmarkName="_Int_tHga92oA" int2:invalidationBookmarkName="" int2:hashCode="cr/bh4tx5n3VPo" int2:id="Lozg3pKO">
      <int2:state int2:value="Rejected" int2:type="AugLoop_Text_Critique"/>
    </int2:bookmark>
    <int2:bookmark int2:bookmarkName="_Int_gMdZWSQs" int2:invalidationBookmarkName="" int2:hashCode="NkPdJ9i9g1wpGP" int2:id="Q2kgrPpn">
      <int2:state int2:value="Rejected" int2:type="AugLoop_Text_Critique"/>
    </int2:bookmark>
    <int2:bookmark int2:bookmarkName="_Int_ajpeUuUj" int2:invalidationBookmarkName="" int2:hashCode="CTnD/lwNXSv/QN" int2:id="PkPmds5Z">
      <int2:state int2:value="Rejected" int2:type="AugLoop_Text_Critique"/>
    </int2:bookmark>
    <int2:bookmark int2:bookmarkName="_Int_wSsgoq0m" int2:invalidationBookmarkName="" int2:hashCode="pZGmU5Q5PUeaBE" int2:id="Eze0moAd">
      <int2:state int2:value="Rejected" int2:type="AugLoop_Text_Critique"/>
    </int2:bookmark>
    <int2:entireDocument int2:id="hUsV5CUN">
      <int2:extLst>
        <oel:ext uri="E302BA01-7950-474C-9AD3-286E660C40A8">
          <int2:similaritySummary int2:version="1" int2:runId="1746085979887" int2:tilesCheckedInThisRun="2" int2:totalNumOfTiles="28" int2:similarityAnnotationCount="2" int2:numWords="1497" int2:numFlaggedWords="33"/>
        </oel:ext>
      </int2:extLst>
    </int2:entireDocument>
  </int2:observations>
  <int2:intelligenceSettings/>
  <int2:onDemandWorkflows>
    <int2:onDemandWorkflow int2:type="SimilarityCheck" int2:paragraphVersions="086B3233-352BE21D 7682D4A5-39E8278B 0CE8AE47-6AFC420F 137ACFE7-31F5A6EB 42D1BD49-7D91A850 707599EA-2D1D1BD4 6A190F4D-3EE27894 49A0E3F6-6C25924F 56302E8C-7BE3EF85 386963CE-7804EFDA 678C2DB1-10F2FDA6 5F2AA1D7-72BD8492 6BA85BE3-755A7294 56F5EE2D-174ABE60 6EDEFB50-28D2C673 5F30C96A-2A2F718A 47FBCDD1-4C08C368 2D76211C-27076B1B 7033BDD8-58B8C58D 03BFD61F-672541F4 169AD0DA-5F5FCB65 48CD322F-7004602F 4214B09D-6E370F0A 362A6609-5C23744A 1E1C438E-7CC8CEF2 61B7ED2A-492A3A76 39C27D30-3D7D9E06 27DC901B-39C1AC44 2E852B49-60DE21F1 45B69A37-5C848736 5E98E400-1DEE31D4 1C9D8A26-324EB468 73569787-026744A9 683909D9-2FD321CC 2E1E86B8-3F7ED1B3 6972FCA0-2E1383A9 01BA49B7-4E1B9C02 42CFFAD9-442C3E9F 2AEDCD4B-29071DAE 5D37B697-1A65D01B 0FC8697F-051F4443 0A820123-59F46531 3FC64E85-0C01B60E 770396FA-3DA8AF58 208F26EA-5A665F1C 465AE608-16047E17 2F3CFBE6-58BFEA71 1F97BEAC-3F3E5AC6 3994B36D-3DA521C7 2C066D2C-1D2F077C 42ED466D-5956DDC6 2EF5ACA0-2254E676 10CAEB7C-6B372EE9 6CF8CD3A-4D4C2B76 7A733F8E-641DFEFC 2868C58C-44CC24CA 2F602830-4BCB0131 3611CD28-086DB6B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0671F"/>
    <w:multiLevelType w:val="hybridMultilevel"/>
    <w:tmpl w:val="FFFFFFFF"/>
    <w:lvl w:ilvl="0" w:tplc="704A37D6">
      <w:start w:val="1"/>
      <w:numFmt w:val="bullet"/>
      <w:lvlText w:val=""/>
      <w:lvlJc w:val="left"/>
      <w:pPr>
        <w:ind w:left="720" w:hanging="360"/>
      </w:pPr>
      <w:rPr>
        <w:rFonts w:ascii="Symbol" w:hAnsi="Symbol" w:hint="default"/>
      </w:rPr>
    </w:lvl>
    <w:lvl w:ilvl="1" w:tplc="591888AA">
      <w:start w:val="1"/>
      <w:numFmt w:val="bullet"/>
      <w:lvlText w:val="o"/>
      <w:lvlJc w:val="left"/>
      <w:pPr>
        <w:ind w:left="1440" w:hanging="360"/>
      </w:pPr>
      <w:rPr>
        <w:rFonts w:ascii="Courier New" w:hAnsi="Courier New" w:hint="default"/>
      </w:rPr>
    </w:lvl>
    <w:lvl w:ilvl="2" w:tplc="617AEFE8">
      <w:start w:val="1"/>
      <w:numFmt w:val="bullet"/>
      <w:lvlText w:val=""/>
      <w:lvlJc w:val="left"/>
      <w:pPr>
        <w:ind w:left="2160" w:hanging="360"/>
      </w:pPr>
      <w:rPr>
        <w:rFonts w:ascii="Wingdings" w:hAnsi="Wingdings" w:hint="default"/>
      </w:rPr>
    </w:lvl>
    <w:lvl w:ilvl="3" w:tplc="371EDFC4">
      <w:start w:val="1"/>
      <w:numFmt w:val="bullet"/>
      <w:lvlText w:val=""/>
      <w:lvlJc w:val="left"/>
      <w:pPr>
        <w:ind w:left="2880" w:hanging="360"/>
      </w:pPr>
      <w:rPr>
        <w:rFonts w:ascii="Symbol" w:hAnsi="Symbol" w:hint="default"/>
      </w:rPr>
    </w:lvl>
    <w:lvl w:ilvl="4" w:tplc="184431E6">
      <w:start w:val="1"/>
      <w:numFmt w:val="bullet"/>
      <w:lvlText w:val="o"/>
      <w:lvlJc w:val="left"/>
      <w:pPr>
        <w:ind w:left="3600" w:hanging="360"/>
      </w:pPr>
      <w:rPr>
        <w:rFonts w:ascii="Courier New" w:hAnsi="Courier New" w:hint="default"/>
      </w:rPr>
    </w:lvl>
    <w:lvl w:ilvl="5" w:tplc="C5E8052A">
      <w:start w:val="1"/>
      <w:numFmt w:val="bullet"/>
      <w:lvlText w:val=""/>
      <w:lvlJc w:val="left"/>
      <w:pPr>
        <w:ind w:left="4320" w:hanging="360"/>
      </w:pPr>
      <w:rPr>
        <w:rFonts w:ascii="Wingdings" w:hAnsi="Wingdings" w:hint="default"/>
      </w:rPr>
    </w:lvl>
    <w:lvl w:ilvl="6" w:tplc="88EEADD6">
      <w:start w:val="1"/>
      <w:numFmt w:val="bullet"/>
      <w:lvlText w:val=""/>
      <w:lvlJc w:val="left"/>
      <w:pPr>
        <w:ind w:left="5040" w:hanging="360"/>
      </w:pPr>
      <w:rPr>
        <w:rFonts w:ascii="Symbol" w:hAnsi="Symbol" w:hint="default"/>
      </w:rPr>
    </w:lvl>
    <w:lvl w:ilvl="7" w:tplc="9E10664C">
      <w:start w:val="1"/>
      <w:numFmt w:val="bullet"/>
      <w:lvlText w:val="o"/>
      <w:lvlJc w:val="left"/>
      <w:pPr>
        <w:ind w:left="5760" w:hanging="360"/>
      </w:pPr>
      <w:rPr>
        <w:rFonts w:ascii="Courier New" w:hAnsi="Courier New" w:hint="default"/>
      </w:rPr>
    </w:lvl>
    <w:lvl w:ilvl="8" w:tplc="E90C03D8">
      <w:start w:val="1"/>
      <w:numFmt w:val="bullet"/>
      <w:lvlText w:val=""/>
      <w:lvlJc w:val="left"/>
      <w:pPr>
        <w:ind w:left="6480" w:hanging="360"/>
      </w:pPr>
      <w:rPr>
        <w:rFonts w:ascii="Wingdings" w:hAnsi="Wingdings" w:hint="default"/>
      </w:rPr>
    </w:lvl>
  </w:abstractNum>
  <w:abstractNum w:abstractNumId="1" w15:restartNumberingAfterBreak="0">
    <w:nsid w:val="2960AB24"/>
    <w:multiLevelType w:val="hybridMultilevel"/>
    <w:tmpl w:val="FFFFFFFF"/>
    <w:lvl w:ilvl="0" w:tplc="88BC0834">
      <w:start w:val="1"/>
      <w:numFmt w:val="decimal"/>
      <w:lvlText w:val="%1."/>
      <w:lvlJc w:val="left"/>
      <w:pPr>
        <w:ind w:left="720" w:hanging="360"/>
      </w:pPr>
    </w:lvl>
    <w:lvl w:ilvl="1" w:tplc="1BFE57DA">
      <w:start w:val="1"/>
      <w:numFmt w:val="lowerLetter"/>
      <w:lvlText w:val="%2."/>
      <w:lvlJc w:val="left"/>
      <w:pPr>
        <w:ind w:left="1440" w:hanging="360"/>
      </w:pPr>
    </w:lvl>
    <w:lvl w:ilvl="2" w:tplc="D7F6A5E2">
      <w:start w:val="1"/>
      <w:numFmt w:val="lowerRoman"/>
      <w:lvlText w:val="%3."/>
      <w:lvlJc w:val="right"/>
      <w:pPr>
        <w:ind w:left="2160" w:hanging="180"/>
      </w:pPr>
    </w:lvl>
    <w:lvl w:ilvl="3" w:tplc="4DF876F2">
      <w:start w:val="1"/>
      <w:numFmt w:val="decimal"/>
      <w:lvlText w:val="%4."/>
      <w:lvlJc w:val="left"/>
      <w:pPr>
        <w:ind w:left="2880" w:hanging="360"/>
      </w:pPr>
    </w:lvl>
    <w:lvl w:ilvl="4" w:tplc="93548532">
      <w:start w:val="1"/>
      <w:numFmt w:val="lowerLetter"/>
      <w:lvlText w:val="%5."/>
      <w:lvlJc w:val="left"/>
      <w:pPr>
        <w:ind w:left="3600" w:hanging="360"/>
      </w:pPr>
    </w:lvl>
    <w:lvl w:ilvl="5" w:tplc="2D4072B4">
      <w:start w:val="1"/>
      <w:numFmt w:val="lowerRoman"/>
      <w:lvlText w:val="%6."/>
      <w:lvlJc w:val="right"/>
      <w:pPr>
        <w:ind w:left="4320" w:hanging="180"/>
      </w:pPr>
    </w:lvl>
    <w:lvl w:ilvl="6" w:tplc="BFF0011E">
      <w:start w:val="1"/>
      <w:numFmt w:val="decimal"/>
      <w:lvlText w:val="%7."/>
      <w:lvlJc w:val="left"/>
      <w:pPr>
        <w:ind w:left="5040" w:hanging="360"/>
      </w:pPr>
    </w:lvl>
    <w:lvl w:ilvl="7" w:tplc="34A877C2">
      <w:start w:val="1"/>
      <w:numFmt w:val="lowerLetter"/>
      <w:lvlText w:val="%8."/>
      <w:lvlJc w:val="left"/>
      <w:pPr>
        <w:ind w:left="5760" w:hanging="360"/>
      </w:pPr>
    </w:lvl>
    <w:lvl w:ilvl="8" w:tplc="BD667F64">
      <w:start w:val="1"/>
      <w:numFmt w:val="lowerRoman"/>
      <w:lvlText w:val="%9."/>
      <w:lvlJc w:val="right"/>
      <w:pPr>
        <w:ind w:left="6480" w:hanging="180"/>
      </w:pPr>
    </w:lvl>
  </w:abstractNum>
  <w:abstractNum w:abstractNumId="2" w15:restartNumberingAfterBreak="0">
    <w:nsid w:val="2A335EB1"/>
    <w:multiLevelType w:val="hybridMultilevel"/>
    <w:tmpl w:val="FFFFFFFF"/>
    <w:lvl w:ilvl="0" w:tplc="0F76885A">
      <w:start w:val="1"/>
      <w:numFmt w:val="decimal"/>
      <w:lvlText w:val="%1."/>
      <w:lvlJc w:val="left"/>
      <w:pPr>
        <w:ind w:left="720" w:hanging="360"/>
      </w:pPr>
    </w:lvl>
    <w:lvl w:ilvl="1" w:tplc="7B365B12">
      <w:start w:val="1"/>
      <w:numFmt w:val="lowerLetter"/>
      <w:lvlText w:val="%2."/>
      <w:lvlJc w:val="left"/>
      <w:pPr>
        <w:ind w:left="1440" w:hanging="360"/>
      </w:pPr>
    </w:lvl>
    <w:lvl w:ilvl="2" w:tplc="42FC2928">
      <w:start w:val="1"/>
      <w:numFmt w:val="lowerRoman"/>
      <w:lvlText w:val="%3."/>
      <w:lvlJc w:val="right"/>
      <w:pPr>
        <w:ind w:left="2160" w:hanging="180"/>
      </w:pPr>
    </w:lvl>
    <w:lvl w:ilvl="3" w:tplc="4C4A0FD4">
      <w:start w:val="1"/>
      <w:numFmt w:val="decimal"/>
      <w:lvlText w:val="%4."/>
      <w:lvlJc w:val="left"/>
      <w:pPr>
        <w:ind w:left="2880" w:hanging="360"/>
      </w:pPr>
    </w:lvl>
    <w:lvl w:ilvl="4" w:tplc="B2088AC8">
      <w:start w:val="1"/>
      <w:numFmt w:val="lowerLetter"/>
      <w:lvlText w:val="%5."/>
      <w:lvlJc w:val="left"/>
      <w:pPr>
        <w:ind w:left="3600" w:hanging="360"/>
      </w:pPr>
    </w:lvl>
    <w:lvl w:ilvl="5" w:tplc="A476E21E">
      <w:start w:val="1"/>
      <w:numFmt w:val="lowerRoman"/>
      <w:lvlText w:val="%6."/>
      <w:lvlJc w:val="right"/>
      <w:pPr>
        <w:ind w:left="4320" w:hanging="180"/>
      </w:pPr>
    </w:lvl>
    <w:lvl w:ilvl="6" w:tplc="16A0512E">
      <w:start w:val="1"/>
      <w:numFmt w:val="decimal"/>
      <w:lvlText w:val="%7."/>
      <w:lvlJc w:val="left"/>
      <w:pPr>
        <w:ind w:left="5040" w:hanging="360"/>
      </w:pPr>
    </w:lvl>
    <w:lvl w:ilvl="7" w:tplc="B9CEC760">
      <w:start w:val="1"/>
      <w:numFmt w:val="lowerLetter"/>
      <w:lvlText w:val="%8."/>
      <w:lvlJc w:val="left"/>
      <w:pPr>
        <w:ind w:left="5760" w:hanging="360"/>
      </w:pPr>
    </w:lvl>
    <w:lvl w:ilvl="8" w:tplc="32622448">
      <w:start w:val="1"/>
      <w:numFmt w:val="lowerRoman"/>
      <w:lvlText w:val="%9."/>
      <w:lvlJc w:val="right"/>
      <w:pPr>
        <w:ind w:left="6480" w:hanging="180"/>
      </w:pPr>
    </w:lvl>
  </w:abstractNum>
  <w:abstractNum w:abstractNumId="3" w15:restartNumberingAfterBreak="0">
    <w:nsid w:val="48F59BA7"/>
    <w:multiLevelType w:val="hybridMultilevel"/>
    <w:tmpl w:val="FFFFFFFF"/>
    <w:lvl w:ilvl="0" w:tplc="71009AAC">
      <w:start w:val="1"/>
      <w:numFmt w:val="bullet"/>
      <w:lvlText w:val=""/>
      <w:lvlJc w:val="left"/>
      <w:pPr>
        <w:ind w:left="720" w:hanging="360"/>
      </w:pPr>
      <w:rPr>
        <w:rFonts w:ascii="Symbol" w:hAnsi="Symbol" w:hint="default"/>
      </w:rPr>
    </w:lvl>
    <w:lvl w:ilvl="1" w:tplc="547456E8">
      <w:start w:val="1"/>
      <w:numFmt w:val="bullet"/>
      <w:lvlText w:val="o"/>
      <w:lvlJc w:val="left"/>
      <w:pPr>
        <w:ind w:left="1440" w:hanging="360"/>
      </w:pPr>
      <w:rPr>
        <w:rFonts w:ascii="Courier New" w:hAnsi="Courier New" w:hint="default"/>
      </w:rPr>
    </w:lvl>
    <w:lvl w:ilvl="2" w:tplc="9B5C8904">
      <w:start w:val="1"/>
      <w:numFmt w:val="bullet"/>
      <w:lvlText w:val=""/>
      <w:lvlJc w:val="left"/>
      <w:pPr>
        <w:ind w:left="2160" w:hanging="360"/>
      </w:pPr>
      <w:rPr>
        <w:rFonts w:ascii="Wingdings" w:hAnsi="Wingdings" w:hint="default"/>
      </w:rPr>
    </w:lvl>
    <w:lvl w:ilvl="3" w:tplc="C75CC2CE">
      <w:start w:val="1"/>
      <w:numFmt w:val="bullet"/>
      <w:lvlText w:val=""/>
      <w:lvlJc w:val="left"/>
      <w:pPr>
        <w:ind w:left="2880" w:hanging="360"/>
      </w:pPr>
      <w:rPr>
        <w:rFonts w:ascii="Symbol" w:hAnsi="Symbol" w:hint="default"/>
      </w:rPr>
    </w:lvl>
    <w:lvl w:ilvl="4" w:tplc="02BC65F8">
      <w:start w:val="1"/>
      <w:numFmt w:val="bullet"/>
      <w:lvlText w:val="o"/>
      <w:lvlJc w:val="left"/>
      <w:pPr>
        <w:ind w:left="3600" w:hanging="360"/>
      </w:pPr>
      <w:rPr>
        <w:rFonts w:ascii="Courier New" w:hAnsi="Courier New" w:hint="default"/>
      </w:rPr>
    </w:lvl>
    <w:lvl w:ilvl="5" w:tplc="4B22C5F4">
      <w:start w:val="1"/>
      <w:numFmt w:val="bullet"/>
      <w:lvlText w:val=""/>
      <w:lvlJc w:val="left"/>
      <w:pPr>
        <w:ind w:left="4320" w:hanging="360"/>
      </w:pPr>
      <w:rPr>
        <w:rFonts w:ascii="Wingdings" w:hAnsi="Wingdings" w:hint="default"/>
      </w:rPr>
    </w:lvl>
    <w:lvl w:ilvl="6" w:tplc="D6BC96F4">
      <w:start w:val="1"/>
      <w:numFmt w:val="bullet"/>
      <w:lvlText w:val=""/>
      <w:lvlJc w:val="left"/>
      <w:pPr>
        <w:ind w:left="5040" w:hanging="360"/>
      </w:pPr>
      <w:rPr>
        <w:rFonts w:ascii="Symbol" w:hAnsi="Symbol" w:hint="default"/>
      </w:rPr>
    </w:lvl>
    <w:lvl w:ilvl="7" w:tplc="8DFA2802">
      <w:start w:val="1"/>
      <w:numFmt w:val="bullet"/>
      <w:lvlText w:val="o"/>
      <w:lvlJc w:val="left"/>
      <w:pPr>
        <w:ind w:left="5760" w:hanging="360"/>
      </w:pPr>
      <w:rPr>
        <w:rFonts w:ascii="Courier New" w:hAnsi="Courier New" w:hint="default"/>
      </w:rPr>
    </w:lvl>
    <w:lvl w:ilvl="8" w:tplc="3C6445A8">
      <w:start w:val="1"/>
      <w:numFmt w:val="bullet"/>
      <w:lvlText w:val=""/>
      <w:lvlJc w:val="left"/>
      <w:pPr>
        <w:ind w:left="6480" w:hanging="360"/>
      </w:pPr>
      <w:rPr>
        <w:rFonts w:ascii="Wingdings" w:hAnsi="Wingdings" w:hint="default"/>
      </w:rPr>
    </w:lvl>
  </w:abstractNum>
  <w:abstractNum w:abstractNumId="4" w15:restartNumberingAfterBreak="0">
    <w:nsid w:val="72960DC4"/>
    <w:multiLevelType w:val="hybridMultilevel"/>
    <w:tmpl w:val="FFFFFFFF"/>
    <w:lvl w:ilvl="0" w:tplc="50822616">
      <w:start w:val="1"/>
      <w:numFmt w:val="bullet"/>
      <w:lvlText w:val=""/>
      <w:lvlJc w:val="left"/>
      <w:pPr>
        <w:ind w:left="720" w:hanging="360"/>
      </w:pPr>
      <w:rPr>
        <w:rFonts w:ascii="Symbol" w:hAnsi="Symbol" w:hint="default"/>
      </w:rPr>
    </w:lvl>
    <w:lvl w:ilvl="1" w:tplc="61BC0376">
      <w:start w:val="1"/>
      <w:numFmt w:val="bullet"/>
      <w:lvlText w:val="o"/>
      <w:lvlJc w:val="left"/>
      <w:pPr>
        <w:ind w:left="1440" w:hanging="360"/>
      </w:pPr>
      <w:rPr>
        <w:rFonts w:ascii="Courier New" w:hAnsi="Courier New" w:hint="default"/>
      </w:rPr>
    </w:lvl>
    <w:lvl w:ilvl="2" w:tplc="440A8BC2">
      <w:start w:val="1"/>
      <w:numFmt w:val="bullet"/>
      <w:lvlText w:val=""/>
      <w:lvlJc w:val="left"/>
      <w:pPr>
        <w:ind w:left="2160" w:hanging="360"/>
      </w:pPr>
      <w:rPr>
        <w:rFonts w:ascii="Wingdings" w:hAnsi="Wingdings" w:hint="default"/>
      </w:rPr>
    </w:lvl>
    <w:lvl w:ilvl="3" w:tplc="21006B38">
      <w:start w:val="1"/>
      <w:numFmt w:val="bullet"/>
      <w:lvlText w:val=""/>
      <w:lvlJc w:val="left"/>
      <w:pPr>
        <w:ind w:left="2880" w:hanging="360"/>
      </w:pPr>
      <w:rPr>
        <w:rFonts w:ascii="Symbol" w:hAnsi="Symbol" w:hint="default"/>
      </w:rPr>
    </w:lvl>
    <w:lvl w:ilvl="4" w:tplc="A816F2BE">
      <w:start w:val="1"/>
      <w:numFmt w:val="bullet"/>
      <w:lvlText w:val="o"/>
      <w:lvlJc w:val="left"/>
      <w:pPr>
        <w:ind w:left="3600" w:hanging="360"/>
      </w:pPr>
      <w:rPr>
        <w:rFonts w:ascii="Courier New" w:hAnsi="Courier New" w:hint="default"/>
      </w:rPr>
    </w:lvl>
    <w:lvl w:ilvl="5" w:tplc="247E3708">
      <w:start w:val="1"/>
      <w:numFmt w:val="bullet"/>
      <w:lvlText w:val=""/>
      <w:lvlJc w:val="left"/>
      <w:pPr>
        <w:ind w:left="4320" w:hanging="360"/>
      </w:pPr>
      <w:rPr>
        <w:rFonts w:ascii="Wingdings" w:hAnsi="Wingdings" w:hint="default"/>
      </w:rPr>
    </w:lvl>
    <w:lvl w:ilvl="6" w:tplc="A3CEBBA8">
      <w:start w:val="1"/>
      <w:numFmt w:val="bullet"/>
      <w:lvlText w:val=""/>
      <w:lvlJc w:val="left"/>
      <w:pPr>
        <w:ind w:left="5040" w:hanging="360"/>
      </w:pPr>
      <w:rPr>
        <w:rFonts w:ascii="Symbol" w:hAnsi="Symbol" w:hint="default"/>
      </w:rPr>
    </w:lvl>
    <w:lvl w:ilvl="7" w:tplc="B1C8ED26">
      <w:start w:val="1"/>
      <w:numFmt w:val="bullet"/>
      <w:lvlText w:val="o"/>
      <w:lvlJc w:val="left"/>
      <w:pPr>
        <w:ind w:left="5760" w:hanging="360"/>
      </w:pPr>
      <w:rPr>
        <w:rFonts w:ascii="Courier New" w:hAnsi="Courier New" w:hint="default"/>
      </w:rPr>
    </w:lvl>
    <w:lvl w:ilvl="8" w:tplc="537AFE5A">
      <w:start w:val="1"/>
      <w:numFmt w:val="bullet"/>
      <w:lvlText w:val=""/>
      <w:lvlJc w:val="left"/>
      <w:pPr>
        <w:ind w:left="6480" w:hanging="360"/>
      </w:pPr>
      <w:rPr>
        <w:rFonts w:ascii="Wingdings" w:hAnsi="Wingdings" w:hint="default"/>
      </w:rPr>
    </w:lvl>
  </w:abstractNum>
  <w:abstractNum w:abstractNumId="5" w15:restartNumberingAfterBreak="0">
    <w:nsid w:val="7A04DE91"/>
    <w:multiLevelType w:val="hybridMultilevel"/>
    <w:tmpl w:val="FFFFFFFF"/>
    <w:lvl w:ilvl="0" w:tplc="055E3344">
      <w:start w:val="1"/>
      <w:numFmt w:val="bullet"/>
      <w:lvlText w:val=""/>
      <w:lvlJc w:val="left"/>
      <w:pPr>
        <w:ind w:left="720" w:hanging="360"/>
      </w:pPr>
      <w:rPr>
        <w:rFonts w:ascii="Symbol" w:hAnsi="Symbol" w:hint="default"/>
      </w:rPr>
    </w:lvl>
    <w:lvl w:ilvl="1" w:tplc="08BA095E">
      <w:start w:val="1"/>
      <w:numFmt w:val="bullet"/>
      <w:lvlText w:val="o"/>
      <w:lvlJc w:val="left"/>
      <w:pPr>
        <w:ind w:left="1440" w:hanging="360"/>
      </w:pPr>
      <w:rPr>
        <w:rFonts w:ascii="Courier New" w:hAnsi="Courier New" w:hint="default"/>
      </w:rPr>
    </w:lvl>
    <w:lvl w:ilvl="2" w:tplc="A718AE18">
      <w:start w:val="1"/>
      <w:numFmt w:val="bullet"/>
      <w:lvlText w:val=""/>
      <w:lvlJc w:val="left"/>
      <w:pPr>
        <w:ind w:left="2160" w:hanging="360"/>
      </w:pPr>
      <w:rPr>
        <w:rFonts w:ascii="Wingdings" w:hAnsi="Wingdings" w:hint="default"/>
      </w:rPr>
    </w:lvl>
    <w:lvl w:ilvl="3" w:tplc="55AC401E">
      <w:start w:val="1"/>
      <w:numFmt w:val="bullet"/>
      <w:lvlText w:val=""/>
      <w:lvlJc w:val="left"/>
      <w:pPr>
        <w:ind w:left="2880" w:hanging="360"/>
      </w:pPr>
      <w:rPr>
        <w:rFonts w:ascii="Symbol" w:hAnsi="Symbol" w:hint="default"/>
      </w:rPr>
    </w:lvl>
    <w:lvl w:ilvl="4" w:tplc="0D9C840A">
      <w:start w:val="1"/>
      <w:numFmt w:val="bullet"/>
      <w:lvlText w:val="o"/>
      <w:lvlJc w:val="left"/>
      <w:pPr>
        <w:ind w:left="3600" w:hanging="360"/>
      </w:pPr>
      <w:rPr>
        <w:rFonts w:ascii="Courier New" w:hAnsi="Courier New" w:hint="default"/>
      </w:rPr>
    </w:lvl>
    <w:lvl w:ilvl="5" w:tplc="D410098C">
      <w:start w:val="1"/>
      <w:numFmt w:val="bullet"/>
      <w:lvlText w:val=""/>
      <w:lvlJc w:val="left"/>
      <w:pPr>
        <w:ind w:left="4320" w:hanging="360"/>
      </w:pPr>
      <w:rPr>
        <w:rFonts w:ascii="Wingdings" w:hAnsi="Wingdings" w:hint="default"/>
      </w:rPr>
    </w:lvl>
    <w:lvl w:ilvl="6" w:tplc="9FB09B82">
      <w:start w:val="1"/>
      <w:numFmt w:val="bullet"/>
      <w:lvlText w:val=""/>
      <w:lvlJc w:val="left"/>
      <w:pPr>
        <w:ind w:left="5040" w:hanging="360"/>
      </w:pPr>
      <w:rPr>
        <w:rFonts w:ascii="Symbol" w:hAnsi="Symbol" w:hint="default"/>
      </w:rPr>
    </w:lvl>
    <w:lvl w:ilvl="7" w:tplc="52EA6668">
      <w:start w:val="1"/>
      <w:numFmt w:val="bullet"/>
      <w:lvlText w:val="o"/>
      <w:lvlJc w:val="left"/>
      <w:pPr>
        <w:ind w:left="5760" w:hanging="360"/>
      </w:pPr>
      <w:rPr>
        <w:rFonts w:ascii="Courier New" w:hAnsi="Courier New" w:hint="default"/>
      </w:rPr>
    </w:lvl>
    <w:lvl w:ilvl="8" w:tplc="FC363D5A">
      <w:start w:val="1"/>
      <w:numFmt w:val="bullet"/>
      <w:lvlText w:val=""/>
      <w:lvlJc w:val="left"/>
      <w:pPr>
        <w:ind w:left="6480" w:hanging="360"/>
      </w:pPr>
      <w:rPr>
        <w:rFonts w:ascii="Wingdings" w:hAnsi="Wingdings" w:hint="default"/>
      </w:rPr>
    </w:lvl>
  </w:abstractNum>
  <w:num w:numId="1" w16cid:durableId="744956156">
    <w:abstractNumId w:val="5"/>
  </w:num>
  <w:num w:numId="2" w16cid:durableId="1703239756">
    <w:abstractNumId w:val="3"/>
  </w:num>
  <w:num w:numId="3" w16cid:durableId="881668833">
    <w:abstractNumId w:val="2"/>
  </w:num>
  <w:num w:numId="4" w16cid:durableId="1403944406">
    <w:abstractNumId w:val="4"/>
  </w:num>
  <w:num w:numId="5" w16cid:durableId="2019233326">
    <w:abstractNumId w:val="1"/>
  </w:num>
  <w:num w:numId="6" w16cid:durableId="1051658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4A0D11"/>
    <w:rsid w:val="0046F244"/>
    <w:rsid w:val="00520F08"/>
    <w:rsid w:val="00806C65"/>
    <w:rsid w:val="0082A849"/>
    <w:rsid w:val="00A12D74"/>
    <w:rsid w:val="00A4DEA3"/>
    <w:rsid w:val="00CFFC0F"/>
    <w:rsid w:val="01686FDB"/>
    <w:rsid w:val="016AACAE"/>
    <w:rsid w:val="02807A76"/>
    <w:rsid w:val="028E6A81"/>
    <w:rsid w:val="02C4CF1E"/>
    <w:rsid w:val="02F893FF"/>
    <w:rsid w:val="0305D27E"/>
    <w:rsid w:val="0324B658"/>
    <w:rsid w:val="0349D973"/>
    <w:rsid w:val="043032EB"/>
    <w:rsid w:val="0430474D"/>
    <w:rsid w:val="0453FD4C"/>
    <w:rsid w:val="050BAA7D"/>
    <w:rsid w:val="0524425D"/>
    <w:rsid w:val="0587DC5E"/>
    <w:rsid w:val="05DC836B"/>
    <w:rsid w:val="06692074"/>
    <w:rsid w:val="06C98A53"/>
    <w:rsid w:val="06FECD61"/>
    <w:rsid w:val="07066F28"/>
    <w:rsid w:val="071CEA80"/>
    <w:rsid w:val="07250D76"/>
    <w:rsid w:val="0759C8BA"/>
    <w:rsid w:val="075AC765"/>
    <w:rsid w:val="0859D8F7"/>
    <w:rsid w:val="08F5420F"/>
    <w:rsid w:val="0A5DF0BE"/>
    <w:rsid w:val="0A8018CD"/>
    <w:rsid w:val="0A900CC6"/>
    <w:rsid w:val="0AA98212"/>
    <w:rsid w:val="0AB6693F"/>
    <w:rsid w:val="0ABE5A5A"/>
    <w:rsid w:val="0AE2F5B3"/>
    <w:rsid w:val="0AFCE0D8"/>
    <w:rsid w:val="0B170803"/>
    <w:rsid w:val="0B24C5D5"/>
    <w:rsid w:val="0B771054"/>
    <w:rsid w:val="0BF58A47"/>
    <w:rsid w:val="0C02C591"/>
    <w:rsid w:val="0C20436D"/>
    <w:rsid w:val="0CEFD6B7"/>
    <w:rsid w:val="0D137BBB"/>
    <w:rsid w:val="0DD4F3C4"/>
    <w:rsid w:val="0DDD9019"/>
    <w:rsid w:val="0E0D1716"/>
    <w:rsid w:val="0E2C708B"/>
    <w:rsid w:val="0E3C9349"/>
    <w:rsid w:val="0E44A016"/>
    <w:rsid w:val="0E59D63D"/>
    <w:rsid w:val="0E86D0DD"/>
    <w:rsid w:val="0E90EF71"/>
    <w:rsid w:val="0ED219AE"/>
    <w:rsid w:val="0F44FE90"/>
    <w:rsid w:val="0F6EEEB9"/>
    <w:rsid w:val="0F93F12D"/>
    <w:rsid w:val="0FE56AD4"/>
    <w:rsid w:val="104C1B1D"/>
    <w:rsid w:val="105B6424"/>
    <w:rsid w:val="10967AD0"/>
    <w:rsid w:val="113D33B0"/>
    <w:rsid w:val="1158E3BF"/>
    <w:rsid w:val="11EBC121"/>
    <w:rsid w:val="128074C4"/>
    <w:rsid w:val="129957F4"/>
    <w:rsid w:val="12A51CF6"/>
    <w:rsid w:val="12CA4A5E"/>
    <w:rsid w:val="12D5C8B1"/>
    <w:rsid w:val="12F5EE5F"/>
    <w:rsid w:val="133D3CA6"/>
    <w:rsid w:val="134FB518"/>
    <w:rsid w:val="1367414E"/>
    <w:rsid w:val="1439CCE6"/>
    <w:rsid w:val="145D766F"/>
    <w:rsid w:val="14766C15"/>
    <w:rsid w:val="14A4BFF0"/>
    <w:rsid w:val="14B16CC6"/>
    <w:rsid w:val="14D94A78"/>
    <w:rsid w:val="155D5C2E"/>
    <w:rsid w:val="15AE7BE8"/>
    <w:rsid w:val="168B83CB"/>
    <w:rsid w:val="16B22BCE"/>
    <w:rsid w:val="16ED5352"/>
    <w:rsid w:val="1731E449"/>
    <w:rsid w:val="1792AF84"/>
    <w:rsid w:val="179E103F"/>
    <w:rsid w:val="180BAE66"/>
    <w:rsid w:val="18AE4C9E"/>
    <w:rsid w:val="18EFF11D"/>
    <w:rsid w:val="191CB269"/>
    <w:rsid w:val="192F8F64"/>
    <w:rsid w:val="1970638E"/>
    <w:rsid w:val="19965E67"/>
    <w:rsid w:val="1A7AFCE5"/>
    <w:rsid w:val="1A7DFE31"/>
    <w:rsid w:val="1A9B6BBF"/>
    <w:rsid w:val="1AA5BAEF"/>
    <w:rsid w:val="1ADB54C2"/>
    <w:rsid w:val="1ADD72BA"/>
    <w:rsid w:val="1AE48E5F"/>
    <w:rsid w:val="1AE513ED"/>
    <w:rsid w:val="1B550D35"/>
    <w:rsid w:val="1B7A5902"/>
    <w:rsid w:val="1BBDB928"/>
    <w:rsid w:val="1C4A0D11"/>
    <w:rsid w:val="1D256EFB"/>
    <w:rsid w:val="1D28C3F9"/>
    <w:rsid w:val="1D5E7D83"/>
    <w:rsid w:val="1D6D66D9"/>
    <w:rsid w:val="1D950162"/>
    <w:rsid w:val="1D9DC030"/>
    <w:rsid w:val="1DABE11E"/>
    <w:rsid w:val="1E0516B2"/>
    <w:rsid w:val="1E4BBB9D"/>
    <w:rsid w:val="1E4E6988"/>
    <w:rsid w:val="1EA5F3A5"/>
    <w:rsid w:val="1F620CE4"/>
    <w:rsid w:val="1F9CAE19"/>
    <w:rsid w:val="1FB2D2D0"/>
    <w:rsid w:val="1FDFAD46"/>
    <w:rsid w:val="206D98F3"/>
    <w:rsid w:val="209611D5"/>
    <w:rsid w:val="20A001B5"/>
    <w:rsid w:val="20B48D32"/>
    <w:rsid w:val="20E9F1AE"/>
    <w:rsid w:val="2182248C"/>
    <w:rsid w:val="21B9A7B5"/>
    <w:rsid w:val="21BC57ED"/>
    <w:rsid w:val="225769F1"/>
    <w:rsid w:val="2267DA50"/>
    <w:rsid w:val="2283C16C"/>
    <w:rsid w:val="22EC44F2"/>
    <w:rsid w:val="2368AC83"/>
    <w:rsid w:val="23C8ED06"/>
    <w:rsid w:val="24315B66"/>
    <w:rsid w:val="24B56359"/>
    <w:rsid w:val="24C3B7B5"/>
    <w:rsid w:val="24F31BCE"/>
    <w:rsid w:val="261D0E0C"/>
    <w:rsid w:val="261D5856"/>
    <w:rsid w:val="2631EEFC"/>
    <w:rsid w:val="263DD512"/>
    <w:rsid w:val="2677FB77"/>
    <w:rsid w:val="26BAF17B"/>
    <w:rsid w:val="26C5E2E4"/>
    <w:rsid w:val="26DE7F7E"/>
    <w:rsid w:val="272A9F2A"/>
    <w:rsid w:val="2749B172"/>
    <w:rsid w:val="27708047"/>
    <w:rsid w:val="27D5F141"/>
    <w:rsid w:val="27E10A21"/>
    <w:rsid w:val="27F5C7A8"/>
    <w:rsid w:val="28301991"/>
    <w:rsid w:val="28367526"/>
    <w:rsid w:val="28C6BBE4"/>
    <w:rsid w:val="28D724C9"/>
    <w:rsid w:val="28EB7A68"/>
    <w:rsid w:val="2907B4DE"/>
    <w:rsid w:val="2932D216"/>
    <w:rsid w:val="298CBCDC"/>
    <w:rsid w:val="29CC0B17"/>
    <w:rsid w:val="29D9BCC9"/>
    <w:rsid w:val="2A6CE25E"/>
    <w:rsid w:val="2A792EA8"/>
    <w:rsid w:val="2AA09F8A"/>
    <w:rsid w:val="2ABB5933"/>
    <w:rsid w:val="2ADF35AB"/>
    <w:rsid w:val="2AE537EA"/>
    <w:rsid w:val="2B14D719"/>
    <w:rsid w:val="2B9D7543"/>
    <w:rsid w:val="2C315633"/>
    <w:rsid w:val="2C499D0F"/>
    <w:rsid w:val="2C88ADC8"/>
    <w:rsid w:val="2CB902C4"/>
    <w:rsid w:val="2CCC5CE0"/>
    <w:rsid w:val="2D314188"/>
    <w:rsid w:val="2D3912F1"/>
    <w:rsid w:val="2D6E38E0"/>
    <w:rsid w:val="2D847441"/>
    <w:rsid w:val="2DE1A601"/>
    <w:rsid w:val="2DFB0269"/>
    <w:rsid w:val="2E01B782"/>
    <w:rsid w:val="2E8FAF3D"/>
    <w:rsid w:val="2EAAEE71"/>
    <w:rsid w:val="2EADE015"/>
    <w:rsid w:val="2EB4E69A"/>
    <w:rsid w:val="2F0A7A5B"/>
    <w:rsid w:val="2F4A47DD"/>
    <w:rsid w:val="2F58C351"/>
    <w:rsid w:val="2F85879C"/>
    <w:rsid w:val="2FAADAA9"/>
    <w:rsid w:val="2FD6CAD3"/>
    <w:rsid w:val="2FDB9DAE"/>
    <w:rsid w:val="2FEF9DDA"/>
    <w:rsid w:val="3081D263"/>
    <w:rsid w:val="313F4E74"/>
    <w:rsid w:val="315CA338"/>
    <w:rsid w:val="31703619"/>
    <w:rsid w:val="3171C25D"/>
    <w:rsid w:val="31B9934A"/>
    <w:rsid w:val="321CB5C2"/>
    <w:rsid w:val="325CE320"/>
    <w:rsid w:val="329466DE"/>
    <w:rsid w:val="32A70C56"/>
    <w:rsid w:val="32B0EB59"/>
    <w:rsid w:val="32F0CDB0"/>
    <w:rsid w:val="33333AAE"/>
    <w:rsid w:val="337F188D"/>
    <w:rsid w:val="33A36CF7"/>
    <w:rsid w:val="33E813C4"/>
    <w:rsid w:val="3503C25C"/>
    <w:rsid w:val="350820B7"/>
    <w:rsid w:val="352200CA"/>
    <w:rsid w:val="35493F32"/>
    <w:rsid w:val="355D4EE8"/>
    <w:rsid w:val="359F3654"/>
    <w:rsid w:val="36263CC7"/>
    <w:rsid w:val="363B713F"/>
    <w:rsid w:val="36459617"/>
    <w:rsid w:val="36682638"/>
    <w:rsid w:val="366CC8F2"/>
    <w:rsid w:val="368861F4"/>
    <w:rsid w:val="36ACC7FD"/>
    <w:rsid w:val="36BC560F"/>
    <w:rsid w:val="36CA1946"/>
    <w:rsid w:val="3726318C"/>
    <w:rsid w:val="3737A5A0"/>
    <w:rsid w:val="38300BDC"/>
    <w:rsid w:val="3833204D"/>
    <w:rsid w:val="385513C3"/>
    <w:rsid w:val="385ECF2C"/>
    <w:rsid w:val="38884D82"/>
    <w:rsid w:val="388C2CD2"/>
    <w:rsid w:val="38F78F01"/>
    <w:rsid w:val="39044756"/>
    <w:rsid w:val="391D32FB"/>
    <w:rsid w:val="3945BF12"/>
    <w:rsid w:val="3947B4C9"/>
    <w:rsid w:val="395EE614"/>
    <w:rsid w:val="3963AB43"/>
    <w:rsid w:val="39D0A85A"/>
    <w:rsid w:val="3A045170"/>
    <w:rsid w:val="3A54E625"/>
    <w:rsid w:val="3B2F6527"/>
    <w:rsid w:val="3BB313C8"/>
    <w:rsid w:val="3C0E7107"/>
    <w:rsid w:val="3C1EA6D6"/>
    <w:rsid w:val="3D06C96E"/>
    <w:rsid w:val="3DBF522B"/>
    <w:rsid w:val="3DF4F720"/>
    <w:rsid w:val="3E082068"/>
    <w:rsid w:val="3E3B8858"/>
    <w:rsid w:val="3E904953"/>
    <w:rsid w:val="3E93EF32"/>
    <w:rsid w:val="3EAF8D3B"/>
    <w:rsid w:val="3ED4D567"/>
    <w:rsid w:val="3EE7BEEF"/>
    <w:rsid w:val="3EE8ADDA"/>
    <w:rsid w:val="3F514EB4"/>
    <w:rsid w:val="3FE032C6"/>
    <w:rsid w:val="3FEE8109"/>
    <w:rsid w:val="403A4663"/>
    <w:rsid w:val="406E6A01"/>
    <w:rsid w:val="4097E7E1"/>
    <w:rsid w:val="410D6D3D"/>
    <w:rsid w:val="414ED5AC"/>
    <w:rsid w:val="416788AF"/>
    <w:rsid w:val="416AA1AA"/>
    <w:rsid w:val="418BB0B8"/>
    <w:rsid w:val="41980FA7"/>
    <w:rsid w:val="41A23430"/>
    <w:rsid w:val="41B98E16"/>
    <w:rsid w:val="41C995D2"/>
    <w:rsid w:val="41D455F9"/>
    <w:rsid w:val="42815713"/>
    <w:rsid w:val="42B1995F"/>
    <w:rsid w:val="42D1C6F3"/>
    <w:rsid w:val="42F540ED"/>
    <w:rsid w:val="431844EB"/>
    <w:rsid w:val="4358C10C"/>
    <w:rsid w:val="4367F36C"/>
    <w:rsid w:val="43723945"/>
    <w:rsid w:val="43C5E883"/>
    <w:rsid w:val="442C9EAA"/>
    <w:rsid w:val="443C7470"/>
    <w:rsid w:val="445656A3"/>
    <w:rsid w:val="449D52D9"/>
    <w:rsid w:val="44B9EBBA"/>
    <w:rsid w:val="44DE68EF"/>
    <w:rsid w:val="44E483F2"/>
    <w:rsid w:val="458AA8C5"/>
    <w:rsid w:val="45B05BA0"/>
    <w:rsid w:val="465DFD4C"/>
    <w:rsid w:val="4661DBEB"/>
    <w:rsid w:val="46AC37AA"/>
    <w:rsid w:val="46B5AA33"/>
    <w:rsid w:val="47160FB8"/>
    <w:rsid w:val="473CB7EC"/>
    <w:rsid w:val="4744B4A7"/>
    <w:rsid w:val="474BEB8D"/>
    <w:rsid w:val="477290B4"/>
    <w:rsid w:val="4776F78F"/>
    <w:rsid w:val="4794FEA9"/>
    <w:rsid w:val="479BDBFC"/>
    <w:rsid w:val="47A87C0C"/>
    <w:rsid w:val="4816FED3"/>
    <w:rsid w:val="481C7A34"/>
    <w:rsid w:val="48F40FBF"/>
    <w:rsid w:val="49C40877"/>
    <w:rsid w:val="4A30E2B1"/>
    <w:rsid w:val="4A4A0A73"/>
    <w:rsid w:val="4A71E13F"/>
    <w:rsid w:val="4B86C4B8"/>
    <w:rsid w:val="4BD75E3E"/>
    <w:rsid w:val="4C14E835"/>
    <w:rsid w:val="4C57AB59"/>
    <w:rsid w:val="4C587255"/>
    <w:rsid w:val="4CA6867F"/>
    <w:rsid w:val="4CA77C17"/>
    <w:rsid w:val="4CB48201"/>
    <w:rsid w:val="4D46AA62"/>
    <w:rsid w:val="4D591A58"/>
    <w:rsid w:val="4D65F1F3"/>
    <w:rsid w:val="4D8F26F2"/>
    <w:rsid w:val="4D97155E"/>
    <w:rsid w:val="4DBAE8FB"/>
    <w:rsid w:val="4DBB2628"/>
    <w:rsid w:val="4DD723A9"/>
    <w:rsid w:val="4DF26B8F"/>
    <w:rsid w:val="4DFAADBD"/>
    <w:rsid w:val="4E6E4623"/>
    <w:rsid w:val="4E71185A"/>
    <w:rsid w:val="4EAC8455"/>
    <w:rsid w:val="4EFA8DB4"/>
    <w:rsid w:val="4F44C1B9"/>
    <w:rsid w:val="4F6E2CB2"/>
    <w:rsid w:val="4FA77A8A"/>
    <w:rsid w:val="4FB5464B"/>
    <w:rsid w:val="4FD89511"/>
    <w:rsid w:val="4FD9CE9B"/>
    <w:rsid w:val="4FE8B555"/>
    <w:rsid w:val="5042F2AE"/>
    <w:rsid w:val="505733B9"/>
    <w:rsid w:val="5098FDF9"/>
    <w:rsid w:val="50D8504A"/>
    <w:rsid w:val="511653B4"/>
    <w:rsid w:val="517FF574"/>
    <w:rsid w:val="518C77BB"/>
    <w:rsid w:val="52001C4E"/>
    <w:rsid w:val="525AE4B7"/>
    <w:rsid w:val="52825795"/>
    <w:rsid w:val="52A5FDC9"/>
    <w:rsid w:val="52BD2573"/>
    <w:rsid w:val="52F11945"/>
    <w:rsid w:val="532BCE9D"/>
    <w:rsid w:val="5334969D"/>
    <w:rsid w:val="5355ECB1"/>
    <w:rsid w:val="5410E937"/>
    <w:rsid w:val="54231D01"/>
    <w:rsid w:val="544D3F38"/>
    <w:rsid w:val="545D28B5"/>
    <w:rsid w:val="547C3282"/>
    <w:rsid w:val="5481CB92"/>
    <w:rsid w:val="54837C50"/>
    <w:rsid w:val="54952091"/>
    <w:rsid w:val="549E6987"/>
    <w:rsid w:val="54CA9F55"/>
    <w:rsid w:val="559C10FB"/>
    <w:rsid w:val="55A99FEE"/>
    <w:rsid w:val="55C23769"/>
    <w:rsid w:val="55F77F4B"/>
    <w:rsid w:val="572FB699"/>
    <w:rsid w:val="57E24BFA"/>
    <w:rsid w:val="583179E9"/>
    <w:rsid w:val="58772946"/>
    <w:rsid w:val="58A341D1"/>
    <w:rsid w:val="58DA5648"/>
    <w:rsid w:val="58DDC5FB"/>
    <w:rsid w:val="58ED3B12"/>
    <w:rsid w:val="595B90E0"/>
    <w:rsid w:val="597F22BF"/>
    <w:rsid w:val="59AB1997"/>
    <w:rsid w:val="59AD84C8"/>
    <w:rsid w:val="59DC19C8"/>
    <w:rsid w:val="5A0451FB"/>
    <w:rsid w:val="5A11CA5A"/>
    <w:rsid w:val="5A234670"/>
    <w:rsid w:val="5A5A2311"/>
    <w:rsid w:val="5A954A2E"/>
    <w:rsid w:val="5AA6D064"/>
    <w:rsid w:val="5AB56C0E"/>
    <w:rsid w:val="5B00B3B3"/>
    <w:rsid w:val="5B2CF159"/>
    <w:rsid w:val="5B5E423B"/>
    <w:rsid w:val="5B771B41"/>
    <w:rsid w:val="5B85052C"/>
    <w:rsid w:val="5BF46112"/>
    <w:rsid w:val="5C82E412"/>
    <w:rsid w:val="5C92D389"/>
    <w:rsid w:val="5CD3F1FF"/>
    <w:rsid w:val="5CF0B662"/>
    <w:rsid w:val="5D37558E"/>
    <w:rsid w:val="5D396058"/>
    <w:rsid w:val="5D701746"/>
    <w:rsid w:val="5D88942B"/>
    <w:rsid w:val="5D98EB44"/>
    <w:rsid w:val="5DCDDB69"/>
    <w:rsid w:val="5DF41644"/>
    <w:rsid w:val="5E994B6C"/>
    <w:rsid w:val="5F0CFFDF"/>
    <w:rsid w:val="5F8D2E98"/>
    <w:rsid w:val="5FE99019"/>
    <w:rsid w:val="5FFEC036"/>
    <w:rsid w:val="60051A0D"/>
    <w:rsid w:val="6014ECB5"/>
    <w:rsid w:val="601DA996"/>
    <w:rsid w:val="60C439FB"/>
    <w:rsid w:val="60CB6544"/>
    <w:rsid w:val="60E687EC"/>
    <w:rsid w:val="61288964"/>
    <w:rsid w:val="61443C1F"/>
    <w:rsid w:val="6155309A"/>
    <w:rsid w:val="6172F178"/>
    <w:rsid w:val="6174E4E8"/>
    <w:rsid w:val="618D52E9"/>
    <w:rsid w:val="61A843AD"/>
    <w:rsid w:val="61E78982"/>
    <w:rsid w:val="62175B4A"/>
    <w:rsid w:val="63190A3B"/>
    <w:rsid w:val="6342CE7A"/>
    <w:rsid w:val="63E2E655"/>
    <w:rsid w:val="63FDED40"/>
    <w:rsid w:val="64AA7189"/>
    <w:rsid w:val="65799A9E"/>
    <w:rsid w:val="658E6CCF"/>
    <w:rsid w:val="65CEC42C"/>
    <w:rsid w:val="65D41604"/>
    <w:rsid w:val="66153358"/>
    <w:rsid w:val="665C2D0E"/>
    <w:rsid w:val="667CFBFD"/>
    <w:rsid w:val="66837596"/>
    <w:rsid w:val="6690DABA"/>
    <w:rsid w:val="66D132EF"/>
    <w:rsid w:val="673E1DFC"/>
    <w:rsid w:val="674B893B"/>
    <w:rsid w:val="675D4672"/>
    <w:rsid w:val="67D9F25B"/>
    <w:rsid w:val="68276553"/>
    <w:rsid w:val="6833133F"/>
    <w:rsid w:val="686B7CF7"/>
    <w:rsid w:val="688775DE"/>
    <w:rsid w:val="68BCE5E9"/>
    <w:rsid w:val="68EAF0CE"/>
    <w:rsid w:val="6937B294"/>
    <w:rsid w:val="6941E001"/>
    <w:rsid w:val="694AABBC"/>
    <w:rsid w:val="6986F71B"/>
    <w:rsid w:val="6A3D8BCB"/>
    <w:rsid w:val="6A5916E9"/>
    <w:rsid w:val="6A88AB5B"/>
    <w:rsid w:val="6AC6A8E7"/>
    <w:rsid w:val="6AD0DDEB"/>
    <w:rsid w:val="6B41F324"/>
    <w:rsid w:val="6B77A56E"/>
    <w:rsid w:val="6BB89D37"/>
    <w:rsid w:val="6BFD1502"/>
    <w:rsid w:val="6C44A5C2"/>
    <w:rsid w:val="6C719885"/>
    <w:rsid w:val="6D382D52"/>
    <w:rsid w:val="6DD62D0D"/>
    <w:rsid w:val="6DD8D59F"/>
    <w:rsid w:val="6DDBAFF7"/>
    <w:rsid w:val="6DFBB193"/>
    <w:rsid w:val="6E416707"/>
    <w:rsid w:val="6EEFB4A6"/>
    <w:rsid w:val="6F29A519"/>
    <w:rsid w:val="6F2EF4B8"/>
    <w:rsid w:val="6F3B9BCB"/>
    <w:rsid w:val="6FDC686C"/>
    <w:rsid w:val="700F3D30"/>
    <w:rsid w:val="7031A9DC"/>
    <w:rsid w:val="7079721F"/>
    <w:rsid w:val="70D8C6C4"/>
    <w:rsid w:val="712ACE83"/>
    <w:rsid w:val="717C2C02"/>
    <w:rsid w:val="71AFF7F0"/>
    <w:rsid w:val="71E949AA"/>
    <w:rsid w:val="71F3C99D"/>
    <w:rsid w:val="7207B40D"/>
    <w:rsid w:val="7251BD56"/>
    <w:rsid w:val="725BEE9F"/>
    <w:rsid w:val="727D4E59"/>
    <w:rsid w:val="72F7F791"/>
    <w:rsid w:val="73651B64"/>
    <w:rsid w:val="73B461E1"/>
    <w:rsid w:val="73E2ED6A"/>
    <w:rsid w:val="74123EBE"/>
    <w:rsid w:val="744BF923"/>
    <w:rsid w:val="74E21F84"/>
    <w:rsid w:val="7528A543"/>
    <w:rsid w:val="759BFFE3"/>
    <w:rsid w:val="75BD5C1D"/>
    <w:rsid w:val="75CCEED6"/>
    <w:rsid w:val="766FCD3C"/>
    <w:rsid w:val="7690311F"/>
    <w:rsid w:val="76CEA466"/>
    <w:rsid w:val="76F8F004"/>
    <w:rsid w:val="7722B327"/>
    <w:rsid w:val="772BAEBA"/>
    <w:rsid w:val="77501432"/>
    <w:rsid w:val="77B9FFBC"/>
    <w:rsid w:val="77C6AE11"/>
    <w:rsid w:val="7811FBE9"/>
    <w:rsid w:val="782B21E5"/>
    <w:rsid w:val="7875AB2F"/>
    <w:rsid w:val="78D780FA"/>
    <w:rsid w:val="78DCCE16"/>
    <w:rsid w:val="78F7F940"/>
    <w:rsid w:val="795193B8"/>
    <w:rsid w:val="798963FB"/>
    <w:rsid w:val="79A5F3BD"/>
    <w:rsid w:val="79D5D829"/>
    <w:rsid w:val="7A39ACFC"/>
    <w:rsid w:val="7A680728"/>
    <w:rsid w:val="7A6AEFCC"/>
    <w:rsid w:val="7A9BB562"/>
    <w:rsid w:val="7B180938"/>
    <w:rsid w:val="7B352526"/>
    <w:rsid w:val="7C2558E3"/>
    <w:rsid w:val="7C60F0BB"/>
    <w:rsid w:val="7CB92970"/>
    <w:rsid w:val="7CC4FC6B"/>
    <w:rsid w:val="7CCE365F"/>
    <w:rsid w:val="7D71B3D0"/>
    <w:rsid w:val="7E3C00DE"/>
    <w:rsid w:val="7E3D5985"/>
    <w:rsid w:val="7EA83B65"/>
    <w:rsid w:val="7F836B29"/>
    <w:rsid w:val="7FAE6BA1"/>
    <w:rsid w:val="7FB5970E"/>
    <w:rsid w:val="7FD401F0"/>
    <w:rsid w:val="7FDE7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A0D11"/>
  <w15:chartTrackingRefBased/>
  <w15:docId w15:val="{6C7D3B96-F22B-4797-BA59-B0BC9454A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78D780FA"/>
    <w:pPr>
      <w:ind w:left="720"/>
      <w:contextualSpacing/>
    </w:pPr>
  </w:style>
  <w:style w:type="character" w:styleId="Hyperlink">
    <w:name w:val="Hyperlink"/>
    <w:basedOn w:val="DefaultParagraphFont"/>
    <w:uiPriority w:val="99"/>
    <w:unhideWhenUsed/>
    <w:rsid w:val="78D780FA"/>
    <w:rPr>
      <w:color w:val="467886"/>
      <w:u w:val="single"/>
    </w:rPr>
  </w:style>
  <w:style w:type="paragraph" w:styleId="Header">
    <w:name w:val="header"/>
    <w:basedOn w:val="Normal"/>
    <w:uiPriority w:val="99"/>
    <w:unhideWhenUsed/>
    <w:rsid w:val="78D780FA"/>
    <w:pPr>
      <w:tabs>
        <w:tab w:val="center" w:pos="4680"/>
        <w:tab w:val="right" w:pos="9360"/>
      </w:tabs>
      <w:spacing w:after="0" w:line="240" w:lineRule="auto"/>
    </w:pPr>
  </w:style>
  <w:style w:type="paragraph" w:styleId="Footer">
    <w:name w:val="footer"/>
    <w:basedOn w:val="Normal"/>
    <w:uiPriority w:val="99"/>
    <w:unhideWhenUsed/>
    <w:rsid w:val="78D780F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a.uk.com/resource/iron-rich-foods-iron-deficiency.html" TargetMode="External"/><Relationship Id="rId13" Type="http://schemas.openxmlformats.org/officeDocument/2006/relationships/hyperlink" Target="https://doi.org/10.3238/arztebl.m2021.0290" TargetMode="External"/><Relationship Id="rId18" Type="http://schemas.openxmlformats.org/officeDocument/2006/relationships/hyperlink" Target="https://www.thelancet.com/article/S0140-6736(20)32594-0/abstrac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3390/nu13092964" TargetMode="External"/><Relationship Id="rId7" Type="http://schemas.openxmlformats.org/officeDocument/2006/relationships/hyperlink" Target="https://doi.org/10.3748/wjg.15.4638" TargetMode="External"/><Relationship Id="rId12" Type="http://schemas.openxmlformats.org/officeDocument/2006/relationships/hyperlink" Target="https://doi.org/10.1016/j.bbamcr.2016.12.002" TargetMode="External"/><Relationship Id="rId17" Type="http://schemas.openxmlformats.org/officeDocument/2006/relationships/hyperlink" Target="https://doi.org/10.1136/bmjgast-2021-000759"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pmc.ncbi.nlm.nih.gov/articles/PMC4836595/" TargetMode="External"/><Relationship Id="rId20" Type="http://schemas.openxmlformats.org/officeDocument/2006/relationships/hyperlink" Target="https://emedicine.medscape.com/article/815213-overview?form=fp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5bab995240f0b607130bd49d/Dietary_Reference_Values_-_A_Guide__1991_.pdf"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007/978-981-10-5178-4_7" TargetMode="External"/><Relationship Id="rId23" Type="http://schemas.openxmlformats.org/officeDocument/2006/relationships/hyperlink" Target="https://www.ncbi.nlm.nih.gov/sites/books/NBK459224/" TargetMode="External"/><Relationship Id="rId28" Type="http://schemas.microsoft.com/office/2020/10/relationships/intelligence" Target="intelligence2.xml"/><Relationship Id="rId10" Type="http://schemas.openxmlformats.org/officeDocument/2006/relationships/hyperlink" Target="https://doi.org/10.1201/9781315372914" TargetMode="External"/><Relationship Id="rId19" Type="http://schemas.openxmlformats.org/officeDocument/2006/relationships/hyperlink" Target="https://doi.org/10.1007/978-1-4939-7360-6_2" TargetMode="External"/><Relationship Id="rId4" Type="http://schemas.openxmlformats.org/officeDocument/2006/relationships/webSettings" Target="webSettings.xml"/><Relationship Id="rId9" Type="http://schemas.openxmlformats.org/officeDocument/2006/relationships/hyperlink" Target="https://doi.org/10.1182/blood-2018-05-815944" TargetMode="External"/><Relationship Id="rId14" Type="http://schemas.openxmlformats.org/officeDocument/2006/relationships/hyperlink" Target="https://www.consultant360.com/articles/iron-imbalance-children-part-2-identification-and-treatment-iron-poisoning" TargetMode="External"/><Relationship Id="rId22" Type="http://schemas.openxmlformats.org/officeDocument/2006/relationships/hyperlink" Target="https://doi.org/10.1007/s12098-014-1643-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1773</Words>
  <Characters>10109</Characters>
  <Application>Microsoft Office Word</Application>
  <DocSecurity>0</DocSecurity>
  <Lines>84</Lines>
  <Paragraphs>23</Paragraphs>
  <ScaleCrop>false</ScaleCrop>
  <Company/>
  <LinksUpToDate>false</LinksUpToDate>
  <CharactersWithSpaces>11859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Amelie Preece (2400928)</dc:creator>
  <cp:keywords/>
  <dc:description/>
  <cp:lastModifiedBy>Rhianna Poole (2403752)</cp:lastModifiedBy>
  <cp:revision>2</cp:revision>
  <dcterms:created xsi:type="dcterms:W3CDTF">2025-05-01T08:15:00Z</dcterms:created>
  <dcterms:modified xsi:type="dcterms:W3CDTF">2025-05-01T08:15:00Z</dcterms:modified>
</cp:coreProperties>
</file>