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C2415E9" w:rsidRDefault="2C2415E9" w14:paraId="4CB6DA11" w14:textId="650D1F9A">
      <w:r w:rsidRPr="0E0E408E" w:rsidR="2C2415E9">
        <w:rPr>
          <w:rFonts w:ascii="Arial Nova" w:hAnsi="Arial Nova" w:eastAsia="Arial Nova" w:cs="Arial Nova"/>
        </w:rPr>
        <w:t>Living Well, the older person in context supporting paper.</w:t>
      </w:r>
    </w:p>
    <w:p w:rsidR="2C2415E9" w:rsidP="0E0E408E" w:rsidRDefault="2C2415E9" w14:paraId="69642FF8" w14:textId="61421D19">
      <w:pPr>
        <w:pStyle w:val="Normal"/>
        <w:rPr>
          <w:rFonts w:ascii="Arial Nova" w:hAnsi="Arial Nova" w:eastAsia="Arial Nova" w:cs="Arial Nova"/>
        </w:rPr>
      </w:pPr>
      <w:r w:rsidRPr="0E0E408E" w:rsidR="2C2415E9">
        <w:rPr>
          <w:rFonts w:ascii="Arial Nova" w:hAnsi="Arial Nova" w:eastAsia="Arial Nova" w:cs="Arial Nova"/>
        </w:rPr>
        <w:t>Clare Mwenya,</w:t>
      </w:r>
    </w:p>
    <w:p w:rsidR="2C2415E9" w:rsidP="0E0E408E" w:rsidRDefault="2C2415E9" w14:paraId="517AA094" w14:textId="54A2E1A5">
      <w:pPr>
        <w:pStyle w:val="Normal"/>
        <w:rPr>
          <w:rFonts w:ascii="Arial Nova" w:hAnsi="Arial Nova" w:eastAsia="Arial Nova" w:cs="Arial Nova"/>
        </w:rPr>
      </w:pPr>
      <w:r w:rsidRPr="0E0E408E" w:rsidR="2C2415E9">
        <w:rPr>
          <w:rFonts w:ascii="Arial Nova" w:hAnsi="Arial Nova" w:eastAsia="Arial Nova" w:cs="Arial Nova"/>
        </w:rPr>
        <w:t>2238202,</w:t>
      </w:r>
    </w:p>
    <w:p w:rsidR="2C2415E9" w:rsidP="0E0E408E" w:rsidRDefault="2C2415E9" w14:paraId="15F37304" w14:textId="403399D7">
      <w:pPr>
        <w:pStyle w:val="Normal"/>
        <w:rPr>
          <w:rFonts w:ascii="Arial Nova" w:hAnsi="Arial Nova" w:eastAsia="Arial Nova" w:cs="Arial Nova"/>
        </w:rPr>
      </w:pPr>
      <w:r w:rsidRPr="0C01DCF7" w:rsidR="2C2415E9">
        <w:rPr>
          <w:rFonts w:ascii="Arial Nova" w:hAnsi="Arial Nova" w:eastAsia="Arial Nova" w:cs="Arial Nova"/>
        </w:rPr>
        <w:t>Amanda</w:t>
      </w:r>
      <w:r w:rsidRPr="0C01DCF7" w:rsidR="5BD614C3">
        <w:rPr>
          <w:rFonts w:ascii="Arial Nova" w:hAnsi="Arial Nova" w:eastAsia="Arial Nova" w:cs="Arial Nova"/>
        </w:rPr>
        <w:t xml:space="preserve"> Owens</w:t>
      </w:r>
      <w:r w:rsidRPr="0C01DCF7" w:rsidR="2C2415E9">
        <w:rPr>
          <w:rFonts w:ascii="Arial Nova" w:hAnsi="Arial Nova" w:eastAsia="Arial Nova" w:cs="Arial Nova"/>
        </w:rPr>
        <w:t>.</w:t>
      </w:r>
    </w:p>
    <w:p w:rsidR="56CCDE57" w:rsidP="0C01DCF7" w:rsidRDefault="56CCDE57" w14:paraId="7A6E74AE" w14:textId="6050CFFC">
      <w:pPr>
        <w:pStyle w:val="Normal"/>
        <w:rPr>
          <w:rFonts w:ascii="Arial Nova" w:hAnsi="Arial Nova" w:eastAsia="Arial Nova" w:cs="Arial Nova"/>
        </w:rPr>
      </w:pPr>
      <w:r w:rsidRPr="0C01DCF7" w:rsidR="56CCDE57">
        <w:rPr>
          <w:rFonts w:ascii="Arial Nova" w:hAnsi="Arial Nova" w:eastAsia="Arial Nova" w:cs="Arial Nova"/>
        </w:rPr>
        <w:t>26</w:t>
      </w:r>
      <w:r w:rsidRPr="0C01DCF7" w:rsidR="56CCDE57">
        <w:rPr>
          <w:rFonts w:ascii="Arial Nova" w:hAnsi="Arial Nova" w:eastAsia="Arial Nova" w:cs="Arial Nova"/>
          <w:vertAlign w:val="superscript"/>
        </w:rPr>
        <w:t>th</w:t>
      </w:r>
      <w:r w:rsidRPr="0C01DCF7" w:rsidR="56CCDE57">
        <w:rPr>
          <w:rFonts w:ascii="Arial Nova" w:hAnsi="Arial Nova" w:eastAsia="Arial Nova" w:cs="Arial Nova"/>
        </w:rPr>
        <w:t xml:space="preserve"> June 2024.</w:t>
      </w:r>
    </w:p>
    <w:p w:rsidR="0E0E408E" w:rsidP="0E0E408E" w:rsidRDefault="0E0E408E" w14:paraId="47FBDE2E" w14:textId="7BA450DC">
      <w:pPr>
        <w:pStyle w:val="Normal"/>
        <w:rPr>
          <w:rFonts w:ascii="Arial Nova" w:hAnsi="Arial Nova" w:eastAsia="Arial Nova" w:cs="Arial Nova"/>
        </w:rPr>
      </w:pPr>
    </w:p>
    <w:p w:rsidR="0E0E408E" w:rsidP="0E0E408E" w:rsidRDefault="0E0E408E" w14:paraId="49D4BCF4" w14:textId="2B7C8D2B">
      <w:pPr>
        <w:pStyle w:val="Normal"/>
        <w:rPr>
          <w:rFonts w:ascii="Arial Nova" w:hAnsi="Arial Nova" w:eastAsia="Arial Nova" w:cs="Arial Nova"/>
        </w:rPr>
      </w:pPr>
    </w:p>
    <w:p w:rsidR="5130A686" w:rsidP="0E0E408E" w:rsidRDefault="5130A686" w14:paraId="3C418105" w14:textId="391B12DD">
      <w:pPr>
        <w:spacing w:before="240" w:beforeAutospacing="off" w:after="240" w:afterAutospacing="off"/>
      </w:pPr>
      <w:r w:rsidRPr="0E0E408E" w:rsidR="5130A686">
        <w:rPr>
          <w:rFonts w:ascii="Arial Nova" w:hAnsi="Arial Nova" w:eastAsia="Arial Nova" w:cs="Arial Nova"/>
          <w:noProof w:val="0"/>
          <w:sz w:val="24"/>
          <w:szCs w:val="24"/>
          <w:lang w:val="en-US"/>
        </w:rPr>
        <w:t>All individuals, including the older person, have the right to live well and free from abuse. This is because everyone deserves to be treated with dignity, respect, and compassion, regardless of their age, gender, or ability. Older people have the right to live their lives without fear of abuse or exploitation. Society has a responsibility to ensure their rights are upheld. Unfortunately, abuse</w:t>
      </w:r>
      <w:r w:rsidRPr="0E0E408E" w:rsidR="5EB44C0D">
        <w:rPr>
          <w:rFonts w:ascii="Arial Nova" w:hAnsi="Arial Nova" w:eastAsia="Arial Nova" w:cs="Arial Nova"/>
          <w:noProof w:val="0"/>
          <w:sz w:val="24"/>
          <w:szCs w:val="24"/>
          <w:lang w:val="en-US"/>
        </w:rPr>
        <w:t xml:space="preserve"> of the older person</w:t>
      </w:r>
      <w:r w:rsidRPr="0E0E408E" w:rsidR="5130A686">
        <w:rPr>
          <w:rFonts w:ascii="Arial Nova" w:hAnsi="Arial Nova" w:eastAsia="Arial Nova" w:cs="Arial Nova"/>
          <w:noProof w:val="0"/>
          <w:sz w:val="24"/>
          <w:szCs w:val="24"/>
          <w:lang w:val="en-US"/>
        </w:rPr>
        <w:t xml:space="preserve"> is a widespread issue in society. </w:t>
      </w:r>
      <w:r w:rsidRPr="0E0E408E" w:rsidR="0505A00B">
        <w:rPr>
          <w:rFonts w:ascii="Arial Nova" w:hAnsi="Arial Nova" w:eastAsia="Arial Nova" w:cs="Arial Nova"/>
          <w:noProof w:val="0"/>
          <w:sz w:val="24"/>
          <w:szCs w:val="24"/>
          <w:lang w:val="en-US"/>
        </w:rPr>
        <w:t>According to a study conducted by the World Health Organization (2024), 1 in 6 elderly individuals worldwide have experienced abuse in the past year.</w:t>
      </w:r>
      <w:r w:rsidRPr="0E0E408E" w:rsidR="5130A686">
        <w:rPr>
          <w:rFonts w:ascii="Arial Nova" w:hAnsi="Arial Nova" w:eastAsia="Arial Nova" w:cs="Arial Nova"/>
          <w:noProof w:val="0"/>
          <w:sz w:val="24"/>
          <w:szCs w:val="24"/>
          <w:lang w:val="en-US"/>
        </w:rPr>
        <w:t xml:space="preserve"> This highlights the urgent need for stronger measures and support systems to protect the rights and well-being of older adults.</w:t>
      </w:r>
    </w:p>
    <w:p w:rsidR="65C51810" w:rsidP="0E0E408E" w:rsidRDefault="65C51810" w14:paraId="73B13530" w14:textId="122827AF">
      <w:pPr>
        <w:spacing w:before="240" w:beforeAutospacing="off" w:after="240" w:afterAutospacing="off"/>
      </w:pPr>
      <w:r w:rsidRPr="0E0E408E" w:rsidR="65C51810">
        <w:rPr>
          <w:rFonts w:ascii="Arial Nova" w:hAnsi="Arial Nova" w:eastAsia="Arial Nova" w:cs="Arial Nova"/>
          <w:noProof w:val="0"/>
          <w:sz w:val="24"/>
          <w:szCs w:val="24"/>
          <w:lang w:val="en-US"/>
        </w:rPr>
        <w:t>A</w:t>
      </w:r>
      <w:r w:rsidRPr="0E0E408E" w:rsidR="5130A686">
        <w:rPr>
          <w:rFonts w:ascii="Arial Nova" w:hAnsi="Arial Nova" w:eastAsia="Arial Nova" w:cs="Arial Nova"/>
          <w:noProof w:val="0"/>
          <w:sz w:val="24"/>
          <w:szCs w:val="24"/>
          <w:lang w:val="en-US"/>
        </w:rPr>
        <w:t xml:space="preserve">buse of </w:t>
      </w:r>
      <w:r w:rsidRPr="0E0E408E" w:rsidR="6F35C1E7">
        <w:rPr>
          <w:rFonts w:ascii="Arial Nova" w:hAnsi="Arial Nova" w:eastAsia="Arial Nova" w:cs="Arial Nova"/>
          <w:noProof w:val="0"/>
          <w:sz w:val="24"/>
          <w:szCs w:val="24"/>
          <w:lang w:val="en-US"/>
        </w:rPr>
        <w:t>the older person</w:t>
      </w:r>
      <w:r w:rsidRPr="0E0E408E" w:rsidR="5130A686">
        <w:rPr>
          <w:rFonts w:ascii="Arial Nova" w:hAnsi="Arial Nova" w:eastAsia="Arial Nova" w:cs="Arial Nova"/>
          <w:noProof w:val="0"/>
          <w:sz w:val="24"/>
          <w:szCs w:val="24"/>
          <w:lang w:val="en-US"/>
        </w:rPr>
        <w:t xml:space="preserve"> can be classified into five </w:t>
      </w:r>
      <w:r w:rsidRPr="0E0E408E" w:rsidR="550BF1E4">
        <w:rPr>
          <w:rFonts w:ascii="Arial Nova" w:hAnsi="Arial Nova" w:eastAsia="Arial Nova" w:cs="Arial Nova"/>
          <w:noProof w:val="0"/>
          <w:sz w:val="24"/>
          <w:szCs w:val="24"/>
          <w:lang w:val="en-US"/>
        </w:rPr>
        <w:t>broad categories</w:t>
      </w:r>
      <w:r w:rsidRPr="0E0E408E" w:rsidR="5130A686">
        <w:rPr>
          <w:rFonts w:ascii="Arial Nova" w:hAnsi="Arial Nova" w:eastAsia="Arial Nova" w:cs="Arial Nova"/>
          <w:noProof w:val="0"/>
          <w:sz w:val="24"/>
          <w:szCs w:val="24"/>
          <w:lang w:val="en-US"/>
        </w:rPr>
        <w:t xml:space="preserve">: physical abuse, psychological abuse, sexual abuse, financial abuse, and neglect. Physical abuse is any non-accidental use of force against an </w:t>
      </w:r>
      <w:r w:rsidRPr="0E0E408E" w:rsidR="246F8A3C">
        <w:rPr>
          <w:rFonts w:ascii="Arial Nova" w:hAnsi="Arial Nova" w:eastAsia="Arial Nova" w:cs="Arial Nova"/>
          <w:noProof w:val="0"/>
          <w:sz w:val="24"/>
          <w:szCs w:val="24"/>
          <w:lang w:val="en-US"/>
        </w:rPr>
        <w:t>older</w:t>
      </w:r>
      <w:r w:rsidRPr="0E0E408E" w:rsidR="5130A686">
        <w:rPr>
          <w:rFonts w:ascii="Arial Nova" w:hAnsi="Arial Nova" w:eastAsia="Arial Nova" w:cs="Arial Nova"/>
          <w:noProof w:val="0"/>
          <w:sz w:val="24"/>
          <w:szCs w:val="24"/>
          <w:lang w:val="en-US"/>
        </w:rPr>
        <w:t xml:space="preserve"> individual that causes injury or pain. Psychological abuse is repeated verbal or non-verbal behavior intended to cause severe mental or emotional harm to an </w:t>
      </w:r>
      <w:r w:rsidRPr="0E0E408E" w:rsidR="7720C817">
        <w:rPr>
          <w:rFonts w:ascii="Arial Nova" w:hAnsi="Arial Nova" w:eastAsia="Arial Nova" w:cs="Arial Nova"/>
          <w:noProof w:val="0"/>
          <w:sz w:val="24"/>
          <w:szCs w:val="24"/>
          <w:lang w:val="en-US"/>
        </w:rPr>
        <w:t xml:space="preserve">older </w:t>
      </w:r>
      <w:r w:rsidRPr="0E0E408E" w:rsidR="5130A686">
        <w:rPr>
          <w:rFonts w:ascii="Arial Nova" w:hAnsi="Arial Nova" w:eastAsia="Arial Nova" w:cs="Arial Nova"/>
          <w:noProof w:val="0"/>
          <w:sz w:val="24"/>
          <w:szCs w:val="24"/>
          <w:lang w:val="en-US"/>
        </w:rPr>
        <w:t xml:space="preserve">individual. Sexual abuse is non-consensual sexual contact. Financial abuse is the use of </w:t>
      </w:r>
      <w:r w:rsidRPr="0E0E408E" w:rsidR="287E0433">
        <w:rPr>
          <w:rFonts w:ascii="Arial Nova" w:hAnsi="Arial Nova" w:eastAsia="Arial Nova" w:cs="Arial Nova"/>
          <w:noProof w:val="0"/>
          <w:sz w:val="24"/>
          <w:szCs w:val="24"/>
          <w:lang w:val="en-US"/>
        </w:rPr>
        <w:t xml:space="preserve">an older </w:t>
      </w:r>
      <w:r w:rsidRPr="0E0E408E" w:rsidR="287E0433">
        <w:rPr>
          <w:rFonts w:ascii="Arial Nova" w:hAnsi="Arial Nova" w:eastAsia="Arial Nova" w:cs="Arial Nova"/>
          <w:noProof w:val="0"/>
          <w:sz w:val="24"/>
          <w:szCs w:val="24"/>
          <w:lang w:val="en-US"/>
        </w:rPr>
        <w:t>person's</w:t>
      </w:r>
      <w:r w:rsidRPr="0E0E408E" w:rsidR="5130A686">
        <w:rPr>
          <w:rFonts w:ascii="Arial Nova" w:hAnsi="Arial Nova" w:eastAsia="Arial Nova" w:cs="Arial Nova"/>
          <w:noProof w:val="0"/>
          <w:sz w:val="24"/>
          <w:szCs w:val="24"/>
          <w:lang w:val="en-US"/>
        </w:rPr>
        <w:t xml:space="preserve"> resources to deprive them of their assets or money. Neglect is the failure to provide an </w:t>
      </w:r>
      <w:r w:rsidRPr="0E0E408E" w:rsidR="712FB3A2">
        <w:rPr>
          <w:rFonts w:ascii="Arial Nova" w:hAnsi="Arial Nova" w:eastAsia="Arial Nova" w:cs="Arial Nova"/>
          <w:noProof w:val="0"/>
          <w:sz w:val="24"/>
          <w:szCs w:val="24"/>
          <w:lang w:val="en-US"/>
        </w:rPr>
        <w:t>older</w:t>
      </w:r>
      <w:r w:rsidRPr="0E0E408E" w:rsidR="5130A686">
        <w:rPr>
          <w:rFonts w:ascii="Arial Nova" w:hAnsi="Arial Nova" w:eastAsia="Arial Nova" w:cs="Arial Nova"/>
          <w:noProof w:val="0"/>
          <w:sz w:val="24"/>
          <w:szCs w:val="24"/>
          <w:lang w:val="en-US"/>
        </w:rPr>
        <w:t xml:space="preserve"> individual with the care or </w:t>
      </w:r>
      <w:r w:rsidRPr="0E0E408E" w:rsidR="5130A686">
        <w:rPr>
          <w:rFonts w:ascii="Arial Nova" w:hAnsi="Arial Nova" w:eastAsia="Arial Nova" w:cs="Arial Nova"/>
          <w:noProof w:val="0"/>
          <w:sz w:val="24"/>
          <w:szCs w:val="24"/>
          <w:lang w:val="en-US"/>
        </w:rPr>
        <w:t>assistance</w:t>
      </w:r>
      <w:r w:rsidRPr="0E0E408E" w:rsidR="5130A686">
        <w:rPr>
          <w:rFonts w:ascii="Arial Nova" w:hAnsi="Arial Nova" w:eastAsia="Arial Nova" w:cs="Arial Nova"/>
          <w:noProof w:val="0"/>
          <w:sz w:val="24"/>
          <w:szCs w:val="24"/>
          <w:lang w:val="en-US"/>
        </w:rPr>
        <w:t xml:space="preserve"> they need (Age Cymru, 2024). While the prevalence of each type of </w:t>
      </w:r>
      <w:bookmarkStart w:name="_Int_U6uOgrKJ" w:id="796805466"/>
      <w:r w:rsidRPr="0E0E408E" w:rsidR="5130A686">
        <w:rPr>
          <w:rFonts w:ascii="Arial Nova" w:hAnsi="Arial Nova" w:eastAsia="Arial Nova" w:cs="Arial Nova"/>
          <w:noProof w:val="0"/>
          <w:sz w:val="24"/>
          <w:szCs w:val="24"/>
          <w:lang w:val="en-US"/>
        </w:rPr>
        <w:t>elder</w:t>
      </w:r>
      <w:bookmarkEnd w:id="796805466"/>
      <w:r w:rsidRPr="0E0E408E" w:rsidR="5130A686">
        <w:rPr>
          <w:rFonts w:ascii="Arial Nova" w:hAnsi="Arial Nova" w:eastAsia="Arial Nova" w:cs="Arial Nova"/>
          <w:noProof w:val="0"/>
          <w:sz w:val="24"/>
          <w:szCs w:val="24"/>
          <w:lang w:val="en-US"/>
        </w:rPr>
        <w:t xml:space="preserve"> abuse may vary, it is imperative to note that all forms of abuse can have a significant impact on </w:t>
      </w:r>
      <w:r w:rsidRPr="0E0E408E" w:rsidR="7BBBDA05">
        <w:rPr>
          <w:rFonts w:ascii="Arial Nova" w:hAnsi="Arial Nova" w:eastAsia="Arial Nova" w:cs="Arial Nova"/>
          <w:noProof w:val="0"/>
          <w:sz w:val="24"/>
          <w:szCs w:val="24"/>
          <w:lang w:val="en-US"/>
        </w:rPr>
        <w:t>an older</w:t>
      </w:r>
      <w:r w:rsidRPr="0E0E408E" w:rsidR="5130A686">
        <w:rPr>
          <w:rFonts w:ascii="Arial Nova" w:hAnsi="Arial Nova" w:eastAsia="Arial Nova" w:cs="Arial Nova"/>
          <w:noProof w:val="0"/>
          <w:sz w:val="24"/>
          <w:szCs w:val="24"/>
          <w:lang w:val="en-US"/>
        </w:rPr>
        <w:t xml:space="preserve"> individuals' physical and mental well-being. According to the National Institute on Ageing (2023), physical abuse can result in serious injuries and long-lasting physical pain, while psychological abuse can lead to anxiety, depression, and a decline in overall quality of life. Sexual abuse can cause severe emotional trauma and have long-term effects on the victim's mental health. Financial abuse can result in financial instability and loss of independence. Neglect can lead to malnutrition, medical complications, and increased vulnerability to other forms of abuse. </w:t>
      </w:r>
    </w:p>
    <w:p w:rsidR="5130A686" w:rsidP="0E0E408E" w:rsidRDefault="5130A686" w14:paraId="02B518C8" w14:textId="634675C0">
      <w:pPr>
        <w:spacing w:before="240" w:beforeAutospacing="off" w:after="240" w:afterAutospacing="off"/>
      </w:pPr>
      <w:r w:rsidRPr="0E0E408E" w:rsidR="5130A686">
        <w:rPr>
          <w:rFonts w:ascii="Arial Nova" w:hAnsi="Arial Nova" w:eastAsia="Arial Nova" w:cs="Arial Nova"/>
          <w:noProof w:val="0"/>
          <w:sz w:val="24"/>
          <w:szCs w:val="24"/>
          <w:lang w:val="en-US"/>
        </w:rPr>
        <w:t xml:space="preserve">Pilmer, K., Burnes, </w:t>
      </w:r>
      <w:r w:rsidRPr="0E0E408E" w:rsidR="16020E22">
        <w:rPr>
          <w:rFonts w:ascii="Arial Nova" w:hAnsi="Arial Nova" w:eastAsia="Arial Nova" w:cs="Arial Nova"/>
          <w:noProof w:val="0"/>
          <w:sz w:val="24"/>
          <w:szCs w:val="24"/>
          <w:lang w:val="en-US"/>
        </w:rPr>
        <w:t>D.,</w:t>
      </w:r>
      <w:r w:rsidRPr="0E0E408E" w:rsidR="5130A686">
        <w:rPr>
          <w:rFonts w:ascii="Arial Nova" w:hAnsi="Arial Nova" w:eastAsia="Arial Nova" w:cs="Arial Nova"/>
          <w:noProof w:val="0"/>
          <w:sz w:val="24"/>
          <w:szCs w:val="24"/>
          <w:lang w:val="en-US"/>
        </w:rPr>
        <w:t xml:space="preserve"> and MacNeil (2021) believe that societal factors such as ageism, social isolation, and inadequate support systems contribute to elder abuse. Ageism perpetuates the belief that older adults are less valuable or deserving of respect, making them more vulnerable to mistreatment. Social isolation can make it easier for abusers to manipulate and control without detection. Additionally, the lack of accessible resources and support structures leaves older adults at an increased risk of abuse and limits their ability to seek help. To address the lack of accessible resources for older adults, it is crucial to invest in community-based programs and services specifically designed to support their needs (</w:t>
      </w:r>
      <w:r w:rsidRPr="0E0E408E" w:rsidR="5130A686">
        <w:rPr>
          <w:rFonts w:ascii="Arial Nova" w:hAnsi="Arial Nova" w:eastAsia="Arial Nova" w:cs="Arial Nova"/>
          <w:noProof w:val="0"/>
          <w:sz w:val="24"/>
          <w:szCs w:val="24"/>
          <w:lang w:val="en-US"/>
        </w:rPr>
        <w:t>Suragarn</w:t>
      </w:r>
      <w:r w:rsidRPr="0E0E408E" w:rsidR="5130A686">
        <w:rPr>
          <w:rFonts w:ascii="Arial Nova" w:hAnsi="Arial Nova" w:eastAsia="Arial Nova" w:cs="Arial Nova"/>
          <w:noProof w:val="0"/>
          <w:sz w:val="24"/>
          <w:szCs w:val="24"/>
          <w:lang w:val="en-US"/>
        </w:rPr>
        <w:t xml:space="preserve">, Hain and Pfaff, 2021). This can include initiatives such as senior centers, meal delivery programs, transportation services, and social support networks. By prioritizing funding and resources for these programs, we can ensure that older adults have the support and </w:t>
      </w:r>
      <w:r w:rsidRPr="0E0E408E" w:rsidR="5130A686">
        <w:rPr>
          <w:rFonts w:ascii="Arial Nova" w:hAnsi="Arial Nova" w:eastAsia="Arial Nova" w:cs="Arial Nova"/>
          <w:noProof w:val="0"/>
          <w:sz w:val="24"/>
          <w:szCs w:val="24"/>
          <w:lang w:val="en-US"/>
        </w:rPr>
        <w:t>assistance</w:t>
      </w:r>
      <w:r w:rsidRPr="0E0E408E" w:rsidR="5130A686">
        <w:rPr>
          <w:rFonts w:ascii="Arial Nova" w:hAnsi="Arial Nova" w:eastAsia="Arial Nova" w:cs="Arial Nova"/>
          <w:noProof w:val="0"/>
          <w:sz w:val="24"/>
          <w:szCs w:val="24"/>
          <w:lang w:val="en-US"/>
        </w:rPr>
        <w:t xml:space="preserve"> they need to live safely and independently. This will reduce their vulnerability to abuse. One way to increase awareness about elder abuse prevention is through educational campaigns targeted at different segments of society. These segments include healthcare professionals, caregivers, and the </w:t>
      </w:r>
      <w:r w:rsidRPr="0E0E408E" w:rsidR="6618A922">
        <w:rPr>
          <w:rFonts w:ascii="Arial Nova" w:hAnsi="Arial Nova" w:eastAsia="Arial Nova" w:cs="Arial Nova"/>
          <w:noProof w:val="0"/>
          <w:sz w:val="24"/>
          <w:szCs w:val="24"/>
          <w:lang w:val="en-US"/>
        </w:rPr>
        <w:t>public</w:t>
      </w:r>
      <w:r w:rsidRPr="0E0E408E" w:rsidR="5130A686">
        <w:rPr>
          <w:rFonts w:ascii="Arial Nova" w:hAnsi="Arial Nova" w:eastAsia="Arial Nova" w:cs="Arial Nova"/>
          <w:noProof w:val="0"/>
          <w:sz w:val="24"/>
          <w:szCs w:val="24"/>
          <w:lang w:val="en-US"/>
        </w:rPr>
        <w:t xml:space="preserve">. These campaigns can provide information on recognizing elder abuse signs, reporting mechanisms, and resources available for support. Additionally, engaging community leaders, organizations, and local authorities in spreading awareness and promoting zero-tolerance policies towards </w:t>
      </w:r>
      <w:bookmarkStart w:name="_Int_P6tZxGv1" w:id="733664838"/>
      <w:r w:rsidRPr="0E0E408E" w:rsidR="5130A686">
        <w:rPr>
          <w:rFonts w:ascii="Arial Nova" w:hAnsi="Arial Nova" w:eastAsia="Arial Nova" w:cs="Arial Nova"/>
          <w:noProof w:val="0"/>
          <w:sz w:val="24"/>
          <w:szCs w:val="24"/>
          <w:lang w:val="en-US"/>
        </w:rPr>
        <w:t>elder</w:t>
      </w:r>
      <w:bookmarkEnd w:id="733664838"/>
      <w:r w:rsidRPr="0E0E408E" w:rsidR="5130A686">
        <w:rPr>
          <w:rFonts w:ascii="Arial Nova" w:hAnsi="Arial Nova" w:eastAsia="Arial Nova" w:cs="Arial Nova"/>
          <w:noProof w:val="0"/>
          <w:sz w:val="24"/>
          <w:szCs w:val="24"/>
          <w:lang w:val="en-US"/>
        </w:rPr>
        <w:t xml:space="preserve"> abuse can help create a culture of prevention and protection for elderly individuals (WHO, 2024).</w:t>
      </w:r>
    </w:p>
    <w:p w:rsidR="0E0E408E" w:rsidP="0E0E408E" w:rsidRDefault="0E0E408E" w14:paraId="7DF44725" w14:textId="3FA7257E">
      <w:pPr>
        <w:pStyle w:val="Normal"/>
        <w:rPr>
          <w:rFonts w:ascii="Arial Nova" w:hAnsi="Arial Nova" w:eastAsia="Arial Nova" w:cs="Arial Nova"/>
        </w:rPr>
      </w:pPr>
    </w:p>
    <w:p w:rsidR="0E0E408E" w:rsidP="0E0E408E" w:rsidRDefault="0E0E408E" w14:paraId="378CF44B" w14:textId="6F069241">
      <w:pPr>
        <w:pStyle w:val="Normal"/>
        <w:rPr>
          <w:rFonts w:ascii="Arial Nova" w:hAnsi="Arial Nova" w:eastAsia="Arial Nova" w:cs="Arial Nova"/>
        </w:rPr>
      </w:pPr>
    </w:p>
    <w:p w:rsidR="0E0E408E" w:rsidP="0E0E408E" w:rsidRDefault="0E0E408E" w14:paraId="6C83655D" w14:textId="4AB6CDF8">
      <w:pPr>
        <w:pStyle w:val="Normal"/>
        <w:rPr>
          <w:rFonts w:ascii="Arial Nova" w:hAnsi="Arial Nova" w:eastAsia="Arial Nova" w:cs="Arial Nova"/>
        </w:rPr>
      </w:pPr>
    </w:p>
    <w:p w:rsidR="0E0E408E" w:rsidP="0E0E408E" w:rsidRDefault="0E0E408E" w14:paraId="75735E78" w14:textId="10CD780B">
      <w:pPr>
        <w:pStyle w:val="Normal"/>
        <w:rPr>
          <w:rFonts w:ascii="Arial Nova" w:hAnsi="Arial Nova" w:eastAsia="Arial Nova" w:cs="Arial Nova"/>
        </w:rPr>
      </w:pPr>
    </w:p>
    <w:p w:rsidR="0E0E408E" w:rsidP="0E0E408E" w:rsidRDefault="0E0E408E" w14:paraId="274D7FDD" w14:textId="7F5C87F8">
      <w:pPr>
        <w:pStyle w:val="Normal"/>
        <w:rPr>
          <w:rFonts w:ascii="Arial Nova" w:hAnsi="Arial Nova" w:eastAsia="Arial Nova" w:cs="Arial Nova"/>
        </w:rPr>
      </w:pPr>
    </w:p>
    <w:p w:rsidR="0E0E408E" w:rsidP="0E0E408E" w:rsidRDefault="0E0E408E" w14:paraId="738D2209" w14:textId="7FF222A3">
      <w:pPr>
        <w:pStyle w:val="Normal"/>
        <w:rPr>
          <w:rFonts w:ascii="Arial Nova" w:hAnsi="Arial Nova" w:eastAsia="Arial Nova" w:cs="Arial Nova"/>
        </w:rPr>
      </w:pPr>
    </w:p>
    <w:p w:rsidR="0E0E408E" w:rsidP="0E0E408E" w:rsidRDefault="0E0E408E" w14:paraId="312B172B" w14:textId="6DFCE699">
      <w:pPr>
        <w:pStyle w:val="Normal"/>
        <w:rPr>
          <w:rFonts w:ascii="Arial Nova" w:hAnsi="Arial Nova" w:eastAsia="Arial Nova" w:cs="Arial Nova"/>
        </w:rPr>
      </w:pPr>
    </w:p>
    <w:p w:rsidR="0E0E408E" w:rsidP="0E0E408E" w:rsidRDefault="0E0E408E" w14:paraId="7CFE8971" w14:textId="238E07E5">
      <w:pPr>
        <w:pStyle w:val="Normal"/>
        <w:rPr>
          <w:rFonts w:ascii="Arial Nova" w:hAnsi="Arial Nova" w:eastAsia="Arial Nova" w:cs="Arial Nova"/>
        </w:rPr>
      </w:pPr>
    </w:p>
    <w:p w:rsidR="0E0E408E" w:rsidP="0E0E408E" w:rsidRDefault="0E0E408E" w14:paraId="76EFD26A" w14:textId="558E7850">
      <w:pPr>
        <w:pStyle w:val="Normal"/>
        <w:rPr>
          <w:rFonts w:ascii="Arial Nova" w:hAnsi="Arial Nova" w:eastAsia="Arial Nova" w:cs="Arial Nova"/>
        </w:rPr>
      </w:pPr>
    </w:p>
    <w:p w:rsidR="0E0E408E" w:rsidP="0E0E408E" w:rsidRDefault="0E0E408E" w14:paraId="2C51D702" w14:textId="66C26C26">
      <w:pPr>
        <w:pStyle w:val="Normal"/>
        <w:rPr>
          <w:rFonts w:ascii="Arial Nova" w:hAnsi="Arial Nova" w:eastAsia="Arial Nova" w:cs="Arial Nova"/>
        </w:rPr>
      </w:pPr>
    </w:p>
    <w:p w:rsidR="0E0E408E" w:rsidP="0E0E408E" w:rsidRDefault="0E0E408E" w14:paraId="677D18BD" w14:textId="5387A702">
      <w:pPr>
        <w:pStyle w:val="Normal"/>
        <w:rPr>
          <w:rFonts w:ascii="Arial Nova" w:hAnsi="Arial Nova" w:eastAsia="Arial Nova" w:cs="Arial Nova"/>
        </w:rPr>
      </w:pPr>
    </w:p>
    <w:p w:rsidR="0E0E408E" w:rsidP="0E0E408E" w:rsidRDefault="0E0E408E" w14:paraId="306A33E0" w14:textId="7431EA1C">
      <w:pPr>
        <w:pStyle w:val="Normal"/>
        <w:rPr>
          <w:rFonts w:ascii="Arial Nova" w:hAnsi="Arial Nova" w:eastAsia="Arial Nova" w:cs="Arial Nova"/>
        </w:rPr>
      </w:pPr>
    </w:p>
    <w:p w:rsidR="0E0E408E" w:rsidP="0E0E408E" w:rsidRDefault="0E0E408E" w14:paraId="479C3D20" w14:textId="7B1F7670">
      <w:pPr>
        <w:pStyle w:val="Normal"/>
        <w:rPr>
          <w:rFonts w:ascii="Arial Nova" w:hAnsi="Arial Nova" w:eastAsia="Arial Nova" w:cs="Arial Nova"/>
        </w:rPr>
      </w:pPr>
    </w:p>
    <w:p w:rsidR="0E0E408E" w:rsidP="0E0E408E" w:rsidRDefault="0E0E408E" w14:paraId="29FC57C9" w14:textId="3A3B5D98">
      <w:pPr>
        <w:pStyle w:val="Normal"/>
        <w:rPr>
          <w:rFonts w:ascii="Arial Nova" w:hAnsi="Arial Nova" w:eastAsia="Arial Nova" w:cs="Arial Nova"/>
        </w:rPr>
      </w:pPr>
    </w:p>
    <w:p w:rsidR="0E0E408E" w:rsidP="0E0E408E" w:rsidRDefault="0E0E408E" w14:paraId="0758F734" w14:textId="59DD1796">
      <w:pPr>
        <w:pStyle w:val="Normal"/>
        <w:rPr>
          <w:rFonts w:ascii="Arial Nova" w:hAnsi="Arial Nova" w:eastAsia="Arial Nova" w:cs="Arial Nova"/>
        </w:rPr>
      </w:pPr>
    </w:p>
    <w:p w:rsidR="0E0E408E" w:rsidP="0E0E408E" w:rsidRDefault="0E0E408E" w14:paraId="53C63F4F" w14:textId="6908A0C1">
      <w:pPr>
        <w:pStyle w:val="Normal"/>
        <w:rPr>
          <w:rFonts w:ascii="Arial Nova" w:hAnsi="Arial Nova" w:eastAsia="Arial Nova" w:cs="Arial Nova"/>
        </w:rPr>
      </w:pPr>
    </w:p>
    <w:p w:rsidR="0E0E408E" w:rsidP="0E0E408E" w:rsidRDefault="0E0E408E" w14:paraId="199F4D1C" w14:textId="51909808">
      <w:pPr>
        <w:pStyle w:val="Normal"/>
        <w:rPr>
          <w:rFonts w:ascii="Arial Nova" w:hAnsi="Arial Nova" w:eastAsia="Arial Nova" w:cs="Arial Nova"/>
        </w:rPr>
      </w:pPr>
    </w:p>
    <w:p w:rsidR="0E0E408E" w:rsidP="0E0E408E" w:rsidRDefault="0E0E408E" w14:paraId="35454864" w14:textId="16D0A408">
      <w:pPr>
        <w:pStyle w:val="Normal"/>
        <w:rPr>
          <w:rFonts w:ascii="Arial Nova" w:hAnsi="Arial Nova" w:eastAsia="Arial Nova" w:cs="Arial Nova"/>
        </w:rPr>
      </w:pPr>
    </w:p>
    <w:p w:rsidR="0E0E408E" w:rsidP="0E0E408E" w:rsidRDefault="0E0E408E" w14:paraId="30E627E6" w14:textId="1C0AAAB1">
      <w:pPr>
        <w:pStyle w:val="Normal"/>
        <w:rPr>
          <w:rFonts w:ascii="Arial Nova" w:hAnsi="Arial Nova" w:eastAsia="Arial Nova" w:cs="Arial Nova"/>
        </w:rPr>
      </w:pPr>
    </w:p>
    <w:p w:rsidR="0E0E408E" w:rsidP="0E0E408E" w:rsidRDefault="0E0E408E" w14:paraId="1780A449" w14:textId="2A14B9AC">
      <w:pPr>
        <w:pStyle w:val="Normal"/>
        <w:rPr>
          <w:rFonts w:ascii="Arial Nova" w:hAnsi="Arial Nova" w:eastAsia="Arial Nova" w:cs="Arial Nova"/>
        </w:rPr>
      </w:pPr>
    </w:p>
    <w:p w:rsidR="0E0E408E" w:rsidP="0E0E408E" w:rsidRDefault="0E0E408E" w14:paraId="33398B25" w14:textId="7B1F55FC">
      <w:pPr>
        <w:pStyle w:val="Normal"/>
        <w:rPr>
          <w:rFonts w:ascii="Arial Nova" w:hAnsi="Arial Nova" w:eastAsia="Arial Nova" w:cs="Arial Nova"/>
        </w:rPr>
      </w:pPr>
    </w:p>
    <w:p w:rsidR="0E0E408E" w:rsidP="0E0E408E" w:rsidRDefault="0E0E408E" w14:paraId="235361A8" w14:textId="2ABCF3E6">
      <w:pPr>
        <w:pStyle w:val="Normal"/>
        <w:rPr>
          <w:rFonts w:ascii="Arial Nova" w:hAnsi="Arial Nova" w:eastAsia="Arial Nova" w:cs="Arial Nova"/>
        </w:rPr>
      </w:pPr>
    </w:p>
    <w:p w:rsidR="0E0E408E" w:rsidP="0E0E408E" w:rsidRDefault="0E0E408E" w14:paraId="2321EC90" w14:textId="3D87E7EE">
      <w:pPr>
        <w:pStyle w:val="Normal"/>
        <w:rPr>
          <w:rFonts w:ascii="Arial Nova" w:hAnsi="Arial Nova" w:eastAsia="Arial Nova" w:cs="Arial Nova"/>
        </w:rPr>
      </w:pPr>
    </w:p>
    <w:p w:rsidR="283C284C" w:rsidP="0E0E408E" w:rsidRDefault="283C284C" w14:paraId="021F303E" w14:textId="1888574A">
      <w:pPr>
        <w:pStyle w:val="Normal"/>
        <w:rPr>
          <w:rFonts w:ascii="Arial Nova" w:hAnsi="Arial Nova" w:eastAsia="Arial Nova" w:cs="Arial Nova"/>
        </w:rPr>
      </w:pPr>
      <w:r w:rsidRPr="0E0E408E" w:rsidR="283C284C">
        <w:rPr>
          <w:rFonts w:ascii="Arial Nova" w:hAnsi="Arial Nova" w:eastAsia="Arial Nova" w:cs="Arial Nova"/>
        </w:rPr>
        <w:t>References</w:t>
      </w:r>
      <w:r w:rsidRPr="0E0E408E" w:rsidR="283C284C">
        <w:rPr>
          <w:rFonts w:ascii="Arial Nova" w:hAnsi="Arial Nova" w:eastAsia="Arial Nova" w:cs="Arial Nova"/>
        </w:rPr>
        <w:t>.</w:t>
      </w:r>
    </w:p>
    <w:p w:rsidR="5B295BAB" w:rsidP="0E0E408E" w:rsidRDefault="5B295BAB" w14:paraId="26B1E579" w14:textId="5472FA1B">
      <w:pPr>
        <w:pStyle w:val="Normal"/>
        <w:suppressLineNumbers w:val="0"/>
        <w:bidi w:val="0"/>
        <w:spacing w:before="0" w:beforeAutospacing="off" w:after="160" w:afterAutospacing="off" w:line="279" w:lineRule="auto"/>
        <w:ind w:left="0" w:right="0"/>
        <w:jc w:val="left"/>
        <w:rPr>
          <w:rFonts w:ascii="Arial Nova" w:hAnsi="Arial Nova" w:eastAsia="Arial Nova" w:cs="Arial Nova"/>
        </w:rPr>
      </w:pPr>
      <w:r w:rsidRPr="0C01DCF7" w:rsidR="5B295BAB">
        <w:rPr>
          <w:rFonts w:ascii="Arial Nova" w:hAnsi="Arial Nova" w:eastAsia="Arial Nova" w:cs="Arial Nova"/>
        </w:rPr>
        <w:t>Age Cymru (2024)</w:t>
      </w:r>
      <w:r w:rsidRPr="0C01DCF7" w:rsidR="5B295BAB">
        <w:rPr>
          <w:rFonts w:ascii="Arial Nova" w:hAnsi="Arial Nova" w:eastAsia="Arial Nova" w:cs="Arial Nova"/>
          <w:i w:val="1"/>
          <w:iCs w:val="1"/>
        </w:rPr>
        <w:t xml:space="preserve"> What is abuse?</w:t>
      </w:r>
      <w:r w:rsidRPr="0C01DCF7" w:rsidR="5B295BAB">
        <w:rPr>
          <w:rFonts w:ascii="Arial Nova" w:hAnsi="Arial Nova" w:eastAsia="Arial Nova" w:cs="Arial Nova"/>
        </w:rPr>
        <w:t xml:space="preserve"> Available at: </w:t>
      </w:r>
      <w:hyperlink r:id="R1d0c8a516320411a">
        <w:r w:rsidRPr="0C01DCF7" w:rsidR="5B295BAB">
          <w:rPr>
            <w:rStyle w:val="Hyperlink"/>
            <w:rFonts w:ascii="Arial Nova" w:hAnsi="Arial Nova" w:eastAsia="Arial Nova" w:cs="Arial Nova"/>
          </w:rPr>
          <w:t>https://www.ageuk.org.uk/cymru/our-work/safeguarding/what-is-abuse/</w:t>
        </w:r>
      </w:hyperlink>
      <w:r w:rsidRPr="0C01DCF7" w:rsidR="5B295BAB">
        <w:rPr>
          <w:rFonts w:ascii="Arial Nova" w:hAnsi="Arial Nova" w:eastAsia="Arial Nova" w:cs="Arial Nova"/>
        </w:rPr>
        <w:t>. (Accessed on 20 June 2024).</w:t>
      </w:r>
    </w:p>
    <w:p w:rsidR="5B295BAB" w:rsidP="0C01DCF7" w:rsidRDefault="5B295BAB" w14:paraId="64288635" w14:textId="352DD0B4">
      <w:pPr>
        <w:pStyle w:val="Normal"/>
        <w:suppressLineNumbers w:val="0"/>
        <w:bidi w:val="0"/>
        <w:spacing w:before="0" w:beforeAutospacing="off" w:after="160" w:afterAutospacing="off" w:line="279" w:lineRule="auto"/>
        <w:ind w:left="0" w:right="0"/>
        <w:jc w:val="left"/>
        <w:rPr>
          <w:rFonts w:ascii="Arial Nova" w:hAnsi="Arial Nova" w:eastAsia="Arial Nova" w:cs="Arial Nova"/>
        </w:rPr>
      </w:pPr>
      <w:r w:rsidRPr="0C01DCF7" w:rsidR="310CEA16">
        <w:rPr>
          <w:rFonts w:ascii="Arial Nova" w:hAnsi="Arial Nova" w:eastAsia="Arial Nova" w:cs="Arial Nova"/>
        </w:rPr>
        <w:t xml:space="preserve">National institute on aging (2023) </w:t>
      </w:r>
      <w:r w:rsidRPr="0C01DCF7" w:rsidR="310CEA16">
        <w:rPr>
          <w:rFonts w:ascii="Arial Nova" w:hAnsi="Arial Nova" w:eastAsia="Arial Nova" w:cs="Arial Nova"/>
          <w:i w:val="1"/>
          <w:iCs w:val="1"/>
        </w:rPr>
        <w:t>Elder abuse.</w:t>
      </w:r>
      <w:r w:rsidRPr="0C01DCF7" w:rsidR="310CEA16">
        <w:rPr>
          <w:rFonts w:ascii="Arial Nova" w:hAnsi="Arial Nova" w:eastAsia="Arial Nova" w:cs="Arial Nova"/>
        </w:rPr>
        <w:t xml:space="preserve"> Available at: </w:t>
      </w:r>
      <w:hyperlink r:id="Rb85fd2a01ed34afc">
        <w:r w:rsidRPr="0C01DCF7" w:rsidR="310CEA16">
          <w:rPr>
            <w:rStyle w:val="Hyperlink"/>
            <w:rFonts w:ascii="Arial Nova" w:hAnsi="Arial Nova" w:eastAsia="Arial Nova" w:cs="Arial Nova"/>
          </w:rPr>
          <w:t>https://www.nia.nih.gov/health/elder-abuse/elder-abuse</w:t>
        </w:r>
      </w:hyperlink>
      <w:r w:rsidRPr="0C01DCF7" w:rsidR="310CEA16">
        <w:rPr>
          <w:rFonts w:ascii="Arial Nova" w:hAnsi="Arial Nova" w:eastAsia="Arial Nova" w:cs="Arial Nova"/>
        </w:rPr>
        <w:t>. (Accessed on 21 June 2024).</w:t>
      </w:r>
    </w:p>
    <w:p w:rsidR="5B295BAB" w:rsidP="0C01DCF7" w:rsidRDefault="5B295BAB" w14:paraId="7963F55C" w14:textId="26ACDDEB">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bookmarkStart w:name="_Int_g7vjryoZ" w:id="2083466808"/>
      <w:r w:rsidRPr="0C01DCF7" w:rsidR="5B295BAB">
        <w:rPr>
          <w:rFonts w:ascii="Arial Nova" w:hAnsi="Arial Nova" w:eastAsia="Arial Nova" w:cs="Arial Nova"/>
          <w:b w:val="0"/>
          <w:bCs w:val="0"/>
          <w:i w:val="0"/>
          <w:iCs w:val="0"/>
          <w:caps w:val="0"/>
          <w:smallCaps w:val="0"/>
          <w:noProof w:val="0"/>
          <w:color w:val="auto"/>
          <w:sz w:val="24"/>
          <w:szCs w:val="24"/>
          <w:lang w:val="en-US"/>
        </w:rPr>
        <w:t>Pillemer, K., Burnes, D. &amp; MacNeil, A. (2021) Investigating the connection between ageism and elder mistreatment.</w:t>
      </w:r>
      <w:bookmarkEnd w:id="2083466808"/>
      <w:r w:rsidRPr="0C01DCF7" w:rsidR="5B295BAB">
        <w:rPr>
          <w:rFonts w:ascii="Arial Nova" w:hAnsi="Arial Nova" w:eastAsia="Arial Nova" w:cs="Arial Nova"/>
          <w:b w:val="0"/>
          <w:bCs w:val="0"/>
          <w:i w:val="0"/>
          <w:iCs w:val="0"/>
          <w:caps w:val="0"/>
          <w:smallCaps w:val="0"/>
          <w:noProof w:val="0"/>
          <w:color w:val="auto"/>
          <w:sz w:val="24"/>
          <w:szCs w:val="24"/>
          <w:lang w:val="en-US"/>
        </w:rPr>
        <w:t xml:space="preserve"> </w:t>
      </w:r>
      <w:r w:rsidRPr="0C01DCF7" w:rsidR="5B295BAB">
        <w:rPr>
          <w:rFonts w:ascii="Arial Nova" w:hAnsi="Arial Nova" w:eastAsia="Arial Nova" w:cs="Arial Nova"/>
          <w:b w:val="0"/>
          <w:bCs w:val="0"/>
          <w:i w:val="1"/>
          <w:iCs w:val="1"/>
          <w:caps w:val="0"/>
          <w:smallCaps w:val="0"/>
          <w:noProof w:val="0"/>
          <w:color w:val="auto"/>
          <w:sz w:val="24"/>
          <w:szCs w:val="24"/>
          <w:lang w:val="en-US"/>
        </w:rPr>
        <w:t>Nature Aging,</w:t>
      </w:r>
      <w:r w:rsidRPr="0C01DCF7" w:rsidR="5B295BAB">
        <w:rPr>
          <w:rFonts w:ascii="Arial Nova" w:hAnsi="Arial Nova" w:eastAsia="Arial Nova" w:cs="Arial Nova"/>
          <w:b w:val="0"/>
          <w:bCs w:val="0"/>
          <w:i w:val="0"/>
          <w:iCs w:val="0"/>
          <w:caps w:val="0"/>
          <w:smallCaps w:val="0"/>
          <w:noProof w:val="0"/>
          <w:color w:val="auto"/>
          <w:sz w:val="24"/>
          <w:szCs w:val="24"/>
          <w:lang w:val="en-US"/>
        </w:rPr>
        <w:t xml:space="preserve"> 1(2), pp159–164.</w:t>
      </w:r>
    </w:p>
    <w:p w:rsidR="5B295BAB" w:rsidP="0E0E408E" w:rsidRDefault="5B295BAB" w14:paraId="530BE148" w14:textId="265E98E3">
      <w:pPr>
        <w:pStyle w:val="Normal"/>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0E0E408E" w:rsidR="5B295BAB">
        <w:rPr>
          <w:rFonts w:ascii="Arial Nova" w:hAnsi="Arial Nova" w:eastAsia="Arial Nova" w:cs="Arial Nova"/>
          <w:b w:val="0"/>
          <w:bCs w:val="0"/>
          <w:i w:val="0"/>
          <w:iCs w:val="0"/>
          <w:caps w:val="0"/>
          <w:smallCaps w:val="0"/>
          <w:noProof w:val="0"/>
          <w:color w:val="auto"/>
          <w:sz w:val="24"/>
          <w:szCs w:val="24"/>
          <w:lang w:val="en-US"/>
        </w:rPr>
        <w:t>Suragarn,U</w:t>
      </w:r>
      <w:r w:rsidRPr="0E0E408E" w:rsidR="5B295BAB">
        <w:rPr>
          <w:rFonts w:ascii="Arial Nova" w:hAnsi="Arial Nova" w:eastAsia="Arial Nova" w:cs="Arial Nova"/>
          <w:b w:val="0"/>
          <w:bCs w:val="0"/>
          <w:i w:val="0"/>
          <w:iCs w:val="0"/>
          <w:caps w:val="0"/>
          <w:smallCaps w:val="0"/>
          <w:noProof w:val="0"/>
          <w:color w:val="auto"/>
          <w:sz w:val="24"/>
          <w:szCs w:val="24"/>
          <w:lang w:val="en-US"/>
        </w:rPr>
        <w:t xml:space="preserve">., </w:t>
      </w:r>
      <w:r w:rsidRPr="0E0E408E" w:rsidR="5B295BAB">
        <w:rPr>
          <w:rFonts w:ascii="Arial Nova" w:hAnsi="Arial Nova" w:eastAsia="Arial Nova" w:cs="Arial Nova"/>
          <w:b w:val="0"/>
          <w:bCs w:val="0"/>
          <w:i w:val="0"/>
          <w:iCs w:val="0"/>
          <w:caps w:val="0"/>
          <w:smallCaps w:val="0"/>
          <w:noProof w:val="0"/>
          <w:color w:val="auto"/>
          <w:sz w:val="24"/>
          <w:szCs w:val="24"/>
          <w:lang w:val="en-US"/>
        </w:rPr>
        <w:t>Hain,D</w:t>
      </w:r>
      <w:r w:rsidRPr="0E0E408E" w:rsidR="5B295BAB">
        <w:rPr>
          <w:rFonts w:ascii="Arial Nova" w:hAnsi="Arial Nova" w:eastAsia="Arial Nova" w:cs="Arial Nova"/>
          <w:b w:val="0"/>
          <w:bCs w:val="0"/>
          <w:i w:val="0"/>
          <w:iCs w:val="0"/>
          <w:caps w:val="0"/>
          <w:smallCaps w:val="0"/>
          <w:noProof w:val="0"/>
          <w:color w:val="auto"/>
          <w:sz w:val="24"/>
          <w:szCs w:val="24"/>
          <w:lang w:val="en-US"/>
        </w:rPr>
        <w:t xml:space="preserve">., Pfaff, G. (2021) Approaches to enhance social connection in older adults: an </w:t>
      </w:r>
      <w:r w:rsidRPr="0E0E408E" w:rsidR="5B295BAB">
        <w:rPr>
          <w:rFonts w:ascii="Arial Nova" w:hAnsi="Arial Nova" w:eastAsia="Arial Nova" w:cs="Arial Nova"/>
          <w:b w:val="0"/>
          <w:bCs w:val="0"/>
          <w:i w:val="0"/>
          <w:iCs w:val="0"/>
          <w:caps w:val="0"/>
          <w:smallCaps w:val="0"/>
          <w:noProof w:val="0"/>
          <w:color w:val="auto"/>
          <w:sz w:val="24"/>
          <w:szCs w:val="24"/>
          <w:lang w:val="en-US"/>
        </w:rPr>
        <w:t>integrative</w:t>
      </w:r>
      <w:r w:rsidRPr="0E0E408E" w:rsidR="5B295BAB">
        <w:rPr>
          <w:rFonts w:ascii="Arial Nova" w:hAnsi="Arial Nova" w:eastAsia="Arial Nova" w:cs="Arial Nova"/>
          <w:b w:val="0"/>
          <w:bCs w:val="0"/>
          <w:i w:val="0"/>
          <w:iCs w:val="0"/>
          <w:caps w:val="0"/>
          <w:smallCaps w:val="0"/>
          <w:noProof w:val="0"/>
          <w:color w:val="auto"/>
          <w:sz w:val="24"/>
          <w:szCs w:val="24"/>
          <w:lang w:val="en-US"/>
        </w:rPr>
        <w:t xml:space="preserve"> review of literature, </w:t>
      </w:r>
      <w:r w:rsidRPr="0E0E408E" w:rsidR="5B295BAB">
        <w:rPr>
          <w:rFonts w:ascii="Arial Nova" w:hAnsi="Arial Nova" w:eastAsia="Arial Nova" w:cs="Arial Nova"/>
          <w:b w:val="0"/>
          <w:bCs w:val="0"/>
          <w:i w:val="1"/>
          <w:iCs w:val="1"/>
          <w:caps w:val="0"/>
          <w:smallCaps w:val="0"/>
          <w:noProof w:val="0"/>
          <w:color w:val="auto"/>
          <w:sz w:val="24"/>
          <w:szCs w:val="24"/>
          <w:lang w:val="en-US"/>
        </w:rPr>
        <w:t>Science Direct</w:t>
      </w:r>
      <w:r w:rsidRPr="0E0E408E" w:rsidR="5B295BAB">
        <w:rPr>
          <w:rFonts w:ascii="Arial Nova" w:hAnsi="Arial Nova" w:eastAsia="Arial Nova" w:cs="Arial Nova"/>
          <w:b w:val="0"/>
          <w:bCs w:val="0"/>
          <w:i w:val="0"/>
          <w:iCs w:val="0"/>
          <w:caps w:val="0"/>
          <w:smallCaps w:val="0"/>
          <w:noProof w:val="0"/>
          <w:color w:val="auto"/>
          <w:sz w:val="24"/>
          <w:szCs w:val="24"/>
          <w:lang w:val="en-US"/>
        </w:rPr>
        <w:t>, 1(3), pp. 1-9.</w:t>
      </w:r>
    </w:p>
    <w:p w:rsidR="4AFC06EA" w:rsidP="0E0E408E" w:rsidRDefault="4AFC06EA" w14:paraId="1E08D888" w14:textId="59045E65">
      <w:pPr>
        <w:pStyle w:val="Normal"/>
        <w:suppressLineNumbers w:val="0"/>
        <w:bidi w:val="0"/>
        <w:spacing w:before="0" w:beforeAutospacing="off" w:after="160" w:afterAutospacing="off" w:line="279" w:lineRule="auto"/>
        <w:ind w:left="0" w:right="0"/>
        <w:jc w:val="left"/>
        <w:rPr>
          <w:rFonts w:ascii="Arial Nova" w:hAnsi="Arial Nova" w:eastAsia="Arial Nova" w:cs="Arial Nova"/>
        </w:rPr>
      </w:pPr>
      <w:r w:rsidRPr="0C01DCF7" w:rsidR="283C284C">
        <w:rPr>
          <w:rFonts w:ascii="Arial Nova" w:hAnsi="Arial Nova" w:eastAsia="Arial Nova" w:cs="Arial Nova"/>
        </w:rPr>
        <w:t xml:space="preserve">World Health Organization (2024) </w:t>
      </w:r>
      <w:r w:rsidRPr="0C01DCF7" w:rsidR="283C284C">
        <w:rPr>
          <w:rFonts w:ascii="Arial Nova" w:hAnsi="Arial Nova" w:eastAsia="Arial Nova" w:cs="Arial Nova"/>
          <w:i w:val="1"/>
          <w:iCs w:val="1"/>
        </w:rPr>
        <w:t>Abuse of older people.</w:t>
      </w:r>
      <w:r w:rsidRPr="0C01DCF7" w:rsidR="283C284C">
        <w:rPr>
          <w:rFonts w:ascii="Arial Nova" w:hAnsi="Arial Nova" w:eastAsia="Arial Nova" w:cs="Arial Nova"/>
        </w:rPr>
        <w:t xml:space="preserve"> Available at</w:t>
      </w:r>
      <w:r w:rsidRPr="0C01DCF7" w:rsidR="4E0E4B11">
        <w:rPr>
          <w:rFonts w:ascii="Arial Nova" w:hAnsi="Arial Nova" w:eastAsia="Arial Nova" w:cs="Arial Nova"/>
        </w:rPr>
        <w:t>:</w:t>
      </w:r>
      <w:r w:rsidRPr="0C01DCF7" w:rsidR="5F48F935">
        <w:rPr>
          <w:rFonts w:ascii="Arial Nova" w:hAnsi="Arial Nova" w:eastAsia="Arial Nova" w:cs="Arial Nova"/>
        </w:rPr>
        <w:t xml:space="preserve"> </w:t>
      </w:r>
      <w:hyperlink r:id="R85da904415c54fcd">
        <w:r w:rsidRPr="0C01DCF7" w:rsidR="283C284C">
          <w:rPr>
            <w:rStyle w:val="Hyperlink"/>
            <w:rFonts w:ascii="Arial Nova" w:hAnsi="Arial Nova" w:eastAsia="Arial Nova" w:cs="Arial Nova"/>
          </w:rPr>
          <w:t>https://www.who.int/news-room/fact-sheets/detail/abuse-of-older-people</w:t>
        </w:r>
      </w:hyperlink>
      <w:r w:rsidRPr="0C01DCF7" w:rsidR="0465587D">
        <w:rPr>
          <w:rFonts w:ascii="Arial Nova" w:hAnsi="Arial Nova" w:eastAsia="Arial Nova" w:cs="Arial Nova"/>
        </w:rPr>
        <w:t>. (Accessed on 20 June 2024</w:t>
      </w:r>
      <w:r w:rsidRPr="0C01DCF7" w:rsidR="7E554AFA">
        <w:rPr>
          <w:rFonts w:ascii="Arial Nova" w:hAnsi="Arial Nova" w:eastAsia="Arial Nova" w:cs="Arial Nova"/>
        </w:rPr>
        <w:t>)</w:t>
      </w:r>
      <w:r w:rsidRPr="0C01DCF7" w:rsidR="0465587D">
        <w:rPr>
          <w:rFonts w:ascii="Arial Nova" w:hAnsi="Arial Nova" w:eastAsia="Arial Nova" w:cs="Arial Nova"/>
        </w:rPr>
        <w:t>.</w:t>
      </w:r>
      <w:r w:rsidRPr="0C01DCF7" w:rsidR="3D1EAA86">
        <w:rPr>
          <w:rFonts w:ascii="Arial Nova" w:hAnsi="Arial Nova" w:eastAsia="Arial Nova" w:cs="Arial Nova"/>
        </w:rPr>
        <w:t xml:space="preserve"> </w:t>
      </w:r>
    </w:p>
    <w:p w:rsidR="68B990A9" w:rsidP="0E0E408E" w:rsidRDefault="68B990A9" w14:paraId="3AFAD8C2" w14:textId="6179AC28">
      <w:pPr>
        <w:pStyle w:val="Normal"/>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r w:rsidRPr="0E0E408E" w:rsidR="68B990A9">
        <w:rPr>
          <w:rFonts w:ascii="Arial Nova" w:hAnsi="Arial Nova" w:eastAsia="Arial Nova" w:cs="Arial Nova"/>
          <w:b w:val="0"/>
          <w:bCs w:val="0"/>
          <w:i w:val="0"/>
          <w:iCs w:val="0"/>
          <w:caps w:val="0"/>
          <w:smallCaps w:val="0"/>
          <w:noProof w:val="0"/>
          <w:color w:val="auto"/>
          <w:sz w:val="24"/>
          <w:szCs w:val="24"/>
          <w:lang w:val="en-US"/>
        </w:rPr>
        <w:t>World Health Organization (</w:t>
      </w:r>
      <w:r w:rsidRPr="0E0E408E" w:rsidR="4D8F9F5D">
        <w:rPr>
          <w:rFonts w:ascii="Arial Nova" w:hAnsi="Arial Nova" w:eastAsia="Arial Nova" w:cs="Arial Nova"/>
          <w:b w:val="0"/>
          <w:bCs w:val="0"/>
          <w:i w:val="0"/>
          <w:iCs w:val="0"/>
          <w:caps w:val="0"/>
          <w:smallCaps w:val="0"/>
          <w:noProof w:val="0"/>
          <w:color w:val="auto"/>
          <w:sz w:val="24"/>
          <w:szCs w:val="24"/>
          <w:lang w:val="en-US"/>
        </w:rPr>
        <w:t xml:space="preserve">2024) </w:t>
      </w:r>
      <w:r w:rsidRPr="0E0E408E" w:rsidR="4D8F9F5D">
        <w:rPr>
          <w:rFonts w:ascii="Arial Nova" w:hAnsi="Arial Nova" w:eastAsia="Arial Nova" w:cs="Arial Nova"/>
          <w:b w:val="0"/>
          <w:bCs w:val="0"/>
          <w:i w:val="1"/>
          <w:iCs w:val="1"/>
          <w:caps w:val="0"/>
          <w:smallCaps w:val="0"/>
          <w:noProof w:val="0"/>
          <w:color w:val="auto"/>
          <w:sz w:val="24"/>
          <w:szCs w:val="24"/>
          <w:lang w:val="en-US"/>
        </w:rPr>
        <w:t>WHO releases database of promising interventions to prevent and respond to abuse of older people</w:t>
      </w:r>
      <w:r w:rsidRPr="0E0E408E" w:rsidR="55853E80">
        <w:rPr>
          <w:rFonts w:ascii="Arial Nova" w:hAnsi="Arial Nova" w:eastAsia="Arial Nova" w:cs="Arial Nova"/>
          <w:b w:val="0"/>
          <w:bCs w:val="0"/>
          <w:i w:val="0"/>
          <w:iCs w:val="0"/>
          <w:caps w:val="0"/>
          <w:smallCaps w:val="0"/>
          <w:noProof w:val="0"/>
          <w:color w:val="auto"/>
          <w:sz w:val="24"/>
          <w:szCs w:val="24"/>
          <w:lang w:val="en-US"/>
        </w:rPr>
        <w:t xml:space="preserve">. Available at: </w:t>
      </w:r>
      <w:hyperlink r:id="Rc8c986d36a444509">
        <w:r w:rsidRPr="0E0E408E" w:rsidR="68B990A9">
          <w:rPr>
            <w:rStyle w:val="Hyperlink"/>
            <w:rFonts w:ascii="Arial Nova" w:hAnsi="Arial Nova" w:eastAsia="Arial Nova" w:cs="Arial Nova"/>
            <w:b w:val="0"/>
            <w:bCs w:val="0"/>
            <w:i w:val="0"/>
            <w:iCs w:val="0"/>
            <w:caps w:val="0"/>
            <w:smallCaps w:val="0"/>
            <w:noProof w:val="0"/>
            <w:sz w:val="24"/>
            <w:szCs w:val="24"/>
            <w:lang w:val="en-US"/>
          </w:rPr>
          <w:t>https://www.who.int/news/item/17-06-2024-who-releases-database-of-promising-interventions-to-prevent-and-respond-to-abuse-of-older-people</w:t>
        </w:r>
      </w:hyperlink>
      <w:r w:rsidRPr="0E0E408E" w:rsidR="3852C2A0">
        <w:rPr>
          <w:rFonts w:ascii="Arial Nova" w:hAnsi="Arial Nova" w:eastAsia="Arial Nova" w:cs="Arial Nova"/>
          <w:b w:val="0"/>
          <w:bCs w:val="0"/>
          <w:i w:val="0"/>
          <w:iCs w:val="0"/>
          <w:caps w:val="0"/>
          <w:smallCaps w:val="0"/>
          <w:noProof w:val="0"/>
          <w:color w:val="auto"/>
          <w:sz w:val="24"/>
          <w:szCs w:val="24"/>
          <w:lang w:val="en-US"/>
        </w:rPr>
        <w:t xml:space="preserve">. (Accessed on 21 June 2024). </w:t>
      </w:r>
    </w:p>
    <w:p w:rsidR="0E0E408E" w:rsidP="0E0E408E" w:rsidRDefault="0E0E408E" w14:paraId="6B5DF89B" w14:textId="07BC582C">
      <w:pPr>
        <w:pStyle w:val="Normal"/>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5PBMLyaQxR2p4A" int2:id="dqUoItAY">
      <int2:state int2:type="AugLoop_Text_Critique" int2:value="Rejected"/>
    </int2:textHash>
    <int2:textHash int2:hashCode="6qXUgC6ZG5Jt9y" int2:id="o5dSAOwk">
      <int2:state int2:type="AugLoop_Text_Critique" int2:value="Rejected"/>
    </int2:textHash>
    <int2:textHash int2:hashCode="ESRyCa3x9Gb/GC" int2:id="WckpqIjd">
      <int2:state int2:type="AugLoop_Text_Critique" int2:value="Rejected"/>
    </int2:textHash>
    <int2:bookmark int2:bookmarkName="_Int_g7vjryoZ" int2:invalidationBookmarkName="" int2:hashCode="CQu9Ug+XcUzy5P" int2:id="r44WcMDT">
      <int2:extLst>
        <oel:ext uri="426473B9-03D8-482F-96C9-C2C85392BACA">
          <int2:similarityCritique int2:version="1" int2:context="Pillemer, K., Burnes, D. &amp; MacNeil, A. (2021) Investigating the connection between ageism and elder mistreatment.">
            <int2:source int2:sourceType="Online" int2:sourceTitle="NCEA | Elder Mistreatment and Diverse Communities" int2:sourceUrl="https://ncea.acl.gov/elder-mistreatment-diverse-communities" int2:sourceSnippet="Pillemer, K., Burnes, D., &amp; MacNeil, A. (2021). Investigating the connection between ageism and elder mistreatment. Nature Aging, 1(2), 159-164. Resources. Toolkits &amp; Guides . Advancing Equity in Aging Toolkit (Justice in Aging) Tribal Elder Protection Team Toolkit (National Indigenous Elder Justice Initiative)">
              <int2:suggestions int2:citationType="Inline">
                <int2:suggestion int2:citationStyle="Mla" int2:isIdentical="0">
                  <int2:citationText>(“NCEA | Elder Mistreatment and Diverse Communities”)</int2:citationText>
                </int2:suggestion>
                <int2:suggestion int2:citationStyle="Apa" int2:isIdentical="0">
                  <int2:citationText>(“NCEA | Elder Mistreatment and Diverse Communities”)</int2:citationText>
                </int2:suggestion>
                <int2:suggestion int2:citationStyle="Chicago" int2:isIdentical="0">
                  <int2:citationText>(“NCEA | Elder Mistreatment and Diverse Communities”)</int2:citationText>
                </int2:suggestion>
              </int2:suggestions>
              <int2:suggestions int2:citationType="Full">
                <int2:suggestion int2:citationStyle="Mla" int2:isIdentical="0">
                  <int2:citationText>&lt;i&gt;NCEA | Elder Mistreatment and Diverse Communities&lt;/i&gt;, https://ncea.acl.gov/elder-mistreatment-diverse-communities.</int2:citationText>
                </int2:suggestion>
                <int2:suggestion int2:citationStyle="Apa" int2:isIdentical="0">
                  <int2:citationText>&lt;i&gt;NCEA | Elder Mistreatment and Diverse Communities&lt;/i&gt;. (n.d.). Retrieved from https://ncea.acl.gov/elder-mistreatment-diverse-communities</int2:citationText>
                </int2:suggestion>
                <int2:suggestion int2:citationStyle="Chicago" int2:isIdentical="0">
                  <int2:citationText>“NCEA | Elder Mistreatment and Diverse Communities” n.d., https://ncea.acl.gov/elder-mistreatment-diverse-communities.</int2:citationText>
                </int2:suggestion>
              </int2:suggestions>
            </int2:source>
            <int2:source int2:sourceType="Online" int2:sourceTitle="Older Adult Mistreatment | SpringerLink" int2:sourceUrl="https://link.springer.com/chapter/10.1007/978-3-031-05640-6_35" int2:sourceSnippet="Pillemer K, Burnes D, MacNeil A (2021) Investigating the connection between ageism and elder mistreatment. Nat Aging 1(2):159–164. Article PubMed Google Scholar Rogers MM, Storey JE (2019) Elder homicide: a systematic literature review. Aggress Violent Behav 48:141–151. Article Google Scholar">
              <int2:suggestions int2:citationType="Inline">
                <int2:suggestion int2:citationStyle="Mla" int2:isIdentical="0">
                  <int2:citationText>(“Older Adult Mistreatment | SpringerLink”)</int2:citationText>
                </int2:suggestion>
                <int2:suggestion int2:citationStyle="Apa" int2:isIdentical="0">
                  <int2:citationText>(“Older Adult Mistreatment | SpringerLink”)</int2:citationText>
                </int2:suggestion>
                <int2:suggestion int2:citationStyle="Chicago" int2:isIdentical="0">
                  <int2:citationText>(“Older Adult Mistreatment | SpringerLink”)</int2:citationText>
                </int2:suggestion>
              </int2:suggestions>
              <int2:suggestions int2:citationType="Full">
                <int2:suggestion int2:citationStyle="Mla" int2:isIdentical="0">
                  <int2:citationText>&lt;i&gt;Older Adult Mistreatment | SpringerLink&lt;/i&gt;, https://link.springer.com/chapter/10.1007/978-3-031-05640-6_35.</int2:citationText>
                </int2:suggestion>
                <int2:suggestion int2:citationStyle="Apa" int2:isIdentical="0">
                  <int2:citationText>&lt;i&gt;Older Adult Mistreatment | SpringerLink&lt;/i&gt;. (n.d.). Retrieved from https://link.springer.com/chapter/10.1007/978-3-031-05640-6_35</int2:citationText>
                </int2:suggestion>
                <int2:suggestion int2:citationStyle="Chicago" int2:isIdentical="0">
                  <int2:citationText>“Older Adult Mistreatment | SpringerLink” n.d., https://link.springer.com/chapter/10.1007/978-3-031-05640-6_35.</int2:citationText>
                </int2:suggestion>
              </int2:suggestions>
            </int2:source>
            <int2:source int2:sourceType="Online" int2:sourceTitle="Investigating the connection between ageism and elder mistreatment ..." int2:sourceUrl="https://www.semanticscholar.org/paper/Investigating-the-connection-between-ageism-and-Pillemer-Burnes/5626d2275a58855a1f3ebee28c8ffc049afcf116" int2:sourceSnippet="Investigating the connection between ageism and elder mistreatment. K. Pillemer, D. Burnes, Andie MacNeil. Published in Nature Aging 1 February 2021. Sociology, Psychology. Elder mistreatment is recognized as a pervasive public health problem with detrimental consequences for older adults and society.">
              <int2:suggestions int2:citationType="Inline">
                <int2:suggestion int2:citationStyle="Mla" int2:isIdentical="0">
                  <int2:citationText>(“Investigating the connection between ageism and elder mistreatment ...”)</int2:citationText>
                </int2:suggestion>
                <int2:suggestion int2:citationStyle="Apa" int2:isIdentical="0">
                  <int2:citationText>(“Investigating the connection between ageism and elder mistreatment ...”)</int2:citationText>
                </int2:suggestion>
                <int2:suggestion int2:citationStyle="Chicago" int2:isIdentical="0">
                  <int2:citationText>(“Investigating the connection between ageism and elder mistreatment ...”)</int2:citationText>
                </int2:suggestion>
              </int2:suggestions>
              <int2:suggestions int2:citationType="Full">
                <int2:suggestion int2:citationStyle="Mla" int2:isIdentical="0">
                  <int2:citationText>&lt;i&gt;Investigating the connection between ageism and elder mistreatment ...&lt;/i&gt;, https://www.semanticscholar.org/paper/Investigating-the-connection-between-ageism-and-Pillemer-Burnes/5626d2275a58855a1f3ebee28c8ffc049afcf116.</int2:citationText>
                </int2:suggestion>
                <int2:suggestion int2:citationStyle="Apa" int2:isIdentical="0">
                  <int2:citationText>&lt;i&gt;Investigating the connection between ageism and elder mistreatment ...&lt;/i&gt;. (n.d.). Retrieved from https://www.semanticscholar.org/paper/Investigating-the-connection-between-ageism-and-Pillemer-Burnes/5626d2275a58855a1f3ebee28c8ffc049afcf116</int2:citationText>
                </int2:suggestion>
                <int2:suggestion int2:citationStyle="Chicago" int2:isIdentical="0">
                  <int2:citationText>“Investigating the connection between ageism and elder mistreatment ...” n.d., https://www.semanticscholar.org/paper/Investigating-the-connection-between-ageism-and-Pillemer-Burnes/5626d2275a58855a1f3ebee28c8ffc049afcf116.</int2:citationText>
                </int2:suggestion>
              </int2:suggestions>
            </int2:source>
          </int2:similarityCritique>
        </oel:ext>
      </int2:extLst>
    </int2:bookmark>
    <int2:bookmark int2:bookmarkName="_Int_Hwa93G3b" int2:invalidationBookmarkName="" int2:hashCode="CQu9Ug+XcUzy5P" int2:id="Jqg7V38m">
      <int2:state int2:type="AugLoop_Similarity_SimilarityAnnotation" int2:value="Rejected"/>
      <int2:extLst>
        <oel:ext uri="426473B9-03D8-482F-96C9-C2C85392BACA">
          <int2:similarityCritique int2:version="1" int2:context="Pillemer, K., Burnes, D. &amp; MacNeil, A. (2021) Investigating the connection between ageism and elder mistreatment.">
            <int2:source int2:sourceType="Online" int2:sourceTitle="NCEA | Elder Mistreatment and Diverse Communities" int2:sourceUrl="https://ncea.acl.gov/elder-mistreatment-diverse-communities" int2:sourceSnippet="Pillemer, K., Burnes, D., &amp; MacNeil, A. (2021). Investigating the connection between ageism and elder mistreatment. Nature Aging, 1(2), 159-164. Resources. Toolkits &amp; Guides . Advancing Equity in Aging Toolkit (Justice in Aging) Tribal Elder Protection Team Toolkit (National Indigenous Elder Justice Initiative)">
              <int2:suggestions int2:citationType="Inline">
                <int2:suggestion int2:citationStyle="Mla" int2:isIdentical="0">
                  <int2:citationText>(“NCEA | Elder Mistreatment and Diverse Communities”)</int2:citationText>
                </int2:suggestion>
                <int2:suggestion int2:citationStyle="Apa" int2:isIdentical="0">
                  <int2:citationText>(“NCEA | Elder Mistreatment and Diverse Communities”)</int2:citationText>
                </int2:suggestion>
                <int2:suggestion int2:citationStyle="Chicago" int2:isIdentical="0">
                  <int2:citationText>(“NCEA | Elder Mistreatment and Diverse Communities”)</int2:citationText>
                </int2:suggestion>
              </int2:suggestions>
              <int2:suggestions int2:citationType="Full">
                <int2:suggestion int2:citationStyle="Mla" int2:isIdentical="0">
                  <int2:citationText>&lt;i&gt;NCEA | Elder Mistreatment and Diverse Communities&lt;/i&gt;, https://ncea.acl.gov/elder-mistreatment-diverse-communities.</int2:citationText>
                </int2:suggestion>
                <int2:suggestion int2:citationStyle="Apa" int2:isIdentical="0">
                  <int2:citationText>&lt;i&gt;NCEA | Elder Mistreatment and Diverse Communities&lt;/i&gt;. (n.d.). Retrieved from https://ncea.acl.gov/elder-mistreatment-diverse-communities</int2:citationText>
                </int2:suggestion>
                <int2:suggestion int2:citationStyle="Chicago" int2:isIdentical="0">
                  <int2:citationText>“NCEA | Elder Mistreatment and Diverse Communities” n.d., https://ncea.acl.gov/elder-mistreatment-diverse-communities.</int2:citationText>
                </int2:suggestion>
              </int2:suggestions>
            </int2:source>
            <int2:source int2:sourceType="Online" int2:sourceTitle="Older Adult Mistreatment | SpringerLink" int2:sourceUrl="https://link.springer.com/chapter/10.1007/978-3-031-05640-6_35" int2:sourceSnippet="Pillemer K, Burnes D, MacNeil A (2021) Investigating the connection between ageism and elder mistreatment. Nat Aging 1(2):159–164. Article PubMed Google Scholar Rogers MM, Storey JE (2019) Elder homicide: a systematic literature review. Aggress Violent Behav 48:141–151. Article Google Scholar">
              <int2:suggestions int2:citationType="Inline">
                <int2:suggestion int2:citationStyle="Mla" int2:isIdentical="0">
                  <int2:citationText>(“Older Adult Mistreatment | SpringerLink”)</int2:citationText>
                </int2:suggestion>
                <int2:suggestion int2:citationStyle="Apa" int2:isIdentical="0">
                  <int2:citationText>(“Older Adult Mistreatment | SpringerLink”)</int2:citationText>
                </int2:suggestion>
                <int2:suggestion int2:citationStyle="Chicago" int2:isIdentical="0">
                  <int2:citationText>(“Older Adult Mistreatment | SpringerLink”)</int2:citationText>
                </int2:suggestion>
              </int2:suggestions>
              <int2:suggestions int2:citationType="Full">
                <int2:suggestion int2:citationStyle="Mla" int2:isIdentical="0">
                  <int2:citationText>&lt;i&gt;Older Adult Mistreatment | SpringerLink&lt;/i&gt;, https://link.springer.com/chapter/10.1007/978-3-031-05640-6_35.</int2:citationText>
                </int2:suggestion>
                <int2:suggestion int2:citationStyle="Apa" int2:isIdentical="0">
                  <int2:citationText>&lt;i&gt;Older Adult Mistreatment | SpringerLink&lt;/i&gt;. (n.d.). Retrieved from https://link.springer.com/chapter/10.1007/978-3-031-05640-6_35</int2:citationText>
                </int2:suggestion>
                <int2:suggestion int2:citationStyle="Chicago" int2:isIdentical="0">
                  <int2:citationText>“Older Adult Mistreatment | SpringerLink” n.d., https://link.springer.com/chapter/10.1007/978-3-031-05640-6_35.</int2:citationText>
                </int2:suggestion>
              </int2:suggestions>
            </int2:source>
            <int2:source int2:sourceType="Online" int2:sourceTitle="Investigating the connection between ageism and elder mistreatment ..." int2:sourceUrl="https://www.semanticscholar.org/paper/Investigating-the-connection-between-ageism-and-Pillemer-Burnes/5626d2275a58855a1f3ebee28c8ffc049afcf116" int2:sourceSnippet="Investigating the connection between ageism and elder mistreatment. K. Pillemer, D. Burnes, Andie MacNeil. Published in Nature Aging 1 February 2021. Sociology, Psychology. Elder mistreatment is recognized as a pervasive public health problem with detrimental consequences for older adults and society.">
              <int2:suggestions int2:citationType="Inline">
                <int2:suggestion int2:citationStyle="Mla" int2:isIdentical="0">
                  <int2:citationText>(“Investigating the connection between ageism and elder mistreatment ...”)</int2:citationText>
                </int2:suggestion>
                <int2:suggestion int2:citationStyle="Apa" int2:isIdentical="0">
                  <int2:citationText>(“Investigating the connection between ageism and elder mistreatment ...”)</int2:citationText>
                </int2:suggestion>
                <int2:suggestion int2:citationStyle="Chicago" int2:isIdentical="0">
                  <int2:citationText>(“Investigating the connection between ageism and elder mistreatment ...”)</int2:citationText>
                </int2:suggestion>
              </int2:suggestions>
              <int2:suggestions int2:citationType="Full">
                <int2:suggestion int2:citationStyle="Mla" int2:isIdentical="0">
                  <int2:citationText>&lt;i&gt;Investigating the connection between ageism and elder mistreatment ...&lt;/i&gt;, https://www.semanticscholar.org/paper/Investigating-the-connection-between-ageism-and-Pillemer-Burnes/5626d2275a58855a1f3ebee28c8ffc049afcf116.</int2:citationText>
                </int2:suggestion>
                <int2:suggestion int2:citationStyle="Apa" int2:isIdentical="0">
                  <int2:citationText>&lt;i&gt;Investigating the connection between ageism and elder mistreatment ...&lt;/i&gt;. (n.d.). Retrieved from https://www.semanticscholar.org/paper/Investigating-the-connection-between-ageism-and-Pillemer-Burnes/5626d2275a58855a1f3ebee28c8ffc049afcf116</int2:citationText>
                </int2:suggestion>
                <int2:suggestion int2:citationStyle="Chicago" int2:isIdentical="0">
                  <int2:citationText>“Investigating the connection between ageism and elder mistreatment ...” n.d., https://www.semanticscholar.org/paper/Investigating-the-connection-between-ageism-and-Pillemer-Burnes/5626d2275a58855a1f3ebee28c8ffc049afcf116.</int2:citationText>
                </int2:suggestion>
              </int2:suggestions>
            </int2:source>
          </int2:similarityCritique>
        </oel:ext>
      </int2:extLst>
    </int2:bookmark>
    <int2:bookmark int2:bookmarkName="_Int_U6uOgrKJ" int2:invalidationBookmarkName="" int2:hashCode="9CkDDPXA+vNvrD" int2:id="xidt0wlA">
      <int2:state int2:type="AugLoop_Text_Critique" int2:value="Rejected"/>
    </int2:bookmark>
    <int2:bookmark int2:bookmarkName="_Int_P6tZxGv1" int2:invalidationBookmarkName="" int2:hashCode="9CkDDPXA+vNvrD" int2:id="dqSRBCTX">
      <int2:state int2:type="AugLoop_Text_Critique" int2:value="Rejected"/>
    </int2:bookmark>
    <int2:entireDocument int2:id="SmrjIUWH">
      <int2:extLst>
        <oel:ext uri="E302BA01-7950-474C-9AD3-286E660C40A8">
          <int2:similaritySummary int2:version="1" int2:runId="1719063555947" int2:tilesCheckedInThisRun="2" int2:totalNumOfTiles="14" int2:similarityAnnotationCount="1" int2:numWords="705" int2:numFlaggedWords="15"/>
        </oel:ext>
      </int2:extLst>
    </int2:entireDocument>
  </int2:observations>
  <int2:intelligenceSettings/>
  <int2:onDemandWorkflows>
    <int2:onDemandWorkflow int2:type="SimilarityCheck" int2:paragraphVersions="4CB6DA11-650D1F9A 69642FF8-61421D19 517AA094-54A2E1A5 15F37304-403399D7 47FBDE2E-7BA450DC 49D4BCF4-2B7C8D2B 3C418105-391B12DD 73B13530-122827AF 02B518C8-634675C0 7DF44725-3FA7257E 378CF44B-6F069241 6C83655D-4AB6CDF8 75735E78-10CD780B 274D7FDD-7F5C87F8 738D2209-7FF222A3 312B172B-6DFCE699 7CFE8971-238E07E5 76EFD26A-558E7850 2C51D702-66C26C26 677D18BD-5387A702 306A33E0-7431EA1C 479C3D20-7B1F7670 29FC57C9-3A3B5D98 0758F734-59DD1796 53C63F4F-6908A0C1 199F4D1C-51909808 35454864-16D0A408 30E627E6-1C0AAAB1 1780A449-2A14B9AC 33398B25-7B1F55FC 235361A8-2ABCF3E6 2321EC90-3D87E7EE 021F303E-1888574A 26B1E579-5472FA1B 7963F55C-658BD03F 530BE148-265E98E3 6D6E0AD9-76AE9A9E 1E08D888-40ADA0E9 3AFAD8C2-6179AC28 6B5DF89B-07BC582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602E81"/>
    <w:rsid w:val="01896894"/>
    <w:rsid w:val="018B55ED"/>
    <w:rsid w:val="0465587D"/>
    <w:rsid w:val="0505A00B"/>
    <w:rsid w:val="06328CC7"/>
    <w:rsid w:val="07C33481"/>
    <w:rsid w:val="07F60FA2"/>
    <w:rsid w:val="09DD21E1"/>
    <w:rsid w:val="0A54786F"/>
    <w:rsid w:val="0B5801E9"/>
    <w:rsid w:val="0C01DCF7"/>
    <w:rsid w:val="0C54840D"/>
    <w:rsid w:val="0D1C04F6"/>
    <w:rsid w:val="0E0E408E"/>
    <w:rsid w:val="0E832A14"/>
    <w:rsid w:val="1297485C"/>
    <w:rsid w:val="1328DD5B"/>
    <w:rsid w:val="13B96101"/>
    <w:rsid w:val="16020E22"/>
    <w:rsid w:val="178BEE7D"/>
    <w:rsid w:val="203DEB9E"/>
    <w:rsid w:val="246F8A3C"/>
    <w:rsid w:val="2580B9AD"/>
    <w:rsid w:val="25B4E469"/>
    <w:rsid w:val="25CC94A7"/>
    <w:rsid w:val="283C284C"/>
    <w:rsid w:val="285EF95E"/>
    <w:rsid w:val="287E0433"/>
    <w:rsid w:val="29F56BC9"/>
    <w:rsid w:val="2C19FC79"/>
    <w:rsid w:val="2C2415E9"/>
    <w:rsid w:val="2E3F00F0"/>
    <w:rsid w:val="2F3E36C8"/>
    <w:rsid w:val="310CEA16"/>
    <w:rsid w:val="32FE3ADD"/>
    <w:rsid w:val="34602E81"/>
    <w:rsid w:val="358FD99B"/>
    <w:rsid w:val="36EDDD89"/>
    <w:rsid w:val="3852C2A0"/>
    <w:rsid w:val="3920BBD3"/>
    <w:rsid w:val="39AEEF42"/>
    <w:rsid w:val="3D1EAA86"/>
    <w:rsid w:val="3D63AF2F"/>
    <w:rsid w:val="40C58000"/>
    <w:rsid w:val="41619283"/>
    <w:rsid w:val="44BA5B11"/>
    <w:rsid w:val="467A3F0E"/>
    <w:rsid w:val="46B64D92"/>
    <w:rsid w:val="4871B189"/>
    <w:rsid w:val="4AFC06EA"/>
    <w:rsid w:val="4BB3FAB3"/>
    <w:rsid w:val="4CF7AA8A"/>
    <w:rsid w:val="4D8F9F5D"/>
    <w:rsid w:val="4E0E4B11"/>
    <w:rsid w:val="4F211803"/>
    <w:rsid w:val="5130A686"/>
    <w:rsid w:val="5330B4D5"/>
    <w:rsid w:val="53BB07B2"/>
    <w:rsid w:val="53CF0B4B"/>
    <w:rsid w:val="5412751A"/>
    <w:rsid w:val="550BF1E4"/>
    <w:rsid w:val="5518AB81"/>
    <w:rsid w:val="55853E80"/>
    <w:rsid w:val="56CCDE57"/>
    <w:rsid w:val="589A3DA7"/>
    <w:rsid w:val="595E956C"/>
    <w:rsid w:val="5B295BAB"/>
    <w:rsid w:val="5BD614C3"/>
    <w:rsid w:val="5BEB441A"/>
    <w:rsid w:val="5EB44C0D"/>
    <w:rsid w:val="5F48F935"/>
    <w:rsid w:val="60780F9D"/>
    <w:rsid w:val="62B7C766"/>
    <w:rsid w:val="63CEBD5E"/>
    <w:rsid w:val="65C51810"/>
    <w:rsid w:val="6618A922"/>
    <w:rsid w:val="68B990A9"/>
    <w:rsid w:val="69BD90C0"/>
    <w:rsid w:val="6F35C1E7"/>
    <w:rsid w:val="700C0C75"/>
    <w:rsid w:val="712FB3A2"/>
    <w:rsid w:val="7362A16B"/>
    <w:rsid w:val="74A0DC72"/>
    <w:rsid w:val="7720C817"/>
    <w:rsid w:val="77EDE758"/>
    <w:rsid w:val="79286147"/>
    <w:rsid w:val="79BBEEA7"/>
    <w:rsid w:val="7AA4E21D"/>
    <w:rsid w:val="7BBBDA05"/>
    <w:rsid w:val="7E33A802"/>
    <w:rsid w:val="7E55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02E81"/>
  <w15:chartTrackingRefBased/>
  <w15:docId w15:val="{50B60EA7-C0DB-40FB-AD45-6B5D56ED48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who.int/news/item/17-06-2024-who-releases-database-of-promising-interventions-to-prevent-and-respond-to-abuse-of-older-people" TargetMode="External" Id="Rc8c986d36a444509" /><Relationship Type="http://schemas.microsoft.com/office/2020/10/relationships/intelligence" Target="intelligence2.xml" Id="Rf641f67cca9e40e7" /><Relationship Type="http://schemas.openxmlformats.org/officeDocument/2006/relationships/hyperlink" Target="https://www.ageuk.org.uk/cymru/our-work/safeguarding/what-is-abuse/" TargetMode="External" Id="R1d0c8a516320411a" /><Relationship Type="http://schemas.openxmlformats.org/officeDocument/2006/relationships/hyperlink" Target="https://www.nia.nih.gov/health/elder-abuse/elder-abuse" TargetMode="External" Id="Rb85fd2a01ed34afc" /><Relationship Type="http://schemas.openxmlformats.org/officeDocument/2006/relationships/hyperlink" Target="https://www.who.int/news-room/fact-sheets/detail/abuse-of-older-people" TargetMode="External" Id="R85da904415c54f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2024-06-21T20:53:29.8725964Z</dcterms:created>
  <dcterms:modified xsi:type="dcterms:W3CDTF">2024-06-27T15:28:10.4897372Z</dcterms:modified>
  <dc:creator>Clare Mwenya (2238202)</dc:creator>
  <lastModifiedBy>Clare Mwenya (2238202)</lastModifiedBy>
</coreProperties>
</file>