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3A31B5" w14:textId="1F53B108" w:rsidR="00AF3902" w:rsidRPr="00E87041" w:rsidRDefault="00AF3902">
      <w:pPr>
        <w:rPr>
          <w:rFonts w:ascii="Arial" w:hAnsi="Arial" w:cs="Arial"/>
          <w:sz w:val="23"/>
          <w:szCs w:val="23"/>
          <w:lang w:val="nb-NO"/>
        </w:rPr>
      </w:pPr>
      <w:proofErr w:type="spellStart"/>
      <w:r w:rsidRPr="00E87041">
        <w:rPr>
          <w:rFonts w:ascii="Arial" w:hAnsi="Arial" w:cs="Arial"/>
          <w:sz w:val="23"/>
          <w:szCs w:val="23"/>
          <w:lang w:val="nb-NO"/>
        </w:rPr>
        <w:t>BSc</w:t>
      </w:r>
      <w:proofErr w:type="spellEnd"/>
      <w:r w:rsidRPr="00E87041">
        <w:rPr>
          <w:rFonts w:ascii="Arial" w:hAnsi="Arial" w:cs="Arial"/>
          <w:sz w:val="23"/>
          <w:szCs w:val="23"/>
          <w:lang w:val="nb-NO"/>
        </w:rPr>
        <w:t xml:space="preserve"> Health and </w:t>
      </w:r>
      <w:proofErr w:type="spellStart"/>
      <w:r w:rsidRPr="00E87041">
        <w:rPr>
          <w:rFonts w:ascii="Arial" w:hAnsi="Arial" w:cs="Arial"/>
          <w:sz w:val="23"/>
          <w:szCs w:val="23"/>
          <w:lang w:val="nb-NO"/>
        </w:rPr>
        <w:t>Social</w:t>
      </w:r>
      <w:proofErr w:type="spellEnd"/>
      <w:r w:rsidRPr="00E87041">
        <w:rPr>
          <w:rFonts w:ascii="Arial" w:hAnsi="Arial" w:cs="Arial"/>
          <w:sz w:val="23"/>
          <w:szCs w:val="23"/>
          <w:lang w:val="nb-NO"/>
        </w:rPr>
        <w:t xml:space="preserve"> Care</w:t>
      </w:r>
    </w:p>
    <w:p w14:paraId="752714CC" w14:textId="6F96858E" w:rsidR="00AF3902" w:rsidRPr="00E87041" w:rsidRDefault="00AF3902">
      <w:pPr>
        <w:rPr>
          <w:rFonts w:ascii="Arial" w:hAnsi="Arial" w:cs="Arial"/>
          <w:sz w:val="23"/>
          <w:szCs w:val="23"/>
        </w:rPr>
      </w:pPr>
      <w:r w:rsidRPr="00E87041">
        <w:rPr>
          <w:rFonts w:ascii="Arial" w:hAnsi="Arial" w:cs="Arial"/>
          <w:sz w:val="23"/>
          <w:szCs w:val="23"/>
        </w:rPr>
        <w:t>Protecting and Supporting Families in Health and Care</w:t>
      </w:r>
    </w:p>
    <w:p w14:paraId="053D927F" w14:textId="0BBEADBF" w:rsidR="00AF3902" w:rsidRPr="00E87041" w:rsidRDefault="00AF3902">
      <w:pPr>
        <w:rPr>
          <w:rFonts w:ascii="Arial" w:hAnsi="Arial" w:cs="Arial"/>
          <w:sz w:val="23"/>
          <w:szCs w:val="23"/>
        </w:rPr>
      </w:pPr>
      <w:r w:rsidRPr="00E87041">
        <w:rPr>
          <w:rFonts w:ascii="Arial" w:hAnsi="Arial" w:cs="Arial"/>
          <w:sz w:val="23"/>
          <w:szCs w:val="23"/>
        </w:rPr>
        <w:t>BMHP5021</w:t>
      </w:r>
    </w:p>
    <w:p w14:paraId="2F2CF38B" w14:textId="67B3E17F" w:rsidR="00AF3902" w:rsidRDefault="00AF3902">
      <w:pPr>
        <w:rPr>
          <w:rFonts w:ascii="Arial" w:hAnsi="Arial" w:cs="Arial"/>
          <w:sz w:val="23"/>
          <w:szCs w:val="23"/>
        </w:rPr>
      </w:pPr>
      <w:r w:rsidRPr="00E87041">
        <w:rPr>
          <w:rFonts w:ascii="Arial" w:hAnsi="Arial" w:cs="Arial"/>
          <w:sz w:val="23"/>
          <w:szCs w:val="23"/>
        </w:rPr>
        <w:t xml:space="preserve">Philip Jones </w:t>
      </w:r>
    </w:p>
    <w:p w14:paraId="58AC4083" w14:textId="58ABCAEB" w:rsidR="00E87041" w:rsidRPr="00E87041" w:rsidRDefault="00E87041">
      <w:pPr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Shanice Clarke - 2328766</w:t>
      </w:r>
    </w:p>
    <w:p w14:paraId="4BCD343D" w14:textId="242C8BF5" w:rsidR="00AF3902" w:rsidRPr="00E87041" w:rsidRDefault="00AF3902">
      <w:pPr>
        <w:rPr>
          <w:rFonts w:ascii="Arial" w:hAnsi="Arial" w:cs="Arial"/>
          <w:sz w:val="23"/>
          <w:szCs w:val="23"/>
        </w:rPr>
      </w:pPr>
      <w:r w:rsidRPr="00E87041">
        <w:rPr>
          <w:rFonts w:ascii="Arial" w:hAnsi="Arial" w:cs="Arial"/>
          <w:sz w:val="23"/>
          <w:szCs w:val="23"/>
        </w:rPr>
        <w:t>Individual Reference List – Component 1</w:t>
      </w:r>
    </w:p>
    <w:p w14:paraId="505E45BE" w14:textId="77777777" w:rsidR="00AF3902" w:rsidRPr="00E87041" w:rsidRDefault="00AF3902">
      <w:pPr>
        <w:rPr>
          <w:rFonts w:ascii="Arial" w:hAnsi="Arial" w:cs="Arial"/>
          <w:sz w:val="23"/>
          <w:szCs w:val="23"/>
        </w:rPr>
      </w:pPr>
    </w:p>
    <w:p w14:paraId="4B1AF265" w14:textId="77777777" w:rsidR="00AF3902" w:rsidRPr="00E87041" w:rsidRDefault="00AF3902">
      <w:pPr>
        <w:rPr>
          <w:rFonts w:ascii="Arial" w:hAnsi="Arial" w:cs="Arial"/>
          <w:i/>
          <w:iCs/>
          <w:sz w:val="23"/>
          <w:szCs w:val="23"/>
        </w:rPr>
      </w:pPr>
    </w:p>
    <w:p w14:paraId="05FEA729" w14:textId="2771FE57" w:rsidR="00AF3902" w:rsidRPr="00E87041" w:rsidRDefault="00AF3902">
      <w:pPr>
        <w:rPr>
          <w:rFonts w:ascii="Arial" w:hAnsi="Arial" w:cs="Arial"/>
          <w:i/>
          <w:iCs/>
          <w:sz w:val="23"/>
          <w:szCs w:val="23"/>
        </w:rPr>
      </w:pPr>
      <w:r w:rsidRPr="00E87041">
        <w:rPr>
          <w:rFonts w:ascii="Arial" w:hAnsi="Arial" w:cs="Arial"/>
          <w:i/>
          <w:iCs/>
          <w:sz w:val="23"/>
          <w:szCs w:val="23"/>
        </w:rPr>
        <w:t>Reference List</w:t>
      </w:r>
    </w:p>
    <w:p w14:paraId="6C67480F" w14:textId="77777777" w:rsidR="00E87041" w:rsidRPr="00E87041" w:rsidRDefault="00E87041">
      <w:pPr>
        <w:rPr>
          <w:rFonts w:ascii="Arial" w:hAnsi="Arial" w:cs="Arial"/>
          <w:sz w:val="23"/>
          <w:szCs w:val="23"/>
        </w:rPr>
      </w:pPr>
    </w:p>
    <w:p w14:paraId="51EECF3D" w14:textId="5395EA06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Bronfenbrenner, U. (1992) Ecological Systems Theory.</w:t>
      </w:r>
      <w:r w:rsidRPr="00E87041">
        <w:rPr>
          <w:rFonts w:ascii="Arial" w:hAnsi="Arial" w:cs="Arial"/>
          <w:color w:val="242424"/>
          <w:sz w:val="23"/>
          <w:szCs w:val="23"/>
        </w:rPr>
        <w:t xml:space="preserve"> </w:t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London: Jessica Kingsley Publishers.</w:t>
      </w:r>
    </w:p>
    <w:p w14:paraId="686126DE" w14:textId="77777777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</w:p>
    <w:p w14:paraId="20E3A75A" w14:textId="768BDA88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  <w:hyperlink r:id="rId5" w:history="1">
        <w:r w:rsidRPr="00E87041">
          <w:rPr>
            <w:rStyle w:val="Hyperlink"/>
            <w:rFonts w:ascii="Arial" w:hAnsi="Arial" w:cs="Arial"/>
            <w:sz w:val="23"/>
            <w:szCs w:val="23"/>
          </w:rPr>
          <w:t>Department for Education (DfE) (2023) Working Together to Safeguard Children. London: DfE.</w:t>
        </w:r>
      </w:hyperlink>
    </w:p>
    <w:p w14:paraId="6CDF5530" w14:textId="77777777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</w:p>
    <w:p w14:paraId="3510C3F5" w14:textId="55F5EDDD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  <w:proofErr w:type="spellStart"/>
      <w:r w:rsidRPr="00E87041">
        <w:rPr>
          <w:rFonts w:ascii="Arial" w:hAnsi="Arial" w:cs="Arial"/>
          <w:color w:val="000000"/>
          <w:sz w:val="23"/>
          <w:szCs w:val="23"/>
          <w:lang w:val="nb-NO"/>
        </w:rPr>
        <w:t>Felitti</w:t>
      </w:r>
      <w:proofErr w:type="spellEnd"/>
      <w:r w:rsidRPr="00E87041">
        <w:rPr>
          <w:rFonts w:ascii="Arial" w:hAnsi="Arial" w:cs="Arial"/>
          <w:color w:val="000000"/>
          <w:sz w:val="23"/>
          <w:szCs w:val="23"/>
          <w:lang w:val="nb-NO"/>
        </w:rPr>
        <w:t xml:space="preserve">, V.J. et al. </w:t>
      </w:r>
      <w:r w:rsidRPr="00E87041">
        <w:rPr>
          <w:rFonts w:ascii="Arial" w:hAnsi="Arial" w:cs="Arial"/>
          <w:color w:val="000000"/>
          <w:sz w:val="23"/>
          <w:szCs w:val="23"/>
        </w:rPr>
        <w:t>(1998) 'Relationship of Childhood Abuse and Household Dysfunction to Many of the Leading Causes of Death in Adults: The Adverse Childhood Experiences (ACE) Study!' American Journal of Preventive Medicine, 14(4), pp. 245-258.</w:t>
      </w:r>
    </w:p>
    <w:p w14:paraId="43A60E45" w14:textId="77777777" w:rsidR="00AF3902" w:rsidRPr="00E87041" w:rsidRDefault="00AF3902" w:rsidP="00AF3902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</w:p>
    <w:p w14:paraId="70FF821E" w14:textId="06CF13AE" w:rsidR="00824AB3" w:rsidRPr="00E87041" w:rsidRDefault="00824AB3" w:rsidP="00824AB3">
      <w:pPr>
        <w:pStyle w:val="NormalWeb"/>
        <w:spacing w:before="0" w:beforeAutospacing="0" w:after="0" w:afterAutospacing="0"/>
        <w:rPr>
          <w:rStyle w:val="Hyperlink"/>
          <w:rFonts w:ascii="Arial" w:hAnsi="Arial" w:cs="Arial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fldChar w:fldCharType="begin"/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instrText>HYPERLINK "https://www.careknowledge.com/media/%2057784/2023blackburndarwenblackpoollancashirechild-fcspr.pdf"</w:instrText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fldChar w:fldCharType="separate"/>
      </w:r>
      <w:r w:rsidRPr="00E87041">
        <w:rPr>
          <w:rStyle w:val="Hyperlink"/>
          <w:rFonts w:ascii="Arial" w:hAnsi="Arial" w:cs="Arial"/>
          <w:sz w:val="23"/>
          <w:szCs w:val="23"/>
          <w:bdr w:val="none" w:sz="0" w:space="0" w:color="auto" w:frame="1"/>
        </w:rPr>
        <w:t>Green, C. (2023) Child Safeguarding Practice Review:</w:t>
      </w:r>
    </w:p>
    <w:p w14:paraId="152FA5EC" w14:textId="69C0CF12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  <w:r w:rsidRPr="00E87041">
        <w:rPr>
          <w:rStyle w:val="Hyperlink"/>
          <w:rFonts w:ascii="Arial" w:hAnsi="Arial" w:cs="Arial"/>
          <w:sz w:val="23"/>
          <w:szCs w:val="23"/>
          <w:bdr w:val="none" w:sz="0" w:space="0" w:color="auto" w:frame="1"/>
        </w:rPr>
        <w:t>Overview Report — Child F: The Murder of F. Blackburn with Darwen, Blackpool and Lancashire Children's Safeguarding Assurance Partnership.</w:t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fldChar w:fldCharType="end"/>
      </w:r>
    </w:p>
    <w:p w14:paraId="1FE20EC0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</w:p>
    <w:p w14:paraId="30DFA587" w14:textId="4ACA8CC1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  <w:hyperlink r:id="rId6" w:history="1">
        <w:r w:rsidRPr="00E87041">
          <w:rPr>
            <w:rStyle w:val="Hyperlink"/>
            <w:rFonts w:ascii="Arial" w:hAnsi="Arial" w:cs="Arial"/>
            <w:sz w:val="23"/>
            <w:szCs w:val="23"/>
            <w:bdr w:val="none" w:sz="0" w:space="0" w:color="auto" w:frame="1"/>
          </w:rPr>
          <w:t>Legislation.gov.uk (1989) Children Act 1989. London:</w:t>
        </w:r>
        <w:r w:rsidRPr="00E87041">
          <w:rPr>
            <w:rStyle w:val="Hyperlink"/>
            <w:rFonts w:ascii="Arial" w:hAnsi="Arial" w:cs="Arial"/>
            <w:sz w:val="23"/>
            <w:szCs w:val="23"/>
          </w:rPr>
          <w:t xml:space="preserve"> </w:t>
        </w:r>
        <w:r w:rsidRPr="00E87041">
          <w:rPr>
            <w:rStyle w:val="Hyperlink"/>
            <w:rFonts w:ascii="Arial" w:hAnsi="Arial" w:cs="Arial"/>
            <w:sz w:val="23"/>
            <w:szCs w:val="23"/>
            <w:bdr w:val="none" w:sz="0" w:space="0" w:color="auto" w:frame="1"/>
          </w:rPr>
          <w:t>HMSO.</w:t>
        </w:r>
      </w:hyperlink>
    </w:p>
    <w:p w14:paraId="640B3349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</w:p>
    <w:p w14:paraId="7A6C7821" w14:textId="21B75E44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  <w:hyperlink r:id="rId7" w:history="1">
        <w:r w:rsidRPr="00E87041">
          <w:rPr>
            <w:rStyle w:val="Hyperlink"/>
            <w:rFonts w:ascii="Arial" w:hAnsi="Arial" w:cs="Arial"/>
            <w:sz w:val="23"/>
            <w:szCs w:val="23"/>
            <w:bdr w:val="none" w:sz="0" w:space="0" w:color="auto" w:frame="1"/>
          </w:rPr>
          <w:t>Legislation.gov.uk (2004) Children Act 2004. London:</w:t>
        </w:r>
        <w:r w:rsidRPr="00E87041">
          <w:rPr>
            <w:rStyle w:val="Hyperlink"/>
            <w:rFonts w:ascii="Arial" w:hAnsi="Arial" w:cs="Arial"/>
            <w:sz w:val="23"/>
            <w:szCs w:val="23"/>
          </w:rPr>
          <w:t xml:space="preserve"> </w:t>
        </w:r>
        <w:r w:rsidRPr="00E87041">
          <w:rPr>
            <w:rStyle w:val="Hyperlink"/>
            <w:rFonts w:ascii="Arial" w:hAnsi="Arial" w:cs="Arial"/>
            <w:sz w:val="23"/>
            <w:szCs w:val="23"/>
            <w:bdr w:val="none" w:sz="0" w:space="0" w:color="auto" w:frame="1"/>
          </w:rPr>
          <w:t>HMSO.</w:t>
        </w:r>
      </w:hyperlink>
    </w:p>
    <w:p w14:paraId="57A909B2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</w:pPr>
    </w:p>
    <w:p w14:paraId="24AC484E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Legislation.gov.uk (2017) Children and Social Work Act</w:t>
      </w:r>
    </w:p>
    <w:p w14:paraId="005E8F1D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2017. London: HMSO</w:t>
      </w:r>
    </w:p>
    <w:p w14:paraId="0AFAEE4B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</w:p>
    <w:p w14:paraId="5DB5C461" w14:textId="55D3C4B0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National Institute for Health and Care Excellence (NICE)</w:t>
      </w:r>
      <w:r w:rsidRPr="00E87041">
        <w:rPr>
          <w:rFonts w:ascii="Arial" w:hAnsi="Arial" w:cs="Arial"/>
          <w:color w:val="242424"/>
          <w:sz w:val="23"/>
          <w:szCs w:val="23"/>
        </w:rPr>
        <w:t xml:space="preserve"> </w:t>
      </w: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(2022) Social, Emotional and Mental Wellbeing in Schools (NG223). London: NICE</w:t>
      </w:r>
    </w:p>
    <w:p w14:paraId="039C6E86" w14:textId="77777777" w:rsidR="00824AB3" w:rsidRPr="00E87041" w:rsidRDefault="00824AB3" w:rsidP="00824AB3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</w:p>
    <w:p w14:paraId="424C37CB" w14:textId="40E8FCE0" w:rsidR="00824AB3" w:rsidRPr="00E87041" w:rsidRDefault="00E87041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</w:rPr>
        <w:t>NSPCC Learning (2025) Adultification and Safeguarding Practice Guidance</w:t>
      </w:r>
    </w:p>
    <w:p w14:paraId="7E76A1B0" w14:textId="77777777" w:rsidR="00E87041" w:rsidRPr="00E87041" w:rsidRDefault="00E87041" w:rsidP="00824AB3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3"/>
          <w:szCs w:val="23"/>
        </w:rPr>
      </w:pPr>
    </w:p>
    <w:p w14:paraId="1A4BD175" w14:textId="77777777" w:rsidR="00E87041" w:rsidRPr="00E87041" w:rsidRDefault="00E87041" w:rsidP="00E87041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Research in Practice (2020) Transitional Safeguarding:</w:t>
      </w:r>
    </w:p>
    <w:p w14:paraId="6BFEE5F3" w14:textId="0474F192" w:rsidR="00AF3902" w:rsidRPr="008B4C7C" w:rsidRDefault="00E87041" w:rsidP="008B4C7C">
      <w:pPr>
        <w:pStyle w:val="NormalWeb"/>
        <w:spacing w:before="0" w:beforeAutospacing="0" w:after="0" w:afterAutospacing="0"/>
        <w:rPr>
          <w:rFonts w:ascii="Arial" w:hAnsi="Arial" w:cs="Arial"/>
          <w:color w:val="242424"/>
          <w:sz w:val="23"/>
          <w:szCs w:val="23"/>
        </w:rPr>
      </w:pPr>
      <w:r w:rsidRPr="00E87041">
        <w:rPr>
          <w:rFonts w:ascii="Arial" w:hAnsi="Arial" w:cs="Arial"/>
          <w:color w:val="000000"/>
          <w:sz w:val="23"/>
          <w:szCs w:val="23"/>
          <w:bdr w:val="none" w:sz="0" w:space="0" w:color="auto" w:frame="1"/>
        </w:rPr>
        <w:t>Adolescence to Adulthood - Strategic Briefing Dartington: Research in Practice.</w:t>
      </w:r>
    </w:p>
    <w:sectPr w:rsidR="00AF3902" w:rsidRPr="008B4C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3902"/>
    <w:rsid w:val="00824AB3"/>
    <w:rsid w:val="008B4C7C"/>
    <w:rsid w:val="009067E9"/>
    <w:rsid w:val="00AF3902"/>
    <w:rsid w:val="00E87041"/>
    <w:rsid w:val="00FD7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2BC21"/>
  <w15:chartTrackingRefBased/>
  <w15:docId w15:val="{7DBE483D-F752-0C41-9058-19C570782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39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39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39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39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39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39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39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39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39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39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39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39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39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39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39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39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39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39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39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39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39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39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39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39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39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39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39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39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390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F39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F39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3902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E870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%20ukpga/2004/31/content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gislation.gov.uk/%20ukpga/1989/41/contents" TargetMode="External"/><Relationship Id="rId5" Type="http://schemas.openxmlformats.org/officeDocument/2006/relationships/hyperlink" Target="https://www.gov.uk/government/publication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C567D01-1778-E148-B199-36DADDFD45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248</Words>
  <Characters>1418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Shanice Clarke (2328766)</dc:creator>
  <cp:keywords/>
  <dc:description/>
  <cp:lastModifiedBy>Shanice Clarke (2328766)</cp:lastModifiedBy>
  <cp:revision>1</cp:revision>
  <dcterms:created xsi:type="dcterms:W3CDTF">2025-10-22T09:02:00Z</dcterms:created>
  <dcterms:modified xsi:type="dcterms:W3CDTF">2025-10-22T10:04:00Z</dcterms:modified>
</cp:coreProperties>
</file>