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rFonts w:ascii="Arial" w:cs="Arial" w:hAnsi="Arial"/>
          <w:b/>
          <w:bCs/>
          <w:sz w:val="32"/>
          <w:szCs w:val="32"/>
        </w:rPr>
      </w:pPr>
      <w:r>
        <w:rPr>
          <w:rFonts w:ascii="Arial" w:cs="Arial" w:hAnsi="Arial"/>
          <w:b/>
          <w:bCs/>
          <w:sz w:val="32"/>
          <w:szCs w:val="32"/>
        </w:rPr>
        <w:t>HR Response to Grievances at Cadbury (Birmingham)</w:t>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b/>
          <w:bCs/>
          <w:sz w:val="36"/>
          <w:szCs w:val="36"/>
        </w:rPr>
      </w:pPr>
      <w:r>
        <w:rPr>
          <w:rFonts w:ascii="Arial" w:cs="Arial" w:hAnsi="Arial"/>
          <w:sz w:val="36"/>
          <w:szCs w:val="36"/>
        </w:rPr>
        <w:t xml:space="preserve">      </w:t>
      </w:r>
      <w:r>
        <w:rPr>
          <w:rFonts w:ascii="Arial" w:cs="Arial" w:hAnsi="Arial"/>
          <w:b/>
          <w:bCs/>
          <w:sz w:val="36"/>
          <w:szCs w:val="36"/>
        </w:rPr>
        <w:t xml:space="preserve">Developing and Managing Individuals </w:t>
      </w:r>
      <w:r>
        <w:rPr>
          <w:rFonts w:ascii="Arial" w:cs="Arial" w:hAnsi="Arial"/>
          <w:b/>
          <w:bCs/>
          <w:sz w:val="36"/>
          <w:szCs w:val="36"/>
          <w:lang w:val="en-US"/>
        </w:rPr>
        <w:t xml:space="preserve">and </w:t>
      </w:r>
      <w:r>
        <w:rPr>
          <w:rFonts w:ascii="Arial" w:cs="Arial" w:hAnsi="Arial"/>
          <w:b/>
          <w:bCs/>
          <w:sz w:val="36"/>
          <w:szCs w:val="36"/>
        </w:rPr>
        <w:t>Teams</w:t>
      </w:r>
    </w:p>
    <w:p>
      <w:pPr>
        <w:pStyle w:val="style0"/>
        <w:spacing w:lineRule="auto" w:line="360"/>
        <w:jc w:val="both"/>
        <w:rPr>
          <w:rFonts w:ascii="Arial" w:cs="Arial" w:hAnsi="Arial"/>
          <w:b/>
          <w:bCs/>
          <w:sz w:val="36"/>
          <w:szCs w:val="36"/>
        </w:rPr>
      </w:pPr>
      <w:r>
        <w:rPr>
          <w:rFonts w:ascii="Arial" w:cs="Arial" w:hAnsi="Arial"/>
          <w:b/>
          <w:bCs/>
          <w:sz w:val="36"/>
          <w:szCs w:val="36"/>
          <w:lang w:val="en-US"/>
        </w:rPr>
        <w:t xml:space="preserve"> </w:t>
      </w:r>
      <w:r>
        <w:rPr>
          <w:rFonts w:ascii="Arial" w:cs="Arial" w:hAnsi="Arial"/>
          <w:b/>
          <w:bCs/>
          <w:sz w:val="36"/>
          <w:szCs w:val="36"/>
        </w:rPr>
        <w:t xml:space="preserve">                                         LCLM5002   </w:t>
      </w:r>
    </w:p>
    <w:p>
      <w:pPr>
        <w:pStyle w:val="style0"/>
        <w:spacing w:lineRule="auto" w:line="360"/>
        <w:jc w:val="both"/>
        <w:rPr>
          <w:rFonts w:ascii="Arial" w:cs="Arial" w:hAnsi="Arial"/>
          <w:b/>
          <w:bCs/>
          <w:sz w:val="36"/>
          <w:szCs w:val="36"/>
        </w:rPr>
      </w:pPr>
      <w:r>
        <w:rPr>
          <w:rFonts w:ascii="Arial" w:cs="Arial" w:hAnsi="Arial"/>
          <w:b/>
          <w:bCs/>
          <w:sz w:val="36"/>
          <w:szCs w:val="36"/>
          <w:lang w:val="en-US"/>
        </w:rPr>
        <w:t xml:space="preserve">                                  Fayza</w:t>
      </w:r>
      <w:r>
        <w:rPr>
          <w:rFonts w:ascii="Arial" w:cs="Arial" w:hAnsi="Arial"/>
          <w:b/>
          <w:bCs/>
          <w:sz w:val="36"/>
          <w:szCs w:val="36"/>
        </w:rPr>
        <w:t xml:space="preserve"> </w:t>
      </w:r>
      <w:r>
        <w:rPr>
          <w:rFonts w:ascii="Arial" w:cs="Arial" w:hAnsi="Arial"/>
          <w:b/>
          <w:bCs/>
          <w:sz w:val="36"/>
          <w:szCs w:val="36"/>
          <w:lang w:val="en-US"/>
        </w:rPr>
        <w:t>Boukhenifer</w:t>
      </w:r>
      <w:r>
        <w:rPr>
          <w:rFonts w:ascii="Arial" w:cs="Arial" w:hAnsi="Arial"/>
          <w:b/>
          <w:bCs/>
          <w:sz w:val="36"/>
          <w:szCs w:val="36"/>
        </w:rPr>
        <w:t xml:space="preserve">                               </w:t>
      </w:r>
      <w:r>
        <w:rPr>
          <w:rFonts w:ascii="Arial" w:cs="Arial" w:hAnsi="Arial"/>
          <w:b/>
          <w:bCs/>
          <w:sz w:val="36"/>
          <w:szCs w:val="36"/>
          <w:lang w:val="en-US"/>
        </w:rPr>
        <w:t xml:space="preserve">                                </w:t>
      </w:r>
    </w:p>
    <w:p>
      <w:pPr>
        <w:pStyle w:val="style0"/>
        <w:spacing w:lineRule="auto" w:line="360"/>
        <w:jc w:val="both"/>
        <w:rPr>
          <w:rFonts w:ascii="Arial" w:cs="Arial" w:hAnsi="Arial"/>
          <w:b/>
          <w:bCs/>
          <w:sz w:val="36"/>
          <w:szCs w:val="36"/>
        </w:rPr>
      </w:pPr>
      <w:r>
        <w:rPr>
          <w:rFonts w:ascii="Arial" w:cs="Arial" w:hAnsi="Arial"/>
          <w:b/>
          <w:bCs/>
          <w:sz w:val="36"/>
          <w:szCs w:val="36"/>
          <w:lang w:val="en-US"/>
        </w:rPr>
        <w:t xml:space="preserve">                                         </w:t>
      </w:r>
      <w:r>
        <w:rPr>
          <w:rFonts w:ascii="Arial" w:cs="Arial" w:hAnsi="Arial"/>
          <w:b/>
          <w:bCs/>
          <w:sz w:val="36"/>
          <w:szCs w:val="36"/>
        </w:rPr>
        <w:t>2335538</w:t>
      </w:r>
    </w:p>
    <w:p>
      <w:pPr>
        <w:pStyle w:val="style0"/>
        <w:spacing w:lineRule="auto" w:line="360"/>
        <w:jc w:val="both"/>
        <w:rPr>
          <w:rFonts w:ascii="Arial" w:cs="Arial" w:hAnsi="Arial"/>
          <w:b/>
          <w:bCs/>
          <w:sz w:val="36"/>
          <w:szCs w:val="36"/>
        </w:rPr>
      </w:pPr>
    </w:p>
    <w:p>
      <w:pPr>
        <w:pStyle w:val="style0"/>
        <w:spacing w:lineRule="auto" w:line="360"/>
        <w:jc w:val="both"/>
        <w:rPr>
          <w:rFonts w:ascii="Arial" w:cs="Arial" w:hAnsi="Arial"/>
          <w:b/>
          <w:bCs/>
          <w:sz w:val="36"/>
          <w:szCs w:val="36"/>
          <w:lang w:val="en-US"/>
        </w:rPr>
      </w:pPr>
      <w:r>
        <w:rPr>
          <w:rFonts w:ascii="Arial" w:cs="Arial" w:hAnsi="Arial"/>
          <w:b/>
          <w:bCs/>
          <w:sz w:val="36"/>
          <w:szCs w:val="36"/>
          <w:lang w:val="en-US"/>
        </w:rPr>
        <w:t xml:space="preserve">                                         Lecture </w:t>
      </w:r>
    </w:p>
    <w:p>
      <w:pPr>
        <w:pStyle w:val="style0"/>
        <w:spacing w:lineRule="auto" w:line="360"/>
        <w:jc w:val="both"/>
        <w:rPr>
          <w:rFonts w:ascii="Arial" w:cs="Arial" w:hAnsi="Arial"/>
          <w:b/>
          <w:bCs/>
          <w:sz w:val="36"/>
          <w:szCs w:val="36"/>
        </w:rPr>
      </w:pPr>
      <w:r>
        <w:rPr>
          <w:rFonts w:ascii="Arial" w:cs="Arial" w:hAnsi="Arial"/>
          <w:b/>
          <w:bCs/>
          <w:sz w:val="36"/>
          <w:szCs w:val="36"/>
          <w:lang w:val="en-US"/>
        </w:rPr>
        <w:t xml:space="preserve">                                     Gregory Cowan</w:t>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266"/>
        <w:jc w:val="center"/>
        <w:rPr>
          <w:rFonts w:ascii="Arial" w:cs="Arial" w:hAnsi="Arial"/>
          <w:color w:val="auto"/>
          <w:sz w:val="24"/>
          <w:szCs w:val="24"/>
        </w:rPr>
      </w:pPr>
      <w:r>
        <w:rPr>
          <w:rFonts w:ascii="Arial" w:cs="Arial" w:hAnsi="Arial"/>
          <w:color w:val="auto"/>
          <w:sz w:val="24"/>
          <w:szCs w:val="24"/>
        </w:rPr>
        <w:t>Table of Contents</w:t>
      </w:r>
    </w:p>
    <w:p>
      <w:pPr>
        <w:pStyle w:val="style0"/>
        <w:rPr>
          <w:lang w:bidi="ar-SA" w:eastAsia="ja-JP"/>
        </w:rPr>
      </w:pPr>
    </w:p>
    <w:p>
      <w:pPr>
        <w:pStyle w:val="style19"/>
        <w:tabs>
          <w:tab w:val="right" w:leader="dot" w:pos="9017"/>
        </w:tabs>
        <w:spacing w:lineRule="auto" w:line="360"/>
        <w:jc w:val="both"/>
        <w:rPr>
          <w:rFonts w:ascii="Arial" w:cs="Arial" w:hAnsi="Arial"/>
          <w:noProof/>
        </w:rPr>
      </w:pPr>
      <w:r>
        <w:rPr>
          <w:rFonts w:ascii="Arial" w:cs="Arial" w:hAnsi="Arial"/>
        </w:rPr>
        <w:t xml:space="preserve">01. </w:t>
      </w: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"_Toc216175584" </w:instrText>
      </w:r>
      <w:r>
        <w:rPr/>
        <w:fldChar w:fldCharType="separate"/>
      </w:r>
      <w:r>
        <w:rPr>
          <w:rStyle w:val="style85"/>
          <w:rFonts w:ascii="Arial" w:cs="Arial" w:hAnsi="Arial"/>
          <w:noProof/>
        </w:rPr>
        <w:t>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_Toc216175584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pPr>
        <w:pStyle w:val="style19"/>
        <w:tabs>
          <w:tab w:val="right" w:leader="dot" w:pos="9017"/>
        </w:tabs>
        <w:spacing w:lineRule="auto" w:line="360"/>
        <w:jc w:val="both"/>
        <w:rPr>
          <w:rFonts w:ascii="Arial" w:cs="Arial" w:hAnsi="Arial"/>
          <w:noProof/>
        </w:rPr>
      </w:pPr>
      <w:r>
        <w:rPr/>
        <w:fldChar w:fldCharType="begin"/>
      </w:r>
      <w:r>
        <w:instrText xml:space="preserve"> HYPERLINK \l "_Toc216175585" </w:instrText>
      </w:r>
      <w:r>
        <w:rPr/>
        <w:fldChar w:fldCharType="separate"/>
      </w:r>
      <w:r>
        <w:rPr>
          <w:rStyle w:val="style85"/>
          <w:rFonts w:ascii="Arial" w:cs="Arial" w:hAnsi="Arial"/>
          <w:noProof/>
        </w:rPr>
        <w:t>02</w:t>
      </w:r>
      <w:r>
        <w:rPr>
          <w:rStyle w:val="style85"/>
          <w:rFonts w:ascii="Arial" w:cs="Arial" w:eastAsia="Times New Roman" w:hAnsi="Arial"/>
          <w:noProof/>
        </w:rPr>
        <w:t xml:space="preserve">. Explanation of Specific Factors </w:t>
      </w:r>
      <w:r>
        <w:rPr>
          <w:rStyle w:val="style85"/>
          <w:rFonts w:ascii="Arial" w:cs="Arial" w:hAnsi="Arial"/>
          <w:noProof/>
        </w:rPr>
        <w:t>within</w:t>
      </w:r>
      <w:r>
        <w:rPr>
          <w:rStyle w:val="style85"/>
          <w:rFonts w:ascii="Arial" w:cs="Arial" w:eastAsia="Times New Roman" w:hAnsi="Arial"/>
          <w:noProof/>
        </w:rPr>
        <w:t xml:space="preserve"> Cadbury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_Toc216175585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pPr>
        <w:pStyle w:val="style19"/>
        <w:tabs>
          <w:tab w:val="right" w:leader="dot" w:pos="9017"/>
        </w:tabs>
        <w:spacing w:lineRule="auto" w:line="360"/>
        <w:jc w:val="both"/>
        <w:rPr>
          <w:rFonts w:ascii="Arial" w:cs="Arial" w:hAnsi="Arial"/>
          <w:noProof/>
        </w:rPr>
      </w:pPr>
      <w:r>
        <w:rPr/>
        <w:fldChar w:fldCharType="begin"/>
      </w:r>
      <w:r>
        <w:instrText xml:space="preserve"> HYPERLINK \l "_Toc216175586" </w:instrText>
      </w:r>
      <w:r>
        <w:rPr/>
        <w:fldChar w:fldCharType="separate"/>
      </w:r>
      <w:r>
        <w:rPr>
          <w:rStyle w:val="style85"/>
          <w:rFonts w:ascii="Arial" w:cs="Arial" w:hAnsi="Arial"/>
          <w:noProof/>
        </w:rPr>
        <w:t>03</w:t>
      </w:r>
      <w:r>
        <w:rPr>
          <w:rStyle w:val="style85"/>
          <w:rFonts w:ascii="Arial" w:cs="Arial" w:eastAsia="Times New Roman" w:hAnsi="Arial"/>
          <w:noProof/>
        </w:rPr>
        <w:t>. Evaluation of Contemporary HR Pr</w:t>
      </w:r>
      <w:r>
        <w:rPr>
          <w:rStyle w:val="style85"/>
          <w:rFonts w:ascii="Arial" w:cs="Arial" w:hAnsi="Arial"/>
          <w:noProof/>
        </w:rPr>
        <w:t>actices to Address Each Factor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_Toc216175586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pPr>
        <w:pStyle w:val="style19"/>
        <w:tabs>
          <w:tab w:val="right" w:leader="dot" w:pos="9017"/>
        </w:tabs>
        <w:spacing w:lineRule="auto" w:line="360"/>
        <w:jc w:val="both"/>
        <w:rPr>
          <w:rFonts w:ascii="Arial" w:cs="Arial" w:hAnsi="Arial"/>
          <w:noProof/>
        </w:rPr>
      </w:pPr>
      <w:r>
        <w:rPr/>
        <w:fldChar w:fldCharType="begin"/>
      </w:r>
      <w:r>
        <w:instrText xml:space="preserve"> HYPERLINK \l "_Toc216175587" </w:instrText>
      </w:r>
      <w:r>
        <w:rPr/>
        <w:fldChar w:fldCharType="separate"/>
      </w:r>
      <w:r>
        <w:rPr>
          <w:rStyle w:val="style85"/>
          <w:rFonts w:ascii="Arial" w:cs="Arial" w:hAnsi="Arial"/>
          <w:noProof/>
        </w:rPr>
        <w:t>04</w:t>
      </w:r>
      <w:r>
        <w:rPr>
          <w:rStyle w:val="style85"/>
          <w:rFonts w:ascii="Arial" w:cs="Arial" w:eastAsia="Times New Roman" w:hAnsi="Arial"/>
          <w:noProof/>
        </w:rPr>
        <w:t>. Critical Evaluation: Ensuring Urgent Implementation by Managers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_Toc216175587 \h </w:instrText>
      </w:r>
      <w:r>
        <w:rPr>
          <w:rFonts w:ascii="Arial" w:cs="Arial" w:hAnsi="Arial"/>
          <w:noProof/>
          <w:webHidden/>
        </w:rPr>
        <w:fldChar w:fldCharType="separate"/>
      </w:r>
      <w:r>
        <w:rPr>
          <w:rFonts w:ascii="Arial" w:cs="Arial" w:hAnsi="Arial"/>
          <w:noProof/>
          <w:webHidden/>
        </w:rPr>
        <w:t>9</w:t>
      </w:r>
      <w:r>
        <w:rPr>
          <w:rFonts w:ascii="Arial" w:cs="Arial" w:hAnsi="Arial"/>
          <w:noProof/>
          <w:webHidden/>
        </w:rPr>
        <w:fldChar w:fldCharType="end"/>
      </w:r>
      <w:r>
        <w:rPr/>
        <w:fldChar w:fldCharType="end"/>
      </w:r>
    </w:p>
    <w:p>
      <w:pPr>
        <w:pStyle w:val="style19"/>
        <w:tabs>
          <w:tab w:val="right" w:leader="dot" w:pos="9017"/>
        </w:tabs>
        <w:spacing w:lineRule="auto" w:line="360"/>
        <w:jc w:val="both"/>
        <w:rPr>
          <w:rFonts w:ascii="Arial" w:cs="Arial" w:hAnsi="Arial"/>
          <w:noProof/>
        </w:rPr>
      </w:pPr>
      <w:r>
        <w:rPr/>
        <w:fldChar w:fldCharType="begin"/>
      </w:r>
      <w:r>
        <w:instrText xml:space="preserve"> HYPERLINK \l "_Toc216175588" </w:instrText>
      </w:r>
      <w:r>
        <w:rPr/>
        <w:fldChar w:fldCharType="separate"/>
      </w:r>
      <w:r>
        <w:rPr>
          <w:rStyle w:val="style85"/>
          <w:rFonts w:ascii="Arial" w:cs="Arial" w:hAnsi="Arial"/>
          <w:noProof/>
        </w:rPr>
        <w:t>05. Conclusion &amp; Recommendations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_Toc216175588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pPr>
        <w:pStyle w:val="style20"/>
        <w:tabs>
          <w:tab w:val="right" w:leader="dot" w:pos="9017"/>
        </w:tabs>
        <w:spacing w:lineRule="auto" w:line="360"/>
        <w:jc w:val="both"/>
        <w:rPr>
          <w:rFonts w:ascii="Arial" w:cs="Arial" w:hAnsi="Arial"/>
          <w:noProof/>
        </w:rPr>
      </w:pPr>
      <w:r>
        <w:rPr/>
        <w:fldChar w:fldCharType="begin"/>
      </w:r>
      <w:r>
        <w:instrText xml:space="preserve"> HYPERLINK \l "_Toc216175589" </w:instrText>
      </w:r>
      <w:r>
        <w:rPr/>
        <w:fldChar w:fldCharType="separate"/>
      </w:r>
      <w:r>
        <w:rPr>
          <w:rStyle w:val="style85"/>
          <w:rFonts w:ascii="Arial" w:cs="Arial" w:hAnsi="Arial"/>
          <w:noProof/>
        </w:rPr>
        <w:t>5.1. Conclusion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_Toc216175589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pPr>
        <w:pStyle w:val="style20"/>
        <w:tabs>
          <w:tab w:val="right" w:leader="dot" w:pos="9017"/>
        </w:tabs>
        <w:spacing w:lineRule="auto" w:line="360"/>
        <w:jc w:val="both"/>
        <w:rPr>
          <w:rFonts w:ascii="Arial" w:cs="Arial" w:hAnsi="Arial"/>
          <w:noProof/>
        </w:rPr>
      </w:pPr>
      <w:r>
        <w:rPr/>
        <w:fldChar w:fldCharType="begin"/>
      </w:r>
      <w:r>
        <w:instrText xml:space="preserve"> HYPERLINK \l "_Toc216175590" </w:instrText>
      </w:r>
      <w:r>
        <w:rPr/>
        <w:fldChar w:fldCharType="separate"/>
      </w:r>
      <w:r>
        <w:rPr>
          <w:rStyle w:val="style85"/>
          <w:rFonts w:ascii="Arial" w:cs="Arial" w:hAnsi="Arial"/>
          <w:noProof/>
        </w:rPr>
        <w:t xml:space="preserve">5.2. </w:t>
      </w:r>
      <w:r>
        <w:rPr>
          <w:rStyle w:val="style85"/>
          <w:rFonts w:ascii="Arial" w:cs="Arial" w:eastAsia="Times New Roman" w:hAnsi="Arial"/>
          <w:noProof/>
        </w:rPr>
        <w:t>Recommendations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_Toc216175590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pPr>
        <w:pStyle w:val="style19"/>
        <w:tabs>
          <w:tab w:val="right" w:leader="dot" w:pos="9017"/>
        </w:tabs>
        <w:spacing w:lineRule="auto" w:line="360"/>
        <w:jc w:val="both"/>
        <w:rPr>
          <w:rFonts w:ascii="Arial" w:cs="Arial" w:hAnsi="Arial"/>
          <w:noProof/>
        </w:rPr>
      </w:pPr>
      <w:r>
        <w:rPr/>
        <w:fldChar w:fldCharType="begin"/>
      </w:r>
      <w:r>
        <w:instrText xml:space="preserve"> HYPERLINK \l "_Toc216175591" </w:instrText>
      </w:r>
      <w:r>
        <w:rPr/>
        <w:fldChar w:fldCharType="separate"/>
      </w:r>
      <w:r>
        <w:rPr>
          <w:rStyle w:val="style85"/>
          <w:rFonts w:ascii="Arial" w:cs="Arial" w:hAnsi="Arial"/>
          <w:noProof/>
        </w:rPr>
        <w:t>Reference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_Toc216175591 \h </w:instrText>
      </w:r>
      <w:r>
        <w:rPr>
          <w:rFonts w:ascii="Arial" w:cs="Arial" w:hAnsi="Arial"/>
          <w:noProof/>
          <w:webHidden/>
        </w:rPr>
        <w:fldChar w:fldCharType="separate"/>
      </w:r>
      <w:r>
        <w:rPr>
          <w:rFonts w:ascii="Arial" w:cs="Arial" w:hAnsi="Arial"/>
          <w:noProof/>
          <w:webHidden/>
        </w:rPr>
        <w:t>12</w:t>
      </w:r>
      <w:r>
        <w:rPr>
          <w:rFonts w:ascii="Arial" w:cs="Arial" w:hAnsi="Arial"/>
          <w:noProof/>
          <w:webHidden/>
        </w:rPr>
        <w:fldChar w:fldCharType="end"/>
      </w:r>
      <w:r>
        <w:rPr/>
        <w:fldChar w:fldCharType="end"/>
      </w:r>
    </w:p>
    <w:p>
      <w:pPr>
        <w:pStyle w:val="style0"/>
        <w:spacing w:lineRule="auto" w:line="360"/>
        <w:jc w:val="both"/>
        <w:rPr>
          <w:rFonts w:ascii="Arial" w:cs="Arial" w:hAnsi="Arial"/>
        </w:rPr>
      </w:pPr>
      <w:r>
        <w:rPr>
          <w:rFonts w:ascii="Arial" w:cs="Arial" w:hAnsi="Arial"/>
          <w:b/>
          <w:bCs/>
          <w:noProof/>
        </w:rPr>
        <w:fldChar w:fldCharType="end"/>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bookmarkStart w:id="0" w:name="_Toc216175584"/>
    <w:p>
      <w:pPr>
        <w:pStyle w:val="style1"/>
        <w:rPr>
          <w:rFonts w:ascii="Arial" w:cs="Arial" w:hAnsi="Arial"/>
          <w:color w:val="auto"/>
          <w:sz w:val="24"/>
          <w:szCs w:val="24"/>
        </w:rPr>
      </w:pPr>
      <w:r>
        <w:rPr>
          <w:rFonts w:ascii="Arial" w:cs="Arial" w:hAnsi="Arial"/>
          <w:color w:val="auto"/>
          <w:sz w:val="24"/>
          <w:szCs w:val="24"/>
        </w:rPr>
        <w:t xml:space="preserve">01. </w:t>
      </w:r>
      <w:r>
        <w:rPr>
          <w:rFonts w:ascii="Arial" w:cs="Arial" w:hAnsi="Arial"/>
          <w:color w:val="auto"/>
          <w:sz w:val="24"/>
          <w:szCs w:val="24"/>
        </w:rPr>
        <w:t>Introduction</w:t>
      </w:r>
      <w:bookmarkEnd w:id="0"/>
      <w:r>
        <w:rPr>
          <w:rFonts w:ascii="Arial" w:cs="Arial" w:hAnsi="Arial"/>
          <w:color w:val="auto"/>
          <w:sz w:val="24"/>
          <w:szCs w:val="24"/>
        </w:rPr>
        <w:t xml:space="preserve"> </w:t>
      </w:r>
    </w:p>
    <w:p>
      <w:pPr>
        <w:pStyle w:val="style0"/>
        <w:spacing w:lineRule="auto" w:line="360"/>
        <w:jc w:val="both"/>
        <w:rPr>
          <w:rFonts w:ascii="Arial" w:cs="Arial" w:hAnsi="Arial"/>
          <w:sz w:val="2"/>
          <w:szCs w:val="2"/>
        </w:rPr>
      </w:pPr>
    </w:p>
    <w:p>
      <w:pPr>
        <w:pStyle w:val="style0"/>
        <w:spacing w:lineRule="auto" w:line="360"/>
        <w:jc w:val="both"/>
        <w:rPr>
          <w:rFonts w:ascii="Arial" w:cs="Arial" w:hAnsi="Arial"/>
        </w:rPr>
      </w:pPr>
      <w:r>
        <w:rPr>
          <w:rFonts w:ascii="Arial" w:cs="Arial" w:hAnsi="Arial"/>
        </w:rPr>
        <w:t xml:space="preserve">Upon joining HR department at Cadbury in Birmingham, it was observed that the rate of grievance cases was very high through the transformation process of the company under the Mondelez international. Bournville site has been impacted due to the </w:t>
      </w:r>
      <w:r>
        <w:rPr>
          <w:rFonts w:ascii="Arial" w:cs="Arial" w:hAnsi="Arial"/>
        </w:rPr>
        <w:t>modernization</w:t>
      </w:r>
      <w:r>
        <w:rPr>
          <w:rFonts w:ascii="Arial" w:cs="Arial" w:hAnsi="Arial"/>
        </w:rPr>
        <w:t xml:space="preserve"> of the site, the adoption of digital supply chain technologies, and introduction of hybrid working. Problems that were highlighted by the employees in this change process were job redesign, on-line monitoring, an imbalance in flexible work, work overloads and absence of transparency about the expectations.</w:t>
      </w:r>
    </w:p>
    <w:bookmarkStart w:id="1" w:name="_Toc216175585"/>
    <w:p>
      <w:pPr>
        <w:pStyle w:val="style1"/>
        <w:rPr>
          <w:rFonts w:ascii="Arial" w:cs="Arial" w:eastAsia="Times New Roman" w:hAnsi="Arial"/>
          <w:color w:val="auto"/>
          <w:sz w:val="24"/>
          <w:szCs w:val="24"/>
        </w:rPr>
      </w:pPr>
      <w:r>
        <w:rPr>
          <w:rFonts w:ascii="Arial" w:cs="Arial" w:hAnsi="Arial"/>
          <w:color w:val="auto"/>
          <w:sz w:val="24"/>
          <w:szCs w:val="24"/>
        </w:rPr>
        <w:t>02</w:t>
      </w:r>
      <w:r>
        <w:rPr>
          <w:rFonts w:ascii="Arial" w:cs="Arial" w:eastAsia="Times New Roman" w:hAnsi="Arial"/>
          <w:color w:val="auto"/>
          <w:sz w:val="24"/>
          <w:szCs w:val="24"/>
        </w:rPr>
        <w:t xml:space="preserve">. Explanation of Specific Factors </w:t>
      </w:r>
      <w:r>
        <w:rPr>
          <w:rFonts w:ascii="Arial" w:cs="Arial" w:hAnsi="Arial"/>
          <w:color w:val="auto"/>
          <w:sz w:val="24"/>
          <w:szCs w:val="24"/>
        </w:rPr>
        <w:t>within</w:t>
      </w:r>
      <w:r>
        <w:rPr>
          <w:rFonts w:ascii="Arial" w:cs="Arial" w:eastAsia="Times New Roman" w:hAnsi="Arial"/>
          <w:color w:val="auto"/>
          <w:sz w:val="24"/>
          <w:szCs w:val="24"/>
        </w:rPr>
        <w:t xml:space="preserve"> Cadbury</w:t>
      </w:r>
      <w:bookmarkEnd w:id="1"/>
    </w:p>
    <w:p>
      <w:pPr>
        <w:pStyle w:val="style0"/>
        <w:rPr>
          <w:sz w:val="12"/>
          <w:szCs w:val="12"/>
        </w:rPr>
      </w:pPr>
    </w:p>
    <w:p>
      <w:pPr>
        <w:pStyle w:val="style0"/>
        <w:spacing w:lineRule="auto" w:line="360"/>
        <w:jc w:val="both"/>
        <w:rPr>
          <w:rFonts w:ascii="Arial" w:cs="Arial" w:hAnsi="Arial"/>
          <w:b/>
          <w:bCs/>
          <w:u w:val="single"/>
        </w:rPr>
      </w:pPr>
      <w:r>
        <w:rPr>
          <w:rFonts w:ascii="Arial" w:cs="Arial" w:hAnsi="Arial"/>
          <w:b/>
          <w:bCs/>
          <w:u w:val="single"/>
        </w:rPr>
        <w:t>Business Transformation Factors</w:t>
      </w:r>
    </w:p>
    <w:p>
      <w:pPr>
        <w:pStyle w:val="style179"/>
        <w:numPr>
          <w:ilvl w:val="0"/>
          <w:numId w:val="1"/>
        </w:numPr>
        <w:spacing w:lineRule="auto" w:line="360"/>
        <w:jc w:val="both"/>
        <w:rPr>
          <w:rFonts w:ascii="Arial" w:cs="Arial" w:hAnsi="Arial"/>
          <w:b/>
          <w:bCs/>
        </w:rPr>
      </w:pPr>
      <w:r>
        <w:rPr>
          <w:rFonts w:ascii="Arial" w:cs="Arial" w:hAnsi="Arial"/>
          <w:b/>
          <w:bCs/>
        </w:rPr>
        <w:t>Job Redesign and New Skill Requirements</w:t>
      </w:r>
    </w:p>
    <w:p>
      <w:pPr>
        <w:pStyle w:val="style0"/>
        <w:spacing w:lineRule="auto" w:line="360"/>
        <w:jc w:val="both"/>
        <w:rPr>
          <w:rFonts w:ascii="Arial" w:cs="Arial" w:hAnsi="Arial"/>
        </w:rPr>
      </w:pPr>
      <w:r>
        <w:rPr>
          <w:rFonts w:ascii="Arial" w:cs="Arial" w:hAnsi="Arial"/>
        </w:rPr>
        <w:t>The Bournville factory was updated to be modern, including robotisation, automated packages, AI-based quality control systems, and data-driven working dashboards. The employees will be tested at new heights of skills with the changed roles. Some factory workers have taken it emotionally, on the inexplicability of new electronic equipment and possible loss of employment</w:t>
      </w:r>
      <w:r>
        <w:rPr>
          <w:rFonts w:ascii="Arial" w:cs="Arial" w:hAnsi="Arial"/>
        </w:rPr>
        <w:t xml:space="preserve"> (</w:t>
      </w:r>
      <w:r>
        <w:rPr>
          <w:rFonts w:ascii="Arial" w:cs="Arial" w:hAnsi="Arial"/>
        </w:rPr>
        <w:t>McKinsey</w:t>
      </w:r>
      <w:r>
        <w:rPr>
          <w:rFonts w:ascii="Arial" w:cs="Arial" w:hAnsi="Arial"/>
        </w:rPr>
        <w:t>, 2021)</w:t>
      </w:r>
      <w:r>
        <w:rPr>
          <w:rFonts w:ascii="Arial" w:cs="Arial" w:hAnsi="Arial"/>
        </w:rPr>
        <w:t>. This will be consistent with McKinsey (2021) that found out that 60 percent of people in the manufacturing industry fear the loss of their jobs in automation programmes</w:t>
      </w:r>
      <w:r>
        <w:rPr>
          <w:rFonts w:ascii="Arial" w:cs="Arial" w:hAnsi="Arial"/>
        </w:rPr>
        <w:t>.</w:t>
      </w:r>
    </w:p>
    <w:p>
      <w:pPr>
        <w:pStyle w:val="style179"/>
        <w:numPr>
          <w:ilvl w:val="0"/>
          <w:numId w:val="1"/>
        </w:numPr>
        <w:spacing w:lineRule="auto" w:line="360"/>
        <w:jc w:val="both"/>
        <w:rPr>
          <w:rFonts w:ascii="Arial" w:cs="Arial" w:hAnsi="Arial"/>
          <w:b/>
          <w:bCs/>
        </w:rPr>
      </w:pPr>
      <w:r>
        <w:rPr>
          <w:rFonts w:ascii="Arial" w:cs="Arial" w:hAnsi="Arial"/>
          <w:b/>
          <w:bCs/>
        </w:rPr>
        <w:t>Increased Workload and Change Pressure</w:t>
      </w:r>
    </w:p>
    <w:p>
      <w:pPr>
        <w:pStyle w:val="style0"/>
        <w:spacing w:lineRule="auto" w:line="360"/>
        <w:jc w:val="both"/>
        <w:rPr>
          <w:rFonts w:ascii="Arial" w:cs="Arial" w:hAnsi="Arial"/>
        </w:rPr>
      </w:pPr>
      <w:r>
        <w:rPr>
          <w:rFonts w:ascii="Arial" w:cs="Arial" w:hAnsi="Arial"/>
        </w:rPr>
        <w:t>Change may also entail the employees who find it hard to cope with what they are doing, besides becoming familiar with new processes. In Cadbury, employees alleged of increased workload due to the process change, new training requirements and new computer systems. As it has been revealed, times of transformation are characterized by workload peaks that result in burnout and grievances (</w:t>
      </w:r>
      <w:r>
        <w:rPr>
          <w:rFonts w:ascii="Arial" w:cs="Arial" w:hAnsi="Arial"/>
        </w:rPr>
        <w:t>Afandi</w:t>
      </w:r>
      <w:r>
        <w:rPr>
          <w:rFonts w:ascii="Arial" w:cs="Arial" w:hAnsi="Arial"/>
        </w:rPr>
        <w:t>, 2024</w:t>
      </w:r>
      <w:r>
        <w:rPr>
          <w:rFonts w:ascii="Arial" w:cs="Arial" w:hAnsi="Arial"/>
        </w:rPr>
        <w:t>)</w:t>
      </w:r>
      <w:r>
        <w:rPr>
          <w:rFonts w:ascii="Arial" w:cs="Arial" w:hAnsi="Arial"/>
        </w:rPr>
        <w:t>.</w:t>
      </w:r>
    </w:p>
    <w:p>
      <w:pPr>
        <w:pStyle w:val="style179"/>
        <w:numPr>
          <w:ilvl w:val="0"/>
          <w:numId w:val="1"/>
        </w:numPr>
        <w:spacing w:lineRule="auto" w:line="360"/>
        <w:jc w:val="both"/>
        <w:rPr>
          <w:rFonts w:ascii="Arial" w:cs="Arial" w:hAnsi="Arial"/>
          <w:b/>
          <w:bCs/>
        </w:rPr>
      </w:pPr>
      <w:r>
        <w:rPr>
          <w:rFonts w:ascii="Arial" w:cs="Arial" w:hAnsi="Arial"/>
          <w:b/>
          <w:bCs/>
        </w:rPr>
        <w:t>Cultural Resistance and Communication Gaps</w:t>
      </w:r>
    </w:p>
    <w:p>
      <w:pPr>
        <w:pStyle w:val="style0"/>
        <w:spacing w:lineRule="auto" w:line="360"/>
        <w:jc w:val="both"/>
        <w:rPr>
          <w:rFonts w:ascii="Arial" w:cs="Arial" w:hAnsi="Arial"/>
        </w:rPr>
      </w:pPr>
      <w:r>
        <w:rPr>
          <w:rFonts w:ascii="Arial" w:cs="Arial" w:hAnsi="Arial"/>
        </w:rPr>
        <w:t>Cadbury is a company with a long history that implies a highly old fashioned culture. When new technologies are implemented, resistance to change may be observed among employees due to their fear that the element of craftsmanship role identity will be lost. Complaints can be augmented assuming that the leadership provides ambiguous, unreliable, or impersonal types of communication</w:t>
      </w:r>
      <w:r>
        <w:rPr>
          <w:rFonts w:ascii="Arial" w:cs="Arial" w:hAnsi="Arial"/>
        </w:rPr>
        <w:t xml:space="preserve"> (</w:t>
      </w:r>
      <w:r>
        <w:rPr>
          <w:rFonts w:ascii="Arial" w:cs="Arial" w:hAnsi="Arial"/>
        </w:rPr>
        <w:t>Ahl</w:t>
      </w:r>
      <w:r>
        <w:rPr>
          <w:rFonts w:ascii="Arial" w:cs="Arial" w:hAnsi="Arial"/>
        </w:rPr>
        <w:t>,</w:t>
      </w:r>
      <w:r>
        <w:rPr>
          <w:rFonts w:ascii="Arial" w:cs="Arial" w:hAnsi="Arial"/>
        </w:rPr>
        <w:t xml:space="preserve"> 2023)</w:t>
      </w:r>
      <w:r>
        <w:rPr>
          <w:rFonts w:ascii="Arial" w:cs="Arial" w:hAnsi="Arial"/>
        </w:rPr>
        <w:t xml:space="preserve">. According to </w:t>
      </w:r>
      <w:r>
        <w:rPr>
          <w:rFonts w:ascii="Arial" w:cs="Arial" w:hAnsi="Arial"/>
        </w:rPr>
        <w:t>Ahl</w:t>
      </w:r>
      <w:r>
        <w:rPr>
          <w:rFonts w:ascii="Arial" w:cs="Arial" w:hAnsi="Arial"/>
        </w:rPr>
        <w:t xml:space="preserve"> (2023), the most prevalent reason stated of conflict in transformation settings is bad communication.</w:t>
      </w:r>
    </w:p>
    <w:p>
      <w:pPr>
        <w:pStyle w:val="style0"/>
        <w:spacing w:lineRule="auto" w:line="360"/>
        <w:jc w:val="both"/>
        <w:rPr>
          <w:rFonts w:ascii="Arial" w:cs="Arial" w:hAnsi="Arial"/>
          <w:b/>
          <w:bCs/>
          <w:u w:val="single"/>
        </w:rPr>
      </w:pPr>
      <w:r>
        <w:rPr>
          <w:rFonts w:ascii="Arial" w:cs="Arial" w:hAnsi="Arial"/>
          <w:b/>
          <w:bCs/>
          <w:u w:val="single"/>
        </w:rPr>
        <w:t>Digital Technology Trend Factors</w:t>
      </w:r>
    </w:p>
    <w:p>
      <w:pPr>
        <w:pStyle w:val="style0"/>
        <w:spacing w:lineRule="auto" w:line="360"/>
        <w:jc w:val="both"/>
        <w:rPr>
          <w:rFonts w:ascii="Arial" w:cs="Arial" w:hAnsi="Arial"/>
          <w:sz w:val="2"/>
          <w:szCs w:val="2"/>
        </w:rPr>
      </w:pPr>
    </w:p>
    <w:p>
      <w:pPr>
        <w:pStyle w:val="style179"/>
        <w:numPr>
          <w:ilvl w:val="0"/>
          <w:numId w:val="14"/>
        </w:numPr>
        <w:spacing w:lineRule="auto" w:line="360"/>
        <w:jc w:val="both"/>
        <w:rPr>
          <w:rFonts w:ascii="Arial" w:cs="Arial" w:hAnsi="Arial"/>
          <w:b/>
          <w:bCs/>
        </w:rPr>
      </w:pPr>
      <w:r>
        <w:rPr>
          <w:rFonts w:ascii="Arial" w:cs="Arial" w:hAnsi="Arial"/>
          <w:b/>
          <w:bCs/>
        </w:rPr>
        <w:t>Digital Monitoring and Perceived Surveillance</w:t>
      </w:r>
    </w:p>
    <w:p>
      <w:pPr>
        <w:pStyle w:val="style0"/>
        <w:spacing w:lineRule="auto" w:line="360"/>
        <w:jc w:val="both"/>
        <w:rPr>
          <w:rFonts w:ascii="Arial" w:cs="Arial" w:hAnsi="Arial"/>
        </w:rPr>
      </w:pPr>
      <w:r>
        <w:rPr>
          <w:rFonts w:ascii="Arial" w:cs="Arial" w:hAnsi="Arial"/>
        </w:rPr>
        <w:t>Cadbury has also introduced production dashboards that have automated and monitored speed, errors, length of machine interaction and performance. This is expected to be efficient but employees might feel that they are being micromanaged also leading to stress and privacy issues</w:t>
      </w:r>
      <w:r>
        <w:rPr>
          <w:rFonts w:ascii="Arial" w:cs="Arial" w:hAnsi="Arial"/>
        </w:rPr>
        <w:t xml:space="preserve"> (</w:t>
      </w:r>
      <w:r>
        <w:rPr>
          <w:rFonts w:ascii="Arial" w:cs="Arial" w:hAnsi="Arial"/>
        </w:rPr>
        <w:t>Ball</w:t>
      </w:r>
      <w:r>
        <w:rPr>
          <w:rFonts w:ascii="Arial" w:cs="Arial" w:hAnsi="Arial"/>
        </w:rPr>
        <w:t>, 2021)</w:t>
      </w:r>
      <w:r>
        <w:rPr>
          <w:rFonts w:ascii="Arial" w:cs="Arial" w:hAnsi="Arial"/>
        </w:rPr>
        <w:t>. Ball (2021) asserts that digital surveillance is one of the greatest contributors of workplace conflict and mistrust</w:t>
      </w:r>
      <w:r>
        <w:rPr>
          <w:rFonts w:ascii="Arial" w:cs="Arial" w:hAnsi="Arial"/>
        </w:rPr>
        <w:t>.</w:t>
      </w:r>
    </w:p>
    <w:p>
      <w:pPr>
        <w:pStyle w:val="style179"/>
        <w:numPr>
          <w:ilvl w:val="0"/>
          <w:numId w:val="14"/>
        </w:numPr>
        <w:spacing w:lineRule="auto" w:line="360"/>
        <w:jc w:val="both"/>
        <w:rPr>
          <w:rFonts w:ascii="Arial" w:cs="Arial" w:hAnsi="Arial"/>
          <w:b/>
          <w:bCs/>
        </w:rPr>
      </w:pPr>
      <w:r>
        <w:rPr>
          <w:rFonts w:ascii="Arial" w:cs="Arial" w:hAnsi="Arial"/>
          <w:b/>
          <w:bCs/>
        </w:rPr>
        <w:t>Digital Skill Inequality</w:t>
      </w:r>
    </w:p>
    <w:p>
      <w:pPr>
        <w:pStyle w:val="style0"/>
        <w:spacing w:lineRule="auto" w:line="360"/>
        <w:jc w:val="both"/>
        <w:rPr>
          <w:rFonts w:ascii="Arial" w:cs="Arial" w:hAnsi="Arial"/>
        </w:rPr>
      </w:pPr>
      <w:r>
        <w:rPr>
          <w:rFonts w:ascii="Arial" w:cs="Arial" w:hAnsi="Arial"/>
        </w:rPr>
        <w:t>Many long-serving employees are not very assured with digital systems. Low performance, high anxiety and grievances are the results of technostress. This is widespread in the manufacturing sector of the UK, and old workers are less privileged (</w:t>
      </w:r>
      <w:r>
        <w:rPr>
          <w:rFonts w:ascii="Arial" w:cs="Arial" w:hAnsi="Arial"/>
        </w:rPr>
        <w:t>Bahri</w:t>
      </w:r>
      <w:r>
        <w:rPr>
          <w:rFonts w:ascii="Arial" w:cs="Arial" w:hAnsi="Arial"/>
        </w:rPr>
        <w:t>, 2025</w:t>
      </w:r>
      <w:r>
        <w:rPr>
          <w:rFonts w:ascii="Arial" w:cs="Arial" w:hAnsi="Arial"/>
        </w:rPr>
        <w:t>).</w:t>
      </w:r>
    </w:p>
    <w:p>
      <w:pPr>
        <w:pStyle w:val="style179"/>
        <w:numPr>
          <w:ilvl w:val="0"/>
          <w:numId w:val="14"/>
        </w:numPr>
        <w:spacing w:lineRule="auto" w:line="360"/>
        <w:jc w:val="both"/>
        <w:rPr>
          <w:rFonts w:ascii="Arial" w:cs="Arial" w:hAnsi="Arial"/>
          <w:b/>
          <w:bCs/>
        </w:rPr>
      </w:pPr>
      <w:r>
        <w:rPr>
          <w:rFonts w:ascii="Arial" w:cs="Arial" w:hAnsi="Arial"/>
          <w:b/>
          <w:bCs/>
        </w:rPr>
        <w:t>Communication Overload in Hybrid Teams</w:t>
      </w:r>
    </w:p>
    <w:p>
      <w:pPr>
        <w:pStyle w:val="style0"/>
        <w:spacing w:lineRule="auto" w:line="360"/>
        <w:jc w:val="both"/>
        <w:rPr>
          <w:rFonts w:ascii="Arial" w:cs="Arial" w:hAnsi="Arial"/>
        </w:rPr>
      </w:pPr>
      <w:r>
        <w:rPr>
          <w:rFonts w:ascii="Arial" w:cs="Arial" w:hAnsi="Arial"/>
        </w:rPr>
        <w:t xml:space="preserve">The non-production </w:t>
      </w:r>
      <w:r>
        <w:rPr>
          <w:rFonts w:ascii="Arial" w:cs="Arial" w:hAnsi="Arial"/>
        </w:rPr>
        <w:t xml:space="preserve">staff </w:t>
      </w:r>
      <w:r>
        <w:rPr>
          <w:rFonts w:ascii="Arial" w:cs="Arial" w:hAnsi="Arial"/>
        </w:rPr>
        <w:t>works</w:t>
      </w:r>
      <w:r>
        <w:rPr>
          <w:rFonts w:ascii="Arial" w:cs="Arial" w:hAnsi="Arial"/>
        </w:rPr>
        <w:t xml:space="preserve"> with the help of teams, Zoom, and digital workflow tools. The stream of information, conferences, and electronic requests has resulted in digital exhaustion brought about by the augmented stream</w:t>
      </w:r>
      <w:r>
        <w:rPr>
          <w:rFonts w:ascii="Arial" w:cs="Arial" w:hAnsi="Arial"/>
        </w:rPr>
        <w:t xml:space="preserve"> (</w:t>
      </w:r>
      <w:r>
        <w:rPr>
          <w:rFonts w:ascii="Arial" w:cs="Arial" w:hAnsi="Arial"/>
        </w:rPr>
        <w:t>Huffcutt</w:t>
      </w:r>
      <w:r>
        <w:rPr>
          <w:rFonts w:ascii="Arial" w:cs="Arial" w:hAnsi="Arial"/>
        </w:rPr>
        <w:t>,</w:t>
      </w:r>
      <w:r>
        <w:rPr>
          <w:rFonts w:ascii="Arial" w:cs="Arial" w:hAnsi="Arial"/>
        </w:rPr>
        <w:t xml:space="preserve"> 2023)</w:t>
      </w:r>
      <w:r>
        <w:rPr>
          <w:rFonts w:ascii="Arial" w:cs="Arial" w:hAnsi="Arial"/>
        </w:rPr>
        <w:t xml:space="preserve">. </w:t>
      </w:r>
      <w:r>
        <w:rPr>
          <w:rFonts w:ascii="Arial" w:cs="Arial" w:hAnsi="Arial"/>
        </w:rPr>
        <w:t>Huffcutt</w:t>
      </w:r>
      <w:r>
        <w:rPr>
          <w:rFonts w:ascii="Arial" w:cs="Arial" w:hAnsi="Arial"/>
        </w:rPr>
        <w:t xml:space="preserve"> </w:t>
      </w:r>
      <w:r>
        <w:rPr>
          <w:rFonts w:ascii="Arial" w:cs="Arial" w:hAnsi="Arial"/>
        </w:rPr>
        <w:t>(2023) reveals that since the year 2020, the number of digital meeting between workers in the UK has increased by 252 percent and, as a consequence, has caused the increase in stress levels.</w:t>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b/>
          <w:bCs/>
          <w:u w:val="single"/>
        </w:rPr>
      </w:pPr>
      <w:r>
        <w:rPr>
          <w:rFonts w:ascii="Arial" w:cs="Arial" w:hAnsi="Arial"/>
          <w:b/>
          <w:bCs/>
          <w:u w:val="single"/>
        </w:rPr>
        <w:t>Flexible Working Arrangement Factors</w:t>
      </w:r>
    </w:p>
    <w:p>
      <w:pPr>
        <w:pStyle w:val="style0"/>
        <w:spacing w:lineRule="auto" w:line="360"/>
        <w:jc w:val="both"/>
        <w:rPr>
          <w:rFonts w:ascii="Arial" w:cs="Arial" w:hAnsi="Arial"/>
          <w:sz w:val="2"/>
          <w:szCs w:val="2"/>
        </w:rPr>
      </w:pPr>
    </w:p>
    <w:p>
      <w:pPr>
        <w:pStyle w:val="style179"/>
        <w:numPr>
          <w:ilvl w:val="0"/>
          <w:numId w:val="15"/>
        </w:numPr>
        <w:spacing w:lineRule="auto" w:line="360"/>
        <w:jc w:val="both"/>
        <w:rPr>
          <w:rFonts w:ascii="Arial" w:cs="Arial" w:hAnsi="Arial"/>
          <w:b/>
          <w:bCs/>
        </w:rPr>
      </w:pPr>
      <w:r>
        <w:rPr>
          <w:rFonts w:ascii="Arial" w:cs="Arial" w:hAnsi="Arial"/>
          <w:b/>
          <w:bCs/>
        </w:rPr>
        <w:t>Inconsistent Managerial Decisions</w:t>
      </w:r>
    </w:p>
    <w:p>
      <w:pPr>
        <w:pStyle w:val="style0"/>
        <w:spacing w:lineRule="auto" w:line="360"/>
        <w:jc w:val="both"/>
        <w:rPr>
          <w:rFonts w:ascii="Arial" w:cs="Arial" w:hAnsi="Arial"/>
        </w:rPr>
      </w:pPr>
      <w:r>
        <w:rPr>
          <w:rFonts w:ascii="Arial" w:cs="Arial" w:hAnsi="Arial"/>
        </w:rPr>
        <w:t>The problem with the flexibility of working arrangements is that the decisions made by the managers are not very consistent. In Cadbury, there are line managers, permitting employees to work at home, three days a week, and those permitting one</w:t>
      </w:r>
      <w:r>
        <w:rPr>
          <w:rFonts w:ascii="Arial" w:cs="Arial" w:hAnsi="Arial"/>
        </w:rPr>
        <w:t xml:space="preserve"> (</w:t>
      </w:r>
      <w:r>
        <w:rPr>
          <w:rFonts w:ascii="Arial" w:cs="Arial" w:hAnsi="Arial"/>
        </w:rPr>
        <w:t>Oktuğ</w:t>
      </w:r>
      <w:r>
        <w:rPr>
          <w:rFonts w:ascii="Arial" w:cs="Arial" w:hAnsi="Arial"/>
        </w:rPr>
        <w:t>,</w:t>
      </w:r>
      <w:r>
        <w:rPr>
          <w:rFonts w:ascii="Arial" w:cs="Arial" w:hAnsi="Arial"/>
        </w:rPr>
        <w:t xml:space="preserve"> 2023)</w:t>
      </w:r>
      <w:r>
        <w:rPr>
          <w:rFonts w:ascii="Arial" w:cs="Arial" w:hAnsi="Arial"/>
        </w:rPr>
        <w:t>. This changeable quality adds to the sense of injustice, which as ACAS (2022) claims is one of the most significant drivers of employee grievance. Lack of flexibility in an equal manner would make employees feel undervalued, ignored, and/or discriminated against, increasing the probability of making a formal complaint and lowering the morale overall</w:t>
      </w:r>
      <w:r>
        <w:rPr>
          <w:rFonts w:ascii="Arial" w:cs="Arial" w:hAnsi="Arial"/>
        </w:rPr>
        <w:t>.</w:t>
      </w:r>
    </w:p>
    <w:p>
      <w:pPr>
        <w:pStyle w:val="style179"/>
        <w:numPr>
          <w:ilvl w:val="0"/>
          <w:numId w:val="15"/>
        </w:numPr>
        <w:spacing w:lineRule="auto" w:line="360"/>
        <w:jc w:val="both"/>
        <w:rPr>
          <w:rFonts w:ascii="Arial" w:cs="Arial" w:hAnsi="Arial"/>
          <w:b/>
          <w:bCs/>
        </w:rPr>
      </w:pPr>
      <w:r>
        <w:rPr>
          <w:rFonts w:ascii="Arial" w:cs="Arial" w:hAnsi="Arial"/>
          <w:b/>
          <w:bCs/>
        </w:rPr>
        <w:t xml:space="preserve">Inequality </w:t>
      </w:r>
      <w:r>
        <w:rPr>
          <w:rFonts w:ascii="Arial" w:cs="Arial" w:hAnsi="Arial"/>
          <w:b/>
          <w:bCs/>
        </w:rPr>
        <w:t>between</w:t>
      </w:r>
      <w:r>
        <w:rPr>
          <w:rFonts w:ascii="Arial" w:cs="Arial" w:hAnsi="Arial"/>
          <w:b/>
          <w:bCs/>
        </w:rPr>
        <w:t xml:space="preserve"> Production and Office Workers</w:t>
      </w:r>
    </w:p>
    <w:p>
      <w:pPr>
        <w:pStyle w:val="style0"/>
        <w:spacing w:lineRule="auto" w:line="360"/>
        <w:jc w:val="both"/>
        <w:rPr>
          <w:rFonts w:ascii="Arial" w:cs="Arial" w:hAnsi="Arial"/>
        </w:rPr>
      </w:pPr>
      <w:r>
        <w:rPr>
          <w:rFonts w:ascii="Arial" w:cs="Arial" w:hAnsi="Arial"/>
        </w:rPr>
        <w:t>Office and production employees also have tension because of flexible working arrangement. The manufacturing people cannot work at home and this could cause them a sense of resentment towards the other workers who are free to do so</w:t>
      </w:r>
      <w:r>
        <w:rPr>
          <w:rFonts w:ascii="Arial" w:cs="Arial" w:hAnsi="Arial"/>
        </w:rPr>
        <w:t xml:space="preserve"> (</w:t>
      </w:r>
      <w:r>
        <w:rPr>
          <w:rFonts w:ascii="Arial" w:cs="Arial" w:hAnsi="Arial"/>
        </w:rPr>
        <w:t>Afandi</w:t>
      </w:r>
      <w:r>
        <w:rPr>
          <w:rFonts w:ascii="Arial" w:cs="Arial" w:hAnsi="Arial"/>
        </w:rPr>
        <w:t>,</w:t>
      </w:r>
      <w:r>
        <w:rPr>
          <w:rFonts w:ascii="Arial" w:cs="Arial" w:hAnsi="Arial"/>
        </w:rPr>
        <w:t xml:space="preserve"> 2024)</w:t>
      </w:r>
      <w:r>
        <w:rPr>
          <w:rFonts w:ascii="Arial" w:cs="Arial" w:hAnsi="Arial"/>
        </w:rPr>
        <w:t>. The working process should also be a two-level culture that allows losing unity and involvement. The identical issue hit Nestle in regards to hybrid transition, as employees in the product departments felt mistreated in comparison to the offices</w:t>
      </w:r>
      <w:r>
        <w:rPr>
          <w:rFonts w:ascii="Arial" w:cs="Arial" w:hAnsi="Arial"/>
        </w:rPr>
        <w:t>.</w:t>
      </w:r>
    </w:p>
    <w:p>
      <w:pPr>
        <w:pStyle w:val="style179"/>
        <w:numPr>
          <w:ilvl w:val="0"/>
          <w:numId w:val="15"/>
        </w:numPr>
        <w:spacing w:lineRule="auto" w:line="360"/>
        <w:jc w:val="both"/>
        <w:rPr>
          <w:rFonts w:ascii="Arial" w:cs="Arial" w:hAnsi="Arial"/>
          <w:b/>
          <w:bCs/>
        </w:rPr>
      </w:pPr>
      <w:r>
        <w:rPr>
          <w:rFonts w:ascii="Arial" w:cs="Arial" w:hAnsi="Arial"/>
          <w:b/>
          <w:bCs/>
        </w:rPr>
        <w:t>Blurred Work–Life Boundaries</w:t>
      </w:r>
    </w:p>
    <w:p>
      <w:pPr>
        <w:pStyle w:val="style0"/>
        <w:spacing w:lineRule="auto" w:line="360"/>
        <w:jc w:val="both"/>
        <w:rPr>
          <w:rFonts w:ascii="Arial" w:cs="Arial" w:hAnsi="Arial"/>
        </w:rPr>
      </w:pPr>
      <w:r>
        <w:rPr>
          <w:rFonts w:ascii="Arial" w:cs="Arial" w:hAnsi="Arial"/>
        </w:rPr>
        <w:t>In hybrid and remote work, it is also possible to lose work-life boundaries. The working hours are also often long, there are constantly demands to be present as well, and employees cannot always distinguish work and personal life</w:t>
      </w:r>
      <w:r>
        <w:rPr>
          <w:rFonts w:ascii="Arial" w:cs="Arial" w:hAnsi="Arial"/>
        </w:rPr>
        <w:t xml:space="preserve"> (</w:t>
      </w:r>
      <w:r>
        <w:rPr>
          <w:rFonts w:ascii="Arial" w:cs="Arial" w:hAnsi="Arial"/>
        </w:rPr>
        <w:t>Ahl</w:t>
      </w:r>
      <w:r>
        <w:rPr>
          <w:rFonts w:ascii="Arial" w:cs="Arial" w:hAnsi="Arial"/>
        </w:rPr>
        <w:t>, 2023)</w:t>
      </w:r>
      <w:r>
        <w:rPr>
          <w:rFonts w:ascii="Arial" w:cs="Arial" w:hAnsi="Arial"/>
        </w:rPr>
        <w:t>. Poor boundary management is one of the major factors that contribute to stress and burnout in the hybrid environment. Flexible working might unintentionally contribute to fatigue among the employees with negative implications to their well-being and productivity in the absence of clear policies and guidance of managers.</w:t>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bookmarkStart w:id="2" w:name="_Toc216175586"/>
    <w:p>
      <w:pPr>
        <w:pStyle w:val="style1"/>
        <w:rPr>
          <w:rFonts w:ascii="Arial" w:cs="Arial" w:eastAsia="Times New Roman" w:hAnsi="Arial"/>
          <w:color w:val="auto"/>
          <w:sz w:val="24"/>
          <w:szCs w:val="24"/>
        </w:rPr>
      </w:pPr>
      <w:r>
        <w:rPr>
          <w:rFonts w:ascii="Arial" w:cs="Arial" w:hAnsi="Arial"/>
          <w:color w:val="auto"/>
          <w:sz w:val="24"/>
          <w:szCs w:val="24"/>
        </w:rPr>
        <w:t>03</w:t>
      </w:r>
      <w:r>
        <w:rPr>
          <w:rFonts w:ascii="Arial" w:cs="Arial" w:eastAsia="Times New Roman" w:hAnsi="Arial"/>
          <w:color w:val="auto"/>
          <w:sz w:val="24"/>
          <w:szCs w:val="24"/>
        </w:rPr>
        <w:t>. Evaluation of Contemporary HR Pr</w:t>
      </w:r>
      <w:r>
        <w:rPr>
          <w:rFonts w:ascii="Arial" w:cs="Arial" w:hAnsi="Arial"/>
          <w:color w:val="auto"/>
          <w:sz w:val="24"/>
          <w:szCs w:val="24"/>
        </w:rPr>
        <w:t>actices to Address Each Factor</w:t>
      </w:r>
      <w:bookmarkEnd w:id="2"/>
      <w:r>
        <w:rPr>
          <w:rFonts w:ascii="Arial" w:cs="Arial" w:hAnsi="Arial"/>
          <w:color w:val="auto"/>
          <w:sz w:val="24"/>
          <w:szCs w:val="24"/>
        </w:rPr>
        <w:t xml:space="preserve"> </w:t>
      </w:r>
    </w:p>
    <w:p>
      <w:pPr>
        <w:pStyle w:val="style0"/>
        <w:spacing w:lineRule="auto" w:line="360"/>
        <w:jc w:val="both"/>
        <w:rPr>
          <w:rFonts w:ascii="Arial" w:cs="Arial" w:hAnsi="Arial"/>
          <w:sz w:val="18"/>
          <w:szCs w:val="18"/>
        </w:rPr>
      </w:pPr>
    </w:p>
    <w:p>
      <w:pPr>
        <w:pStyle w:val="style179"/>
        <w:numPr>
          <w:ilvl w:val="0"/>
          <w:numId w:val="17"/>
        </w:numPr>
        <w:spacing w:lineRule="auto" w:line="360"/>
        <w:jc w:val="both"/>
        <w:rPr>
          <w:rFonts w:ascii="Arial" w:cs="Arial" w:hAnsi="Arial"/>
          <w:b/>
          <w:bCs/>
        </w:rPr>
      </w:pPr>
      <w:r>
        <w:rPr>
          <w:rFonts w:ascii="Arial" w:cs="Arial" w:hAnsi="Arial"/>
          <w:b/>
          <w:bCs/>
        </w:rPr>
        <w:t>Addressing Business Transformation Factors</w:t>
      </w:r>
    </w:p>
    <w:p>
      <w:pPr>
        <w:pStyle w:val="style0"/>
        <w:spacing w:lineRule="auto" w:line="360"/>
        <w:jc w:val="both"/>
        <w:rPr>
          <w:rFonts w:ascii="Arial" w:cs="Arial" w:hAnsi="Arial"/>
        </w:rPr>
      </w:pPr>
      <w:r>
        <w:rPr>
          <w:rFonts w:ascii="Arial" w:cs="Arial" w:hAnsi="Arial"/>
        </w:rPr>
        <w:t xml:space="preserve">The change management strategies, clear communication and personnel development should also be implemented to organize the business transformation process properly. Kotter 8-Step Model and ADKAR can be employed as evidence-based models of change management to make sure that there will be more clarity, engagement, and employee buy-in. </w:t>
      </w:r>
      <w:r>
        <w:rPr>
          <w:rFonts w:ascii="Arial" w:cs="Arial" w:hAnsi="Arial"/>
        </w:rPr>
        <w:t>taking</w:t>
      </w:r>
      <w:r>
        <w:rPr>
          <w:rFonts w:ascii="Arial" w:cs="Arial" w:hAnsi="Arial"/>
        </w:rPr>
        <w:t xml:space="preserve"> the Cadbury as an example, the model suggested by Kotter can be adopted by the company by integrating the active communication, short-term wins, and involvement of employees into the transformation process</w:t>
      </w:r>
      <w:r>
        <w:rPr>
          <w:rFonts w:ascii="Arial" w:cs="Arial" w:hAnsi="Arial"/>
        </w:rPr>
        <w:t xml:space="preserve"> (</w:t>
      </w:r>
      <w:r>
        <w:rPr>
          <w:rFonts w:ascii="Arial" w:cs="Arial" w:hAnsi="Arial"/>
        </w:rPr>
        <w:t>Bahri</w:t>
      </w:r>
      <w:r>
        <w:rPr>
          <w:rFonts w:ascii="Arial" w:cs="Arial" w:hAnsi="Arial"/>
        </w:rPr>
        <w:t>,</w:t>
      </w:r>
      <w:r>
        <w:rPr>
          <w:rFonts w:ascii="Arial" w:cs="Arial" w:hAnsi="Arial"/>
        </w:rPr>
        <w:t xml:space="preserve"> 2025)</w:t>
      </w:r>
      <w:r>
        <w:rPr>
          <w:rFonts w:ascii="Arial" w:cs="Arial" w:hAnsi="Arial"/>
        </w:rPr>
        <w:t xml:space="preserve">. Similarly, Rolls-Royce had an opportunity to apply ADKAR framework to reduce resistance during its digital transformation. Such organized plans will help to reduce uncertainties and build trust and lower the instances of </w:t>
      </w:r>
      <w:r>
        <w:rPr>
          <w:rFonts w:ascii="Arial" w:cs="Arial" w:hAnsi="Arial"/>
        </w:rPr>
        <w:t>grievance;</w:t>
      </w:r>
      <w:r>
        <w:rPr>
          <w:rFonts w:ascii="Arial" w:cs="Arial" w:hAnsi="Arial"/>
        </w:rPr>
        <w:t xml:space="preserve"> therefore the employees will be assured that they have a team in their side, when faced with such a significant change.</w:t>
      </w:r>
    </w:p>
    <w:p>
      <w:pPr>
        <w:pStyle w:val="style0"/>
        <w:spacing w:lineRule="auto" w:line="360"/>
        <w:jc w:val="both"/>
        <w:rPr>
          <w:rFonts w:ascii="Arial" w:cs="Arial" w:hAnsi="Arial"/>
        </w:rPr>
      </w:pPr>
      <w:r>
        <w:rPr>
          <w:rFonts w:ascii="Arial" w:cs="Arial" w:hAnsi="Arial"/>
        </w:rPr>
        <w:t>The communication is also highly significant in the management of change, both in open and multi-channel communication. Under the modern practice, the message should be clear and frequent to the acceptance and involvement of the employees. This can be done through town-hall meetings, transformation newsletters, frequently asked questions regarding the changes in employment and cascades of managers by the organisations</w:t>
      </w:r>
      <w:r>
        <w:rPr>
          <w:rFonts w:ascii="Arial" w:cs="Arial" w:hAnsi="Arial"/>
        </w:rPr>
        <w:t xml:space="preserve"> (</w:t>
      </w:r>
      <w:r>
        <w:rPr>
          <w:rFonts w:ascii="Arial" w:cs="Arial" w:hAnsi="Arial"/>
        </w:rPr>
        <w:t>Ball,</w:t>
      </w:r>
      <w:r>
        <w:rPr>
          <w:rFonts w:ascii="Arial" w:cs="Arial" w:hAnsi="Arial"/>
        </w:rPr>
        <w:t xml:space="preserve"> 2021)</w:t>
      </w:r>
      <w:r>
        <w:rPr>
          <w:rFonts w:ascii="Arial" w:cs="Arial" w:hAnsi="Arial"/>
        </w:rPr>
        <w:t xml:space="preserve">. Google 2022 transformation </w:t>
      </w:r>
      <w:r>
        <w:rPr>
          <w:rFonts w:ascii="Arial" w:cs="Arial" w:hAnsi="Arial"/>
        </w:rPr>
        <w:t>programmer</w:t>
      </w:r>
      <w:r>
        <w:rPr>
          <w:rFonts w:ascii="Arial" w:cs="Arial" w:hAnsi="Arial"/>
        </w:rPr>
        <w:t xml:space="preserve"> has shown that communication that is repetitive and regular reduces the level of conflict within the company and enhances the level of change acceptance as a whole. It can be achieved by transparency and inclusiveness in organisations and this is essential to successful transformation by clarity in objectives, outcomes and effects on the employees.</w:t>
      </w:r>
    </w:p>
    <w:p>
      <w:pPr>
        <w:pStyle w:val="style0"/>
        <w:spacing w:lineRule="auto" w:line="360"/>
        <w:jc w:val="both"/>
        <w:rPr>
          <w:rFonts w:ascii="Arial" w:cs="Arial" w:hAnsi="Arial"/>
        </w:rPr>
      </w:pPr>
      <w:r>
        <w:rPr>
          <w:rFonts w:ascii="Arial" w:cs="Arial" w:hAnsi="Arial"/>
        </w:rPr>
        <w:t xml:space="preserve">The </w:t>
      </w:r>
      <w:r>
        <w:rPr>
          <w:rFonts w:ascii="Arial" w:cs="Arial" w:hAnsi="Arial"/>
        </w:rPr>
        <w:t>up skilling</w:t>
      </w:r>
      <w:r>
        <w:rPr>
          <w:rFonts w:ascii="Arial" w:cs="Arial" w:hAnsi="Arial"/>
        </w:rPr>
        <w:t xml:space="preserve"> and reskilling programmes are the third pillar of successful business transformation. As organisations increasingly adopt new digital operations, employees require to be given effective training guidelines in order to adopt new roles and responsibilities</w:t>
      </w:r>
      <w:r>
        <w:rPr>
          <w:rFonts w:ascii="Arial" w:cs="Arial" w:hAnsi="Arial"/>
        </w:rPr>
        <w:t xml:space="preserve"> (</w:t>
      </w:r>
      <w:r>
        <w:rPr>
          <w:rFonts w:ascii="Arial" w:cs="Arial" w:hAnsi="Arial"/>
        </w:rPr>
        <w:t>Berry,</w:t>
      </w:r>
      <w:r>
        <w:rPr>
          <w:rFonts w:ascii="Arial" w:cs="Arial" w:hAnsi="Arial"/>
        </w:rPr>
        <w:t xml:space="preserve"> 2024)</w:t>
      </w:r>
      <w:r>
        <w:rPr>
          <w:rFonts w:ascii="Arial" w:cs="Arial" w:hAnsi="Arial"/>
        </w:rPr>
        <w:t>. On job coaching, micro learning modules, digital apprenticeships and skill recognition or rewards are some of the best practices. The reference can be the AI-powered learning ecosystem of Siemens (2022) as the company was able to reduce the skill inequality, not to mention that the morale of the employees was also boosted. In Cadbury case, the implementation of the tiered learning programmes will ensure that the workers are able to acquire skills needed to solve digital job roles that will lead to interaction, self-esteem and long</w:t>
      </w:r>
      <w:r>
        <w:rPr>
          <w:rFonts w:ascii="Arial" w:cs="Arial" w:hAnsi="Arial"/>
        </w:rPr>
        <w:t xml:space="preserve">-term </w:t>
      </w:r>
      <w:r>
        <w:rPr>
          <w:rFonts w:ascii="Arial" w:cs="Arial" w:hAnsi="Arial"/>
        </w:rPr>
        <w:t>organizational</w:t>
      </w:r>
      <w:r>
        <w:rPr>
          <w:rFonts w:ascii="Arial" w:cs="Arial" w:hAnsi="Arial"/>
        </w:rPr>
        <w:t xml:space="preserve"> competence</w:t>
      </w:r>
      <w:r>
        <w:rPr>
          <w:rFonts w:ascii="Arial" w:cs="Arial" w:hAnsi="Arial"/>
        </w:rPr>
        <w:t>.</w:t>
      </w:r>
    </w:p>
    <w:p>
      <w:pPr>
        <w:pStyle w:val="style179"/>
        <w:numPr>
          <w:ilvl w:val="0"/>
          <w:numId w:val="17"/>
        </w:numPr>
        <w:spacing w:lineRule="auto" w:line="360"/>
        <w:jc w:val="both"/>
        <w:rPr>
          <w:rFonts w:ascii="Arial" w:cs="Arial" w:hAnsi="Arial"/>
          <w:b/>
          <w:bCs/>
        </w:rPr>
      </w:pPr>
      <w:r>
        <w:rPr>
          <w:rFonts w:ascii="Arial" w:cs="Arial" w:hAnsi="Arial"/>
          <w:b/>
          <w:bCs/>
        </w:rPr>
        <w:t>Addressing Digital Technology Trend Factors</w:t>
      </w:r>
    </w:p>
    <w:p>
      <w:pPr>
        <w:pStyle w:val="style0"/>
        <w:spacing w:lineRule="auto" w:line="360"/>
        <w:jc w:val="both"/>
        <w:rPr>
          <w:rFonts w:ascii="Arial" w:cs="Arial" w:hAnsi="Arial"/>
        </w:rPr>
      </w:pPr>
      <w:r>
        <w:rPr>
          <w:rFonts w:ascii="Arial" w:cs="Arial" w:hAnsi="Arial"/>
        </w:rPr>
        <w:t xml:space="preserve">The rapid adoption of digital technologies necessitates the policies protecting the ethical use, promoting well-being, and enhancing digital literacy. </w:t>
      </w:r>
      <w:r>
        <w:rPr>
          <w:rFonts w:ascii="Arial" w:cs="Arial" w:hAnsi="Arial"/>
        </w:rPr>
        <w:t>Huffcutt</w:t>
      </w:r>
      <w:r>
        <w:rPr>
          <w:rFonts w:ascii="Arial" w:cs="Arial" w:hAnsi="Arial"/>
        </w:rPr>
        <w:t xml:space="preserve"> (2023) recommends that ethical technology policy must be adhered to ensure that there is transparency, consent and minimum surveillance in digital practices at workplace. Cadbury is capable of coming up with a Digital Fairness Policy that establishes the nature of employee data gathered, its application, employee rights and constraints to surveillance</w:t>
      </w:r>
      <w:r>
        <w:rPr>
          <w:rFonts w:ascii="Arial" w:cs="Arial" w:hAnsi="Arial"/>
        </w:rPr>
        <w:t xml:space="preserve"> (</w:t>
      </w:r>
      <w:r>
        <w:rPr>
          <w:rFonts w:ascii="Arial" w:cs="Arial" w:hAnsi="Arial"/>
        </w:rPr>
        <w:t>Huffcutt</w:t>
      </w:r>
      <w:r>
        <w:rPr>
          <w:rFonts w:ascii="Arial" w:cs="Arial" w:hAnsi="Arial"/>
        </w:rPr>
        <w:t>,</w:t>
      </w:r>
      <w:r>
        <w:rPr>
          <w:rFonts w:ascii="Arial" w:cs="Arial" w:hAnsi="Arial"/>
        </w:rPr>
        <w:t xml:space="preserve"> 2023)</w:t>
      </w:r>
      <w:r>
        <w:rPr>
          <w:rFonts w:ascii="Arial" w:cs="Arial" w:hAnsi="Arial"/>
        </w:rPr>
        <w:t>. Such policies will reduce mistrust and also ensure that GDPR and ethical responsibility culture of digital initiatives is followed.</w:t>
      </w:r>
    </w:p>
    <w:p>
      <w:pPr>
        <w:pStyle w:val="style0"/>
        <w:spacing w:lineRule="auto" w:line="360"/>
        <w:jc w:val="both"/>
        <w:rPr>
          <w:rFonts w:ascii="Arial" w:cs="Arial" w:hAnsi="Arial"/>
        </w:rPr>
      </w:pPr>
      <w:r>
        <w:rPr>
          <w:rFonts w:ascii="Arial" w:cs="Arial" w:hAnsi="Arial"/>
        </w:rPr>
        <w:t>Digital well-being programs could also make a strong contribution to mitigating the unwanted implications of permanent connectivity. Other associated tactics that have been adopted by major organisations such as Unilever are No-Meeting Fridays, focus time, digital breaks, and after hounds correspondence constraints</w:t>
      </w:r>
      <w:r>
        <w:rPr>
          <w:rFonts w:ascii="Arial" w:cs="Arial" w:hAnsi="Arial"/>
        </w:rPr>
        <w:t xml:space="preserve"> (</w:t>
      </w:r>
      <w:r>
        <w:rPr>
          <w:rFonts w:ascii="Arial" w:cs="Arial" w:hAnsi="Arial"/>
        </w:rPr>
        <w:t>Peasgood</w:t>
      </w:r>
      <w:r>
        <w:rPr>
          <w:rFonts w:ascii="Arial" w:cs="Arial" w:hAnsi="Arial"/>
        </w:rPr>
        <w:t>,</w:t>
      </w:r>
      <w:r>
        <w:rPr>
          <w:rFonts w:ascii="Arial" w:cs="Arial" w:hAnsi="Arial"/>
        </w:rPr>
        <w:t xml:space="preserve"> 2023)</w:t>
      </w:r>
      <w:r>
        <w:rPr>
          <w:rFonts w:ascii="Arial" w:cs="Arial" w:hAnsi="Arial"/>
        </w:rPr>
        <w:t>. Through such programs, there is a reduction in incidences of digital fatigue, job satisfaction, and maintenance of productivity as well as healthy work-life balance. By taking care of the employees, Cadbury will be in a position to boost employee engagement and mitigate stress linked to digital transformation.</w:t>
      </w:r>
    </w:p>
    <w:p>
      <w:pPr>
        <w:pStyle w:val="style0"/>
        <w:spacing w:lineRule="auto" w:line="360"/>
        <w:jc w:val="both"/>
        <w:rPr>
          <w:rFonts w:ascii="Arial" w:cs="Arial" w:hAnsi="Arial"/>
        </w:rPr>
      </w:pPr>
      <w:r>
        <w:rPr>
          <w:rFonts w:ascii="Arial" w:cs="Arial" w:hAnsi="Arial"/>
        </w:rPr>
        <w:t xml:space="preserve">Finally, digital literacy initiatives will also be important to train the employees on technological transformations. The training of the beginner and the advanced levels can be applied to reduce the </w:t>
      </w:r>
      <w:r>
        <w:rPr>
          <w:rFonts w:ascii="Arial" w:cs="Arial" w:hAnsi="Arial"/>
        </w:rPr>
        <w:t>techno stress</w:t>
      </w:r>
      <w:r>
        <w:rPr>
          <w:rFonts w:ascii="Arial" w:cs="Arial" w:hAnsi="Arial"/>
        </w:rPr>
        <w:t xml:space="preserve"> and cause the confidence in using the digital tools. One such initiative is the Skills for Tomorrow programme (2023) of BT that trained thousands of employees to have the required digital skills</w:t>
      </w:r>
      <w:r>
        <w:rPr>
          <w:rFonts w:ascii="Arial" w:cs="Arial" w:hAnsi="Arial"/>
        </w:rPr>
        <w:t xml:space="preserve"> (</w:t>
      </w:r>
      <w:r>
        <w:rPr>
          <w:rFonts w:ascii="Arial" w:cs="Arial" w:hAnsi="Arial"/>
        </w:rPr>
        <w:t>Sarangi</w:t>
      </w:r>
      <w:r>
        <w:rPr>
          <w:rFonts w:ascii="Arial" w:cs="Arial" w:hAnsi="Arial"/>
        </w:rPr>
        <w:t>,</w:t>
      </w:r>
      <w:r>
        <w:rPr>
          <w:rFonts w:ascii="Arial" w:cs="Arial" w:hAnsi="Arial"/>
        </w:rPr>
        <w:t xml:space="preserve"> 2025)</w:t>
      </w:r>
      <w:r>
        <w:rPr>
          <w:rFonts w:ascii="Arial" w:cs="Arial" w:hAnsi="Arial"/>
        </w:rPr>
        <w:t>. Such a stratified approach can be adopted by Cadbury, and it will be certain that employees are equipped to be able to work within digital systems and establish the culture of life-long learning and flexibility.</w:t>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179"/>
        <w:numPr>
          <w:ilvl w:val="0"/>
          <w:numId w:val="17"/>
        </w:numPr>
        <w:spacing w:lineRule="auto" w:line="360"/>
        <w:jc w:val="both"/>
        <w:rPr>
          <w:rFonts w:ascii="Arial" w:cs="Arial" w:hAnsi="Arial"/>
          <w:b/>
          <w:bCs/>
        </w:rPr>
      </w:pPr>
      <w:r>
        <w:rPr>
          <w:rFonts w:ascii="Arial" w:cs="Arial" w:hAnsi="Arial"/>
          <w:b/>
          <w:bCs/>
        </w:rPr>
        <w:t>Addressing Flexible Working Arrangement Factors</w:t>
      </w:r>
    </w:p>
    <w:p>
      <w:pPr>
        <w:pStyle w:val="style0"/>
        <w:spacing w:lineRule="auto" w:line="360"/>
        <w:jc w:val="both"/>
        <w:rPr>
          <w:rFonts w:ascii="Arial" w:cs="Arial" w:hAnsi="Arial"/>
        </w:rPr>
      </w:pPr>
      <w:r>
        <w:rPr>
          <w:rFonts w:ascii="Arial" w:cs="Arial" w:hAnsi="Arial"/>
        </w:rPr>
        <w:t>The flexible work arrangements, particularly the hybrid systems, require formal laws, administration training, and equal treatment of workers. Having a well-defined policy on hybrid working will reduce the level of ambiguity and give uniformity across the departments. Cadbury should have eligibility provisions, remote days to be taken, performance standards, health and safety policies and equal opportunity provisions</w:t>
      </w:r>
      <w:r>
        <w:rPr>
          <w:rFonts w:ascii="Arial" w:cs="Arial" w:hAnsi="Arial"/>
        </w:rPr>
        <w:t xml:space="preserve"> (</w:t>
      </w:r>
      <w:r>
        <w:rPr>
          <w:rFonts w:ascii="Arial" w:cs="Arial" w:hAnsi="Arial"/>
        </w:rPr>
        <w:t>Wingate,</w:t>
      </w:r>
      <w:r>
        <w:rPr>
          <w:rFonts w:ascii="Arial" w:cs="Arial" w:hAnsi="Arial"/>
        </w:rPr>
        <w:t xml:space="preserve"> 2024)</w:t>
      </w:r>
      <w:r>
        <w:rPr>
          <w:rFonts w:ascii="Arial" w:cs="Arial" w:hAnsi="Arial"/>
        </w:rPr>
        <w:t xml:space="preserve">. The recent hybrid policy (2023) of HSBC focuses on the benefits of </w:t>
      </w:r>
      <w:r>
        <w:rPr>
          <w:rFonts w:ascii="Arial" w:cs="Arial" w:hAnsi="Arial"/>
        </w:rPr>
        <w:t>formalization</w:t>
      </w:r>
      <w:r>
        <w:rPr>
          <w:rFonts w:ascii="Arial" w:cs="Arial" w:hAnsi="Arial"/>
        </w:rPr>
        <w:t>, the reduction of the complaints as well as the improvement of the alignment of the work practices.</w:t>
      </w:r>
    </w:p>
    <w:p>
      <w:pPr>
        <w:pStyle w:val="style0"/>
        <w:spacing w:lineRule="auto" w:line="360"/>
        <w:jc w:val="both"/>
        <w:rPr>
          <w:rFonts w:ascii="Arial" w:cs="Arial" w:hAnsi="Arial"/>
        </w:rPr>
      </w:pPr>
      <w:r>
        <w:rPr>
          <w:rFonts w:ascii="Arial" w:cs="Arial" w:hAnsi="Arial"/>
        </w:rPr>
        <w:t xml:space="preserve">The managers should be trained on having hybrid leadership to bring inclusion and fairness. Effective training on management of bias, remote communication approach and sensitive distribution of tasks and inclusion of remote workers should be effective. </w:t>
      </w:r>
      <w:r>
        <w:rPr>
          <w:rFonts w:ascii="Arial" w:cs="Arial" w:hAnsi="Arial"/>
        </w:rPr>
        <w:t>Afandi</w:t>
      </w:r>
      <w:r>
        <w:rPr>
          <w:rFonts w:ascii="Arial" w:cs="Arial" w:hAnsi="Arial"/>
        </w:rPr>
        <w:t xml:space="preserve"> </w:t>
      </w:r>
      <w:r>
        <w:rPr>
          <w:rFonts w:ascii="Arial" w:cs="Arial" w:hAnsi="Arial"/>
        </w:rPr>
        <w:t>(2024</w:t>
      </w:r>
      <w:r>
        <w:rPr>
          <w:rFonts w:ascii="Arial" w:cs="Arial" w:hAnsi="Arial"/>
        </w:rPr>
        <w:t>) suggests that the ability of managers is essential to provide equitable hybrid outcomes in the sense that employees are supposed to feel that they are not discriminated regardless of where they work</w:t>
      </w:r>
      <w:r>
        <w:rPr>
          <w:rFonts w:ascii="Arial" w:cs="Arial" w:hAnsi="Arial"/>
        </w:rPr>
        <w:t xml:space="preserve"> (</w:t>
      </w:r>
      <w:r>
        <w:rPr>
          <w:rFonts w:ascii="Arial" w:cs="Arial" w:hAnsi="Arial"/>
        </w:rPr>
        <w:t>Afandi</w:t>
      </w:r>
      <w:r>
        <w:rPr>
          <w:rFonts w:ascii="Arial" w:cs="Arial" w:hAnsi="Arial"/>
        </w:rPr>
        <w:t>, 2024)</w:t>
      </w:r>
      <w:r>
        <w:rPr>
          <w:rFonts w:ascii="Arial" w:cs="Arial" w:hAnsi="Arial"/>
        </w:rPr>
        <w:t>.</w:t>
      </w:r>
      <w:r>
        <w:rPr>
          <w:rFonts w:ascii="Arial" w:cs="Arial" w:hAnsi="Arial"/>
        </w:rPr>
        <w:t xml:space="preserve"> </w:t>
      </w:r>
      <w:r>
        <w:rPr>
          <w:rFonts w:ascii="Arial" w:cs="Arial" w:hAnsi="Arial"/>
        </w:rPr>
        <w:t>Where production workers are unable to work remotely, organisations should implement compensatory measures which will make them equal. Such practices as flexible working hours, compressed hours, additional well-being programs, and reward programs can fill the gap. An article by Nestle concerning the implementation of flexibility champions in the plants (2022) demonstrates the practice of being practical in making sure that the production staffs are enjoying the modern working practice. When applied in the case of Cadbury, this will guarantee a happy work force, fairness and efficiency among all groups of employees.</w:t>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bookmarkStart w:id="3" w:name="_Toc216175587"/>
    <w:p>
      <w:pPr>
        <w:pStyle w:val="style1"/>
        <w:rPr>
          <w:rFonts w:ascii="Arial" w:cs="Arial" w:eastAsia="Times New Roman" w:hAnsi="Arial"/>
          <w:color w:val="auto"/>
          <w:sz w:val="24"/>
          <w:szCs w:val="24"/>
        </w:rPr>
      </w:pPr>
      <w:r>
        <w:rPr>
          <w:rFonts w:ascii="Arial" w:cs="Arial" w:hAnsi="Arial"/>
          <w:color w:val="auto"/>
          <w:sz w:val="24"/>
          <w:szCs w:val="24"/>
        </w:rPr>
        <w:t>04</w:t>
      </w:r>
      <w:r>
        <w:rPr>
          <w:rFonts w:ascii="Arial" w:cs="Arial" w:eastAsia="Times New Roman" w:hAnsi="Arial"/>
          <w:color w:val="auto"/>
          <w:sz w:val="24"/>
          <w:szCs w:val="24"/>
        </w:rPr>
        <w:t>. Critical E</w:t>
      </w:r>
      <w:bookmarkStart w:id="4" w:name="_GoBack"/>
      <w:bookmarkEnd w:id="4"/>
      <w:r>
        <w:rPr>
          <w:rFonts w:ascii="Arial" w:cs="Arial" w:eastAsia="Times New Roman" w:hAnsi="Arial"/>
          <w:color w:val="auto"/>
          <w:sz w:val="24"/>
          <w:szCs w:val="24"/>
        </w:rPr>
        <w:t>valuation: Ensuring Urgent Implementation by Managers</w:t>
      </w:r>
      <w:bookmarkEnd w:id="3"/>
      <w:r>
        <w:rPr>
          <w:rFonts w:ascii="Arial" w:cs="Arial" w:eastAsia="Times New Roman" w:hAnsi="Arial"/>
          <w:color w:val="auto"/>
          <w:sz w:val="24"/>
          <w:szCs w:val="24"/>
        </w:rPr>
        <w:t xml:space="preserve"> </w:t>
      </w:r>
    </w:p>
    <w:p>
      <w:pPr>
        <w:pStyle w:val="style0"/>
        <w:spacing w:lineRule="auto" w:line="360"/>
        <w:jc w:val="both"/>
        <w:rPr>
          <w:rFonts w:ascii="Arial" w:cs="Arial" w:hAnsi="Arial"/>
        </w:rPr>
      </w:pPr>
    </w:p>
    <w:p>
      <w:pPr>
        <w:pStyle w:val="style179"/>
        <w:numPr>
          <w:ilvl w:val="0"/>
          <w:numId w:val="18"/>
        </w:numPr>
        <w:spacing w:lineRule="auto" w:line="360"/>
        <w:jc w:val="both"/>
        <w:rPr>
          <w:rFonts w:ascii="Arial" w:cs="Arial" w:hAnsi="Arial"/>
          <w:b/>
          <w:bCs/>
        </w:rPr>
      </w:pPr>
      <w:r>
        <w:rPr>
          <w:rFonts w:ascii="Arial" w:cs="Arial" w:hAnsi="Arial"/>
          <w:b/>
          <w:bCs/>
        </w:rPr>
        <w:t>Manager Capability Development</w:t>
      </w:r>
    </w:p>
    <w:p>
      <w:pPr>
        <w:pStyle w:val="style0"/>
        <w:spacing w:lineRule="auto" w:line="360"/>
        <w:jc w:val="both"/>
        <w:rPr>
          <w:rFonts w:ascii="Arial" w:cs="Arial" w:hAnsi="Arial"/>
        </w:rPr>
      </w:pPr>
      <w:r>
        <w:rPr>
          <w:rFonts w:ascii="Arial" w:cs="Arial" w:hAnsi="Arial"/>
        </w:rPr>
        <w:t xml:space="preserve">The managers play a key role in effecting </w:t>
      </w:r>
      <w:r>
        <w:rPr>
          <w:rFonts w:ascii="Arial" w:cs="Arial" w:hAnsi="Arial"/>
        </w:rPr>
        <w:t>organizational</w:t>
      </w:r>
      <w:r>
        <w:rPr>
          <w:rFonts w:ascii="Arial" w:cs="Arial" w:hAnsi="Arial"/>
        </w:rPr>
        <w:t xml:space="preserve"> change, though their effectiveness will involve an immense understanding of the HR policy and change psychology. Without this capability implementation can become lopsided, laborious or can be opposed by employees. Research has revealed that a significant proportion of managers in the UK lack digital leadership and people management skills and it cannot effectively use these to implement transformation initiatives successfully (</w:t>
      </w:r>
      <w:r>
        <w:rPr>
          <w:rFonts w:ascii="Arial" w:cs="Arial" w:hAnsi="Arial"/>
        </w:rPr>
        <w:t>Ahl</w:t>
      </w:r>
      <w:r>
        <w:rPr>
          <w:rFonts w:ascii="Arial" w:cs="Arial" w:hAnsi="Arial"/>
        </w:rPr>
        <w:t>,</w:t>
      </w:r>
      <w:r>
        <w:rPr>
          <w:rFonts w:ascii="Arial" w:cs="Arial" w:hAnsi="Arial"/>
        </w:rPr>
        <w:t xml:space="preserve"> 2023). Capability building must, therefore, not be optional, but compulsory. The remedy to this is that mandatory training of managers as programmemes, the use of learning dashboard as a tracking tool, and the utilization of coaching and ability tests by Cadbury. </w:t>
      </w:r>
    </w:p>
    <w:p>
      <w:pPr>
        <w:pStyle w:val="style179"/>
        <w:numPr>
          <w:ilvl w:val="0"/>
          <w:numId w:val="18"/>
        </w:numPr>
        <w:spacing w:lineRule="auto" w:line="360"/>
        <w:jc w:val="both"/>
        <w:rPr>
          <w:rFonts w:ascii="Arial" w:cs="Arial" w:hAnsi="Arial"/>
          <w:b/>
          <w:bCs/>
        </w:rPr>
      </w:pPr>
      <w:r>
        <w:rPr>
          <w:rFonts w:ascii="Arial" w:cs="Arial" w:hAnsi="Arial"/>
          <w:b/>
          <w:bCs/>
        </w:rPr>
        <w:t>Embedding HR Responsibilities into Manager KPIs</w:t>
      </w:r>
    </w:p>
    <w:p>
      <w:pPr>
        <w:pStyle w:val="style0"/>
        <w:spacing w:lineRule="auto" w:line="360"/>
        <w:jc w:val="both"/>
        <w:rPr>
          <w:rFonts w:ascii="Arial" w:cs="Arial" w:hAnsi="Arial"/>
        </w:rPr>
      </w:pPr>
      <w:r>
        <w:rPr>
          <w:rFonts w:ascii="Arial" w:cs="Arial" w:hAnsi="Arial"/>
        </w:rPr>
        <w:t xml:space="preserve">The greatest issue with </w:t>
      </w:r>
      <w:r>
        <w:rPr>
          <w:rFonts w:ascii="Arial" w:cs="Arial" w:hAnsi="Arial"/>
        </w:rPr>
        <w:t>organizational</w:t>
      </w:r>
      <w:r>
        <w:rPr>
          <w:rFonts w:ascii="Arial" w:cs="Arial" w:hAnsi="Arial"/>
        </w:rPr>
        <w:t xml:space="preserve"> transformation is that the managers are often interested in meeting </w:t>
      </w:r>
      <w:r>
        <w:rPr>
          <w:rFonts w:ascii="Arial" w:cs="Arial" w:hAnsi="Arial"/>
        </w:rPr>
        <w:t>organizational</w:t>
      </w:r>
      <w:r>
        <w:rPr>
          <w:rFonts w:ascii="Arial" w:cs="Arial" w:hAnsi="Arial"/>
        </w:rPr>
        <w:t xml:space="preserve"> objectives and not HR functions. Recent Hr practices imply implementation of key performance indicators (KPIs) that would reflect people-related outcomes, such as the time that it took to solve a grievance, impartiality of decisions in flexible working practices, the level of employee engagement, and the accomplishment of training modules</w:t>
      </w:r>
      <w:r>
        <w:rPr>
          <w:rFonts w:ascii="Arial" w:cs="Arial" w:hAnsi="Arial"/>
        </w:rPr>
        <w:t xml:space="preserve"> (</w:t>
      </w:r>
      <w:r>
        <w:rPr>
          <w:rFonts w:ascii="Arial" w:cs="Arial" w:hAnsi="Arial"/>
        </w:rPr>
        <w:t>Ball,</w:t>
      </w:r>
      <w:r>
        <w:rPr>
          <w:rFonts w:ascii="Arial" w:cs="Arial" w:hAnsi="Arial"/>
        </w:rPr>
        <w:t xml:space="preserve"> 2021)</w:t>
      </w:r>
      <w:r>
        <w:rPr>
          <w:rFonts w:ascii="Arial" w:cs="Arial" w:hAnsi="Arial"/>
        </w:rPr>
        <w:t>. However, when it comes to excessive numbers, too many KPIs can turn into a liability to the managers and a number of forward-looking aspects. Cadbury can respond to this by implementing a balanced scorecard model that ensures that the KPIs are realistic, strategic, and manageable to ensure that managers do not compromise the HR priorities at the expense of the operational performance.</w:t>
      </w:r>
    </w:p>
    <w:p>
      <w:pPr>
        <w:pStyle w:val="style179"/>
        <w:numPr>
          <w:ilvl w:val="0"/>
          <w:numId w:val="18"/>
        </w:numPr>
        <w:spacing w:lineRule="auto" w:line="360"/>
        <w:jc w:val="both"/>
        <w:rPr>
          <w:rFonts w:ascii="Arial" w:cs="Arial" w:hAnsi="Arial"/>
          <w:b/>
          <w:bCs/>
        </w:rPr>
      </w:pPr>
      <w:r>
        <w:rPr>
          <w:rFonts w:ascii="Arial" w:cs="Arial" w:hAnsi="Arial"/>
          <w:b/>
          <w:bCs/>
        </w:rPr>
        <w:t>Ensuring Fair Decision-Making and Reducing Bias</w:t>
      </w:r>
    </w:p>
    <w:p>
      <w:pPr>
        <w:pStyle w:val="style0"/>
        <w:spacing w:lineRule="auto" w:line="360"/>
        <w:jc w:val="both"/>
        <w:rPr>
          <w:rFonts w:ascii="Arial" w:cs="Arial" w:hAnsi="Arial"/>
        </w:rPr>
      </w:pPr>
      <w:r>
        <w:rPr>
          <w:rFonts w:ascii="Arial" w:cs="Arial" w:hAnsi="Arial"/>
        </w:rPr>
        <w:t>The opportunity of inequality of treatment may arise in the event of different decisions made by managers based on flexible policies and hybrid working arrangements. In order to resolve this, managers will require unconscious prejudice educations, choice making frameworks and HR audit to inspect consistency</w:t>
      </w:r>
      <w:r>
        <w:rPr>
          <w:rFonts w:ascii="Arial" w:cs="Arial" w:hAnsi="Arial"/>
        </w:rPr>
        <w:t xml:space="preserve"> (</w:t>
      </w:r>
      <w:r>
        <w:rPr>
          <w:rFonts w:ascii="Arial" w:cs="Arial" w:hAnsi="Arial"/>
        </w:rPr>
        <w:t>Berry,</w:t>
      </w:r>
      <w:r>
        <w:rPr>
          <w:rFonts w:ascii="Arial" w:cs="Arial" w:hAnsi="Arial"/>
        </w:rPr>
        <w:t xml:space="preserve"> 2024)</w:t>
      </w:r>
      <w:r>
        <w:rPr>
          <w:rFonts w:ascii="Arial" w:cs="Arial" w:hAnsi="Arial"/>
        </w:rPr>
        <w:t>. The issue of the fact that auditing and fairness tracking involve the HR power and the strong capabilities is one of such serious issues. Cadbury should therefore invest in HR analytics tools to monitor the fairness pointers by departments and ensure that all employees are treated equitably. By considering the aspect of justice in the decision making process of the managers, Cadbury will reduce the biases perceptions and foster the trust of the employees in the leadership.</w:t>
      </w:r>
    </w:p>
    <w:p>
      <w:pPr>
        <w:pStyle w:val="style179"/>
        <w:numPr>
          <w:ilvl w:val="0"/>
          <w:numId w:val="18"/>
        </w:numPr>
        <w:spacing w:lineRule="auto" w:line="360"/>
        <w:jc w:val="both"/>
        <w:rPr>
          <w:rFonts w:ascii="Arial" w:cs="Arial" w:hAnsi="Arial"/>
          <w:b/>
          <w:bCs/>
        </w:rPr>
      </w:pPr>
      <w:r>
        <w:rPr>
          <w:rFonts w:ascii="Arial" w:cs="Arial" w:hAnsi="Arial"/>
          <w:b/>
          <w:bCs/>
        </w:rPr>
        <w:t>Enhancing Communication and Psychological Safety</w:t>
      </w:r>
    </w:p>
    <w:p>
      <w:pPr>
        <w:pStyle w:val="style0"/>
        <w:spacing w:lineRule="auto" w:line="360"/>
        <w:jc w:val="both"/>
        <w:rPr>
          <w:rFonts w:ascii="Arial" w:cs="Arial" w:hAnsi="Arial"/>
        </w:rPr>
      </w:pPr>
      <w:r>
        <w:rPr>
          <w:rFonts w:ascii="Arial" w:cs="Arial" w:hAnsi="Arial"/>
        </w:rPr>
        <w:t>Effective managers ought to encourage the practice of psychological safety where the workers have the liberty to take it to the table without the fear of being reprimanded. Periodic and systematic inspection of the working place will help identify the issues, and the managers will fix them before they are formalized as a grievance. According to ACAS (2022), the issue of formal grievances can be reduced by a half through introducing the practice of early conflict resolution</w:t>
      </w:r>
      <w:r>
        <w:rPr>
          <w:rFonts w:ascii="Arial" w:cs="Arial" w:hAnsi="Arial"/>
        </w:rPr>
        <w:t xml:space="preserve"> (</w:t>
      </w:r>
      <w:r>
        <w:rPr>
          <w:rFonts w:ascii="Arial" w:cs="Arial" w:hAnsi="Arial"/>
        </w:rPr>
        <w:t>Huffcutt</w:t>
      </w:r>
      <w:r>
        <w:rPr>
          <w:rFonts w:ascii="Arial" w:cs="Arial" w:hAnsi="Arial"/>
        </w:rPr>
        <w:t>,</w:t>
      </w:r>
      <w:r>
        <w:rPr>
          <w:rFonts w:ascii="Arial" w:cs="Arial" w:hAnsi="Arial"/>
        </w:rPr>
        <w:t xml:space="preserve"> 2023)</w:t>
      </w:r>
      <w:r>
        <w:rPr>
          <w:rFonts w:ascii="Arial" w:cs="Arial" w:hAnsi="Arial"/>
        </w:rPr>
        <w:t>. However, too many meetings in teams can further aggravate digital fatigue. To maintain the staff engaged yet not overwhelming them, Cadbury should thus have to give a balance between formal check-ins and effective methods of communication that may be asynchronous updates, group platforms, or short pulse surveys.</w:t>
      </w:r>
    </w:p>
    <w:p>
      <w:pPr>
        <w:pStyle w:val="style179"/>
        <w:numPr>
          <w:ilvl w:val="0"/>
          <w:numId w:val="18"/>
        </w:numPr>
        <w:spacing w:lineRule="auto" w:line="360"/>
        <w:jc w:val="both"/>
        <w:rPr>
          <w:rFonts w:ascii="Arial" w:cs="Arial" w:hAnsi="Arial"/>
          <w:b/>
          <w:bCs/>
        </w:rPr>
      </w:pPr>
      <w:r>
        <w:rPr>
          <w:rFonts w:ascii="Arial" w:cs="Arial" w:hAnsi="Arial"/>
          <w:b/>
          <w:bCs/>
        </w:rPr>
        <w:t>Cross-Functional Collaboration</w:t>
      </w:r>
    </w:p>
    <w:p>
      <w:pPr>
        <w:pStyle w:val="style0"/>
        <w:spacing w:lineRule="auto" w:line="360"/>
        <w:jc w:val="both"/>
        <w:rPr>
          <w:rFonts w:ascii="Arial" w:cs="Arial" w:hAnsi="Arial"/>
        </w:rPr>
      </w:pPr>
      <w:r>
        <w:rPr>
          <w:rFonts w:ascii="Arial" w:cs="Arial" w:hAnsi="Arial"/>
        </w:rPr>
        <w:t>It is an integrated effort that needs to be done in conjunction with the HR, IT, engineering, and production to achieve successful transformation. The managers are required to involve themselves in co-creation of operationally feasible and employee palatable solutions. The most significant crisis is that the cross-functional collaboration can be time consuming and it might not be in line with the operational pressures</w:t>
      </w:r>
      <w:r>
        <w:rPr>
          <w:rFonts w:ascii="Arial" w:cs="Arial" w:hAnsi="Arial"/>
        </w:rPr>
        <w:t xml:space="preserve"> (</w:t>
      </w:r>
      <w:r>
        <w:rPr>
          <w:rFonts w:ascii="Arial" w:cs="Arial" w:hAnsi="Arial"/>
        </w:rPr>
        <w:t>Oktuğ</w:t>
      </w:r>
      <w:r>
        <w:rPr>
          <w:rFonts w:ascii="Arial" w:cs="Arial" w:hAnsi="Arial"/>
        </w:rPr>
        <w:t>, 2023)</w:t>
      </w:r>
      <w:r>
        <w:rPr>
          <w:rFonts w:ascii="Arial" w:cs="Arial" w:hAnsi="Arial"/>
        </w:rPr>
        <w:t xml:space="preserve">. The time of the managers involved in such activities should be secured by the top management as strategic. Teamwork will enable Cadbury to make sure that the transformation initiatives are implemented in a cohesive and realistic way in a bid to enhance uptake and reduce resistance across the </w:t>
      </w:r>
      <w:r>
        <w:rPr>
          <w:rFonts w:ascii="Arial" w:cs="Arial" w:hAnsi="Arial"/>
        </w:rPr>
        <w:t>organization</w:t>
      </w:r>
      <w:r>
        <w:rPr>
          <w:rFonts w:ascii="Arial" w:cs="Arial" w:hAnsi="Arial"/>
        </w:rPr>
        <w:t>.</w:t>
      </w: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p>
      <w:pPr>
        <w:pStyle w:val="style0"/>
        <w:spacing w:lineRule="auto" w:line="360"/>
        <w:jc w:val="both"/>
        <w:rPr>
          <w:rFonts w:ascii="Arial" w:cs="Arial" w:hAnsi="Arial"/>
        </w:rPr>
      </w:pPr>
    </w:p>
    <w:bookmarkStart w:id="5" w:name="_Toc216175588"/>
    <w:p>
      <w:pPr>
        <w:pStyle w:val="style1"/>
        <w:rPr>
          <w:rFonts w:ascii="Arial" w:cs="Arial" w:hAnsi="Arial"/>
          <w:color w:val="auto"/>
          <w:sz w:val="24"/>
          <w:szCs w:val="24"/>
        </w:rPr>
      </w:pPr>
      <w:r>
        <w:rPr>
          <w:rFonts w:ascii="Arial" w:cs="Arial" w:hAnsi="Arial"/>
          <w:color w:val="auto"/>
          <w:sz w:val="24"/>
          <w:szCs w:val="24"/>
        </w:rPr>
        <w:t xml:space="preserve">05. </w:t>
      </w:r>
      <w:r>
        <w:rPr>
          <w:rFonts w:ascii="Arial" w:cs="Arial" w:hAnsi="Arial"/>
          <w:color w:val="auto"/>
          <w:sz w:val="24"/>
          <w:szCs w:val="24"/>
        </w:rPr>
        <w:t>Conclusion</w:t>
      </w:r>
      <w:r>
        <w:rPr>
          <w:rFonts w:ascii="Arial" w:cs="Arial" w:hAnsi="Arial"/>
          <w:color w:val="auto"/>
          <w:sz w:val="24"/>
          <w:szCs w:val="24"/>
        </w:rPr>
        <w:t xml:space="preserve"> &amp; Recommendations</w:t>
      </w:r>
      <w:bookmarkEnd w:id="5"/>
      <w:r>
        <w:rPr>
          <w:rFonts w:ascii="Arial" w:cs="Arial" w:hAnsi="Arial"/>
          <w:color w:val="auto"/>
          <w:sz w:val="24"/>
          <w:szCs w:val="24"/>
        </w:rPr>
        <w:t xml:space="preserve"> </w:t>
      </w:r>
    </w:p>
    <w:p>
      <w:pPr>
        <w:pStyle w:val="style0"/>
        <w:spacing w:lineRule="auto" w:line="360"/>
        <w:jc w:val="both"/>
        <w:rPr>
          <w:rFonts w:ascii="Arial" w:cs="Arial" w:hAnsi="Arial"/>
        </w:rPr>
      </w:pPr>
    </w:p>
    <w:bookmarkStart w:id="6" w:name="_Toc216175589"/>
    <w:p>
      <w:pPr>
        <w:pStyle w:val="style2"/>
        <w:rPr>
          <w:rFonts w:ascii="Arial" w:cs="Arial" w:hAnsi="Arial"/>
          <w:color w:val="auto"/>
          <w:sz w:val="22"/>
          <w:szCs w:val="22"/>
        </w:rPr>
      </w:pPr>
      <w:r>
        <w:rPr>
          <w:rFonts w:ascii="Arial" w:cs="Arial" w:hAnsi="Arial"/>
          <w:color w:val="auto"/>
          <w:sz w:val="22"/>
          <w:szCs w:val="22"/>
        </w:rPr>
        <w:t xml:space="preserve">5.1. </w:t>
      </w:r>
      <w:r>
        <w:rPr>
          <w:rFonts w:ascii="Arial" w:cs="Arial" w:hAnsi="Arial"/>
          <w:color w:val="auto"/>
          <w:sz w:val="22"/>
          <w:szCs w:val="22"/>
        </w:rPr>
        <w:t>Conclusion</w:t>
      </w:r>
      <w:bookmarkEnd w:id="6"/>
    </w:p>
    <w:p>
      <w:pPr>
        <w:pStyle w:val="style0"/>
        <w:spacing w:lineRule="auto" w:line="360"/>
        <w:jc w:val="both"/>
        <w:rPr>
          <w:rFonts w:ascii="Arial" w:cs="Arial" w:hAnsi="Arial"/>
          <w:sz w:val="2"/>
          <w:szCs w:val="2"/>
        </w:rPr>
      </w:pPr>
    </w:p>
    <w:p>
      <w:pPr>
        <w:pStyle w:val="style0"/>
        <w:spacing w:lineRule="auto" w:line="360"/>
        <w:jc w:val="both"/>
        <w:rPr>
          <w:rFonts w:ascii="Arial" w:cs="Arial" w:hAnsi="Arial"/>
        </w:rPr>
      </w:pPr>
      <w:r>
        <w:rPr>
          <w:rFonts w:ascii="Arial" w:cs="Arial" w:hAnsi="Arial"/>
        </w:rPr>
        <w:t xml:space="preserve">Cadbury complaints have also risen due to the high pressure created by the business transformation, rapid </w:t>
      </w:r>
      <w:r>
        <w:rPr>
          <w:rFonts w:ascii="Arial" w:cs="Arial" w:hAnsi="Arial"/>
        </w:rPr>
        <w:t>digitalization</w:t>
      </w:r>
      <w:r>
        <w:rPr>
          <w:rFonts w:ascii="Arial" w:cs="Arial" w:hAnsi="Arial"/>
        </w:rPr>
        <w:t xml:space="preserve">, and new flexible working regulations. Employees are receiving inequalities, technostress, </w:t>
      </w:r>
      <w:r>
        <w:rPr>
          <w:rFonts w:ascii="Arial" w:cs="Arial" w:hAnsi="Arial"/>
        </w:rPr>
        <w:t>and communication</w:t>
      </w:r>
      <w:r>
        <w:rPr>
          <w:rFonts w:ascii="Arial" w:cs="Arial" w:hAnsi="Arial"/>
        </w:rPr>
        <w:t xml:space="preserve"> breakdown, inconsistency in leadership and uncertainty in expectations. These are not the only problems unique to Cadbury, but they should be handled with the immediate and strategic HR response to restore the trust, morale, and performance of the firm. The HR policies of the modern such as digital </w:t>
      </w:r>
      <w:r>
        <w:rPr>
          <w:rFonts w:ascii="Arial" w:cs="Arial" w:hAnsi="Arial"/>
        </w:rPr>
        <w:t>up skilling</w:t>
      </w:r>
      <w:r>
        <w:rPr>
          <w:rFonts w:ascii="Arial" w:cs="Arial" w:hAnsi="Arial"/>
        </w:rPr>
        <w:t xml:space="preserve">, change management models, ethical use of technology, and well-being programs play a crucial role in reducing conflict and enhancing a better </w:t>
      </w:r>
      <w:r>
        <w:rPr>
          <w:rFonts w:ascii="Arial" w:cs="Arial" w:hAnsi="Arial"/>
        </w:rPr>
        <w:t>organizational</w:t>
      </w:r>
      <w:r>
        <w:rPr>
          <w:rFonts w:ascii="Arial" w:cs="Arial" w:hAnsi="Arial"/>
        </w:rPr>
        <w:t xml:space="preserve"> culture. This, however, is subject to the effectiveness of departmental managers to implement them regularly and on an urgent basis</w:t>
      </w:r>
      <w:r>
        <w:rPr>
          <w:rFonts w:ascii="Arial" w:cs="Arial" w:hAnsi="Arial"/>
        </w:rPr>
        <w:t>.</w:t>
      </w:r>
    </w:p>
    <w:bookmarkStart w:id="7" w:name="_Toc216175590"/>
    <w:p>
      <w:pPr>
        <w:pStyle w:val="style2"/>
        <w:rPr>
          <w:rFonts w:ascii="Arial" w:cs="Arial" w:eastAsia="Times New Roman" w:hAnsi="Arial"/>
          <w:color w:val="auto"/>
          <w:sz w:val="22"/>
          <w:szCs w:val="22"/>
        </w:rPr>
      </w:pPr>
      <w:r>
        <w:rPr>
          <w:rFonts w:ascii="Arial" w:cs="Arial" w:hAnsi="Arial"/>
          <w:color w:val="auto"/>
          <w:sz w:val="22"/>
          <w:szCs w:val="22"/>
        </w:rPr>
        <w:t xml:space="preserve">5.2. </w:t>
      </w:r>
      <w:r>
        <w:rPr>
          <w:rFonts w:ascii="Arial" w:cs="Arial" w:eastAsia="Times New Roman" w:hAnsi="Arial"/>
          <w:color w:val="auto"/>
          <w:sz w:val="22"/>
          <w:szCs w:val="22"/>
        </w:rPr>
        <w:t>Recommendations</w:t>
      </w:r>
      <w:bookmarkEnd w:id="7"/>
    </w:p>
    <w:p>
      <w:pPr>
        <w:pStyle w:val="style0"/>
        <w:spacing w:lineRule="auto" w:line="360"/>
        <w:jc w:val="both"/>
        <w:rPr>
          <w:rFonts w:ascii="Arial" w:cs="Arial" w:hAnsi="Arial"/>
          <w:sz w:val="16"/>
          <w:szCs w:val="16"/>
        </w:rPr>
      </w:pPr>
    </w:p>
    <w:p>
      <w:pPr>
        <w:pStyle w:val="style179"/>
        <w:numPr>
          <w:ilvl w:val="0"/>
          <w:numId w:val="19"/>
        </w:numPr>
        <w:spacing w:lineRule="auto" w:line="360"/>
        <w:jc w:val="both"/>
        <w:rPr>
          <w:rFonts w:ascii="Arial" w:cs="Arial" w:hAnsi="Arial"/>
          <w:b/>
          <w:bCs/>
        </w:rPr>
      </w:pPr>
      <w:r>
        <w:rPr>
          <w:rFonts w:ascii="Arial" w:cs="Arial" w:hAnsi="Arial"/>
          <w:b/>
          <w:bCs/>
        </w:rPr>
        <w:t>Implement a Cadbury Change Management Programme</w:t>
      </w:r>
    </w:p>
    <w:p>
      <w:pPr>
        <w:pStyle w:val="style0"/>
        <w:spacing w:lineRule="auto" w:line="360"/>
        <w:jc w:val="both"/>
        <w:rPr>
          <w:rFonts w:ascii="Arial" w:cs="Arial" w:hAnsi="Arial"/>
        </w:rPr>
      </w:pPr>
      <w:r>
        <w:rPr>
          <w:rFonts w:ascii="Arial" w:cs="Arial" w:hAnsi="Arial"/>
        </w:rPr>
        <w:t>It should be guided by ADKAR or Kotter to communicate, train and engage in transformation</w:t>
      </w:r>
      <w:r>
        <w:rPr>
          <w:rFonts w:ascii="Arial" w:cs="Arial" w:hAnsi="Arial"/>
        </w:rPr>
        <w:t>.</w:t>
      </w:r>
    </w:p>
    <w:p>
      <w:pPr>
        <w:pStyle w:val="style179"/>
        <w:numPr>
          <w:ilvl w:val="0"/>
          <w:numId w:val="19"/>
        </w:numPr>
        <w:spacing w:lineRule="auto" w:line="360"/>
        <w:jc w:val="both"/>
        <w:rPr>
          <w:rFonts w:ascii="Arial" w:cs="Arial" w:hAnsi="Arial"/>
          <w:b/>
          <w:bCs/>
        </w:rPr>
      </w:pPr>
      <w:r>
        <w:rPr>
          <w:rFonts w:ascii="Arial" w:cs="Arial" w:hAnsi="Arial"/>
          <w:b/>
          <w:bCs/>
        </w:rPr>
        <w:t>Introduce a Digital Fairness and Transparency Policy</w:t>
      </w:r>
    </w:p>
    <w:p>
      <w:pPr>
        <w:pStyle w:val="style0"/>
        <w:spacing w:lineRule="auto" w:line="360"/>
        <w:jc w:val="both"/>
        <w:rPr>
          <w:rFonts w:ascii="Arial" w:cs="Arial" w:hAnsi="Arial"/>
        </w:rPr>
      </w:pPr>
      <w:r>
        <w:rPr>
          <w:rFonts w:ascii="Arial" w:cs="Arial" w:hAnsi="Arial"/>
        </w:rPr>
        <w:t>Describe clearly the implementation of digital monitoring tools, and ensure that it is GDPR compliant</w:t>
      </w:r>
      <w:r>
        <w:rPr>
          <w:rFonts w:ascii="Arial" w:cs="Arial" w:hAnsi="Arial"/>
        </w:rPr>
        <w:t xml:space="preserve"> (</w:t>
      </w:r>
      <w:r>
        <w:rPr>
          <w:rFonts w:ascii="Arial" w:cs="Arial" w:hAnsi="Arial"/>
        </w:rPr>
        <w:t>Peasgood</w:t>
      </w:r>
      <w:r>
        <w:rPr>
          <w:rFonts w:ascii="Arial" w:cs="Arial" w:hAnsi="Arial"/>
        </w:rPr>
        <w:t>,</w:t>
      </w:r>
      <w:r>
        <w:rPr>
          <w:rFonts w:ascii="Arial" w:cs="Arial" w:hAnsi="Arial"/>
        </w:rPr>
        <w:t xml:space="preserve"> 2023)</w:t>
      </w:r>
      <w:r>
        <w:rPr>
          <w:rFonts w:ascii="Arial" w:cs="Arial" w:hAnsi="Arial"/>
        </w:rPr>
        <w:t>.</w:t>
      </w:r>
    </w:p>
    <w:p>
      <w:pPr>
        <w:pStyle w:val="style179"/>
        <w:numPr>
          <w:ilvl w:val="0"/>
          <w:numId w:val="19"/>
        </w:numPr>
        <w:spacing w:lineRule="auto" w:line="360"/>
        <w:jc w:val="both"/>
        <w:rPr>
          <w:rFonts w:ascii="Arial" w:cs="Arial" w:hAnsi="Arial"/>
          <w:b/>
          <w:bCs/>
        </w:rPr>
      </w:pPr>
      <w:r>
        <w:rPr>
          <w:rFonts w:ascii="Arial" w:cs="Arial" w:hAnsi="Arial"/>
          <w:b/>
          <w:bCs/>
        </w:rPr>
        <w:t>Create a Formal Hybrid Working Framework</w:t>
      </w:r>
    </w:p>
    <w:p>
      <w:pPr>
        <w:pStyle w:val="style0"/>
        <w:spacing w:lineRule="auto" w:line="360"/>
        <w:jc w:val="both"/>
        <w:rPr>
          <w:rFonts w:ascii="Arial" w:cs="Arial" w:hAnsi="Arial"/>
        </w:rPr>
      </w:pPr>
      <w:r>
        <w:rPr>
          <w:rFonts w:ascii="Arial" w:cs="Arial" w:hAnsi="Arial"/>
        </w:rPr>
        <w:t xml:space="preserve">Keep the inconsistency to </w:t>
      </w:r>
      <w:r>
        <w:rPr>
          <w:rFonts w:ascii="Arial" w:cs="Arial" w:hAnsi="Arial"/>
        </w:rPr>
        <w:t>minimal;</w:t>
      </w:r>
      <w:r>
        <w:rPr>
          <w:rFonts w:ascii="Arial" w:cs="Arial" w:hAnsi="Arial"/>
        </w:rPr>
        <w:t xml:space="preserve"> create eligibility, expectation and principle of fairness within each department</w:t>
      </w:r>
      <w:r>
        <w:rPr>
          <w:rFonts w:ascii="Arial" w:cs="Arial" w:hAnsi="Arial"/>
        </w:rPr>
        <w:t xml:space="preserve"> (</w:t>
      </w:r>
      <w:r>
        <w:rPr>
          <w:rFonts w:ascii="Arial" w:cs="Arial" w:hAnsi="Arial"/>
        </w:rPr>
        <w:t>Wingate,</w:t>
      </w:r>
      <w:r>
        <w:rPr>
          <w:rFonts w:ascii="Arial" w:cs="Arial" w:hAnsi="Arial"/>
        </w:rPr>
        <w:t xml:space="preserve"> 2024)</w:t>
      </w:r>
      <w:r>
        <w:rPr>
          <w:rFonts w:ascii="Arial" w:cs="Arial" w:hAnsi="Arial"/>
        </w:rPr>
        <w:t>.</w:t>
      </w:r>
    </w:p>
    <w:p>
      <w:pPr>
        <w:pStyle w:val="style179"/>
        <w:numPr>
          <w:ilvl w:val="0"/>
          <w:numId w:val="19"/>
        </w:numPr>
        <w:spacing w:lineRule="auto" w:line="360"/>
        <w:jc w:val="both"/>
        <w:rPr>
          <w:rFonts w:ascii="Arial" w:cs="Arial" w:hAnsi="Arial"/>
          <w:b/>
          <w:bCs/>
        </w:rPr>
      </w:pPr>
      <w:r>
        <w:rPr>
          <w:rFonts w:ascii="Arial" w:cs="Arial" w:hAnsi="Arial"/>
          <w:b/>
          <w:bCs/>
        </w:rPr>
        <w:t>up skill</w:t>
      </w:r>
      <w:r>
        <w:rPr>
          <w:rFonts w:ascii="Arial" w:cs="Arial" w:hAnsi="Arial"/>
          <w:b/>
          <w:bCs/>
        </w:rPr>
        <w:t xml:space="preserve"> Managers in Digital Leadership and Conflict Resolution</w:t>
      </w:r>
    </w:p>
    <w:p>
      <w:pPr>
        <w:pStyle w:val="style0"/>
        <w:spacing w:lineRule="auto" w:line="360"/>
        <w:jc w:val="both"/>
        <w:rPr>
          <w:rFonts w:ascii="Arial" w:cs="Arial" w:hAnsi="Arial"/>
        </w:rPr>
      </w:pPr>
      <w:r>
        <w:rPr>
          <w:rFonts w:ascii="Arial" w:cs="Arial" w:hAnsi="Arial"/>
        </w:rPr>
        <w:t xml:space="preserve">Cases </w:t>
      </w:r>
      <w:r>
        <w:rPr>
          <w:rFonts w:ascii="Arial" w:cs="Arial" w:hAnsi="Arial"/>
        </w:rPr>
        <w:t>Mandatory</w:t>
      </w:r>
      <w:r>
        <w:rPr>
          <w:rFonts w:ascii="Arial" w:cs="Arial" w:hAnsi="Arial"/>
        </w:rPr>
        <w:t xml:space="preserve"> training programmes should be subjected to all managers.</w:t>
      </w:r>
    </w:p>
    <w:p>
      <w:pPr>
        <w:pStyle w:val="style179"/>
        <w:numPr>
          <w:ilvl w:val="0"/>
          <w:numId w:val="19"/>
        </w:numPr>
        <w:spacing w:lineRule="auto" w:line="360"/>
        <w:jc w:val="both"/>
        <w:rPr>
          <w:rFonts w:ascii="Arial" w:cs="Arial" w:hAnsi="Arial"/>
          <w:b/>
          <w:bCs/>
        </w:rPr>
      </w:pPr>
      <w:r>
        <w:rPr>
          <w:rFonts w:ascii="Arial" w:cs="Arial" w:hAnsi="Arial"/>
          <w:b/>
          <w:bCs/>
        </w:rPr>
        <w:t>Introduce Digital Well-being and Work–Life Balance Measures</w:t>
      </w:r>
    </w:p>
    <w:p>
      <w:pPr>
        <w:pStyle w:val="style0"/>
        <w:spacing w:lineRule="auto" w:line="360"/>
        <w:jc w:val="both"/>
        <w:rPr>
          <w:rFonts w:ascii="Arial" w:cs="Arial" w:hAnsi="Arial"/>
        </w:rPr>
      </w:pPr>
      <w:r>
        <w:rPr>
          <w:rFonts w:ascii="Arial" w:cs="Arial" w:hAnsi="Arial"/>
        </w:rPr>
        <w:t xml:space="preserve">Offer no-meeting hours, guarded breaks and on site </w:t>
      </w:r>
      <w:r>
        <w:rPr>
          <w:rFonts w:ascii="Arial" w:cs="Arial" w:hAnsi="Arial"/>
        </w:rPr>
        <w:t>wellbeing</w:t>
      </w:r>
      <w:r>
        <w:rPr>
          <w:rFonts w:ascii="Arial" w:cs="Arial" w:hAnsi="Arial"/>
        </w:rPr>
        <w:t xml:space="preserve"> choices to production employees</w:t>
      </w:r>
      <w:r>
        <w:rPr>
          <w:rFonts w:ascii="Arial" w:cs="Arial" w:hAnsi="Arial"/>
        </w:rPr>
        <w:t xml:space="preserve"> (</w:t>
      </w:r>
      <w:r>
        <w:rPr>
          <w:rFonts w:ascii="Arial" w:cs="Arial" w:hAnsi="Arial"/>
        </w:rPr>
        <w:t>Huffcutt</w:t>
      </w:r>
      <w:r>
        <w:rPr>
          <w:rFonts w:ascii="Arial" w:cs="Arial" w:hAnsi="Arial"/>
        </w:rPr>
        <w:t>,</w:t>
      </w:r>
      <w:r>
        <w:rPr>
          <w:rFonts w:ascii="Arial" w:cs="Arial" w:hAnsi="Arial"/>
        </w:rPr>
        <w:t xml:space="preserve"> 2023)</w:t>
      </w:r>
      <w:r>
        <w:rPr>
          <w:rFonts w:ascii="Arial" w:cs="Arial" w:hAnsi="Arial"/>
        </w:rPr>
        <w:t>.</w:t>
      </w:r>
    </w:p>
    <w:p>
      <w:pPr>
        <w:pStyle w:val="style0"/>
        <w:spacing w:lineRule="auto" w:line="360"/>
        <w:jc w:val="both"/>
        <w:rPr>
          <w:rFonts w:ascii="Arial" w:cs="Arial" w:hAnsi="Arial"/>
        </w:rPr>
      </w:pPr>
    </w:p>
    <w:p>
      <w:pPr>
        <w:pStyle w:val="style0"/>
        <w:spacing w:lineRule="auto" w:line="360"/>
        <w:jc w:val="both"/>
        <w:rPr>
          <w:rFonts w:ascii="Arial" w:cs="Arial" w:hAnsi="Arial"/>
        </w:rPr>
      </w:pPr>
    </w:p>
    <w:bookmarkStart w:id="8" w:name="_Toc216175591"/>
    <w:p>
      <w:pPr>
        <w:pStyle w:val="style1"/>
        <w:rPr>
          <w:rFonts w:ascii="Arial" w:cs="Arial" w:hAnsi="Arial"/>
          <w:color w:val="auto"/>
          <w:sz w:val="24"/>
          <w:szCs w:val="24"/>
        </w:rPr>
      </w:pPr>
      <w:r>
        <w:rPr>
          <w:rFonts w:ascii="Arial" w:cs="Arial" w:hAnsi="Arial"/>
          <w:color w:val="auto"/>
          <w:sz w:val="24"/>
          <w:szCs w:val="24"/>
        </w:rPr>
        <w:t>Reference</w:t>
      </w:r>
      <w:bookmarkEnd w:id="8"/>
      <w:r>
        <w:rPr>
          <w:rFonts w:ascii="Arial" w:cs="Arial" w:hAnsi="Arial"/>
          <w:color w:val="auto"/>
          <w:sz w:val="24"/>
          <w:szCs w:val="24"/>
        </w:rPr>
        <w:t xml:space="preserve"> </w:t>
      </w:r>
    </w:p>
    <w:p>
      <w:pPr>
        <w:pStyle w:val="style0"/>
        <w:rPr>
          <w:sz w:val="14"/>
          <w:szCs w:val="14"/>
        </w:rPr>
      </w:pP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Afandi</w:t>
      </w:r>
      <w:r>
        <w:rPr>
          <w:rStyle w:val="style87"/>
          <w:rFonts w:ascii="Arial" w:cs="Arial" w:hAnsi="Arial"/>
          <w:b w:val="false"/>
          <w:bCs w:val="false"/>
          <w:sz w:val="22"/>
          <w:szCs w:val="22"/>
        </w:rPr>
        <w:t xml:space="preserve">, A.R., </w:t>
      </w:r>
      <w:r>
        <w:rPr>
          <w:rStyle w:val="style87"/>
          <w:rFonts w:ascii="Arial" w:cs="Arial" w:hAnsi="Arial"/>
          <w:b w:val="false"/>
          <w:bCs w:val="false"/>
          <w:sz w:val="22"/>
          <w:szCs w:val="22"/>
        </w:rPr>
        <w:t>Rahmani</w:t>
      </w:r>
      <w:r>
        <w:rPr>
          <w:rStyle w:val="style87"/>
          <w:rFonts w:ascii="Arial" w:cs="Arial" w:hAnsi="Arial"/>
          <w:b w:val="false"/>
          <w:bCs w:val="false"/>
          <w:sz w:val="22"/>
          <w:szCs w:val="22"/>
        </w:rPr>
        <w:t xml:space="preserve">, N.S., </w:t>
      </w:r>
      <w:r>
        <w:rPr>
          <w:rStyle w:val="style87"/>
          <w:rFonts w:ascii="Arial" w:cs="Arial" w:hAnsi="Arial"/>
          <w:b w:val="false"/>
          <w:bCs w:val="false"/>
          <w:sz w:val="22"/>
          <w:szCs w:val="22"/>
        </w:rPr>
        <w:t>Jesika</w:t>
      </w:r>
      <w:r>
        <w:rPr>
          <w:rStyle w:val="style87"/>
          <w:rFonts w:ascii="Arial" w:cs="Arial" w:hAnsi="Arial"/>
          <w:b w:val="false"/>
          <w:bCs w:val="false"/>
          <w:sz w:val="22"/>
          <w:szCs w:val="22"/>
        </w:rPr>
        <w:t xml:space="preserve"> </w:t>
      </w:r>
      <w:r>
        <w:rPr>
          <w:rStyle w:val="style87"/>
          <w:rFonts w:ascii="Arial" w:cs="Arial" w:hAnsi="Arial"/>
          <w:b w:val="false"/>
          <w:bCs w:val="false"/>
          <w:sz w:val="22"/>
          <w:szCs w:val="22"/>
        </w:rPr>
        <w:t>Pontoh</w:t>
      </w:r>
      <w:r>
        <w:rPr>
          <w:rStyle w:val="style87"/>
          <w:rFonts w:ascii="Arial" w:cs="Arial" w:hAnsi="Arial"/>
          <w:b w:val="false"/>
          <w:bCs w:val="false"/>
          <w:sz w:val="22"/>
          <w:szCs w:val="22"/>
        </w:rPr>
        <w:t xml:space="preserve">, D., (2024) ‘Competency trend in human resource (HR) development: a scoping review’, </w:t>
      </w:r>
      <w:r>
        <w:rPr>
          <w:rStyle w:val="style87"/>
          <w:rFonts w:ascii="Arial" w:cs="Arial" w:hAnsi="Arial"/>
          <w:b w:val="false"/>
          <w:bCs w:val="false"/>
          <w:sz w:val="22"/>
          <w:szCs w:val="22"/>
        </w:rPr>
        <w:t>Psychological</w:t>
      </w:r>
      <w:r>
        <w:rPr>
          <w:rStyle w:val="style87"/>
          <w:rFonts w:ascii="Arial" w:cs="Arial" w:hAnsi="Arial"/>
          <w:b w:val="false"/>
          <w:bCs w:val="false"/>
          <w:sz w:val="22"/>
          <w:szCs w:val="22"/>
        </w:rPr>
        <w:t xml:space="preserve">: </w:t>
      </w:r>
      <w:r>
        <w:rPr>
          <w:rStyle w:val="style87"/>
          <w:rFonts w:ascii="Arial" w:cs="Arial" w:hAnsi="Arial"/>
          <w:b w:val="false"/>
          <w:bCs w:val="false"/>
          <w:i/>
          <w:iCs/>
          <w:sz w:val="22"/>
          <w:szCs w:val="22"/>
        </w:rPr>
        <w:t>Journal</w:t>
      </w:r>
      <w:r>
        <w:rPr>
          <w:rStyle w:val="style87"/>
          <w:rFonts w:ascii="Arial" w:cs="Arial" w:hAnsi="Arial"/>
          <w:b w:val="false"/>
          <w:bCs w:val="false"/>
          <w:i/>
          <w:iCs/>
          <w:sz w:val="22"/>
          <w:szCs w:val="22"/>
        </w:rPr>
        <w:t xml:space="preserve"> Pemikiran dan Penelitian </w:t>
      </w:r>
      <w:r>
        <w:rPr>
          <w:rStyle w:val="style87"/>
          <w:rFonts w:ascii="Arial" w:cs="Arial" w:hAnsi="Arial"/>
          <w:b w:val="false"/>
          <w:bCs w:val="false"/>
          <w:i/>
          <w:iCs/>
          <w:sz w:val="22"/>
          <w:szCs w:val="22"/>
        </w:rPr>
        <w:t>Psychology</w:t>
      </w:r>
      <w:r>
        <w:rPr>
          <w:rStyle w:val="style87"/>
          <w:rFonts w:ascii="Arial" w:cs="Arial" w:hAnsi="Arial"/>
          <w:b w:val="false"/>
          <w:bCs w:val="false"/>
          <w:i/>
          <w:iCs/>
          <w:sz w:val="22"/>
          <w:szCs w:val="22"/>
        </w:rPr>
        <w:t>,</w:t>
      </w:r>
      <w:r>
        <w:rPr>
          <w:rStyle w:val="style87"/>
          <w:rFonts w:ascii="Arial" w:cs="Arial" w:hAnsi="Arial"/>
          <w:b w:val="false"/>
          <w:bCs w:val="false"/>
          <w:sz w:val="22"/>
          <w:szCs w:val="22"/>
        </w:rPr>
        <w:t xml:space="preserve"> 29(1). Available at: </w:t>
      </w:r>
      <w:r>
        <w:rPr/>
        <w:fldChar w:fldCharType="begin"/>
      </w:r>
      <w:r>
        <w:instrText xml:space="preserve"> HYPERLINK "https://journal.uii.ac.id/Psikologika/article/view/28981" \t "_new" </w:instrText>
      </w:r>
      <w:r>
        <w:rPr/>
        <w:fldChar w:fldCharType="separate"/>
      </w:r>
      <w:r>
        <w:rPr>
          <w:rStyle w:val="style85"/>
          <w:rFonts w:ascii="Arial" w:cs="Arial" w:hAnsi="Arial"/>
          <w:sz w:val="22"/>
          <w:szCs w:val="22"/>
        </w:rPr>
        <w:t>https://journal.uii.ac.id/Psikologika/article/view/28981</w:t>
      </w:r>
      <w:r>
        <w:rPr/>
        <w:fldChar w:fldCharType="end"/>
      </w:r>
    </w:p>
    <w:p>
      <w:pPr>
        <w:pStyle w:val="style94"/>
        <w:spacing w:lineRule="auto" w:line="360"/>
        <w:jc w:val="both"/>
        <w:rPr>
          <w:rFonts w:ascii="Arial" w:cs="Arial" w:hAnsi="Arial"/>
          <w:b/>
          <w:bCs/>
          <w:sz w:val="22"/>
          <w:szCs w:val="22"/>
        </w:rPr>
      </w:pPr>
      <w:r>
        <w:rPr>
          <w:rStyle w:val="style87"/>
          <w:rFonts w:ascii="Arial" w:cs="Arial" w:hAnsi="Arial"/>
          <w:b w:val="false"/>
          <w:bCs w:val="false"/>
          <w:sz w:val="22"/>
          <w:szCs w:val="22"/>
        </w:rPr>
        <w:t>Ahl</w:t>
      </w:r>
      <w:r>
        <w:rPr>
          <w:rStyle w:val="style87"/>
          <w:rFonts w:ascii="Arial" w:cs="Arial" w:hAnsi="Arial"/>
          <w:b w:val="false"/>
          <w:bCs w:val="false"/>
          <w:sz w:val="22"/>
          <w:szCs w:val="22"/>
        </w:rPr>
        <w:t xml:space="preserve">, P. (2023) ‘How structured interviews are linked to job performance’, Alva Help. Available at: </w:t>
      </w:r>
      <w:r>
        <w:rPr/>
        <w:fldChar w:fldCharType="begin"/>
      </w:r>
      <w:r>
        <w:instrText xml:space="preserve"> HYPERLINK "https://help.alvalabs.io/en/articles/10541075-how-structured-interviews-are-linked-to-job-performance" \t "_new" </w:instrText>
      </w:r>
      <w:r>
        <w:rPr/>
        <w:fldChar w:fldCharType="separate"/>
      </w:r>
      <w:r>
        <w:rPr>
          <w:rStyle w:val="style85"/>
          <w:rFonts w:ascii="Arial" w:cs="Arial" w:hAnsi="Arial"/>
          <w:sz w:val="22"/>
          <w:szCs w:val="22"/>
        </w:rPr>
        <w:t>https://help.alvalabs.io/en/articles/10541075-how-structured-interviews-are-linked-to-job-performance</w:t>
      </w:r>
      <w:r>
        <w:rPr/>
        <w:fldChar w:fldCharType="end"/>
      </w:r>
    </w:p>
    <w:p>
      <w:pPr>
        <w:pStyle w:val="style94"/>
        <w:spacing w:lineRule="auto" w:line="360"/>
        <w:jc w:val="both"/>
        <w:rPr>
          <w:rFonts w:ascii="Arial" w:cs="Arial" w:hAnsi="Arial"/>
          <w:b/>
          <w:bCs/>
          <w:sz w:val="22"/>
          <w:szCs w:val="22"/>
        </w:rPr>
      </w:pPr>
      <w:r>
        <w:rPr>
          <w:rStyle w:val="style87"/>
          <w:rFonts w:ascii="Arial" w:cs="Arial" w:hAnsi="Arial"/>
          <w:b w:val="false"/>
          <w:bCs w:val="false"/>
          <w:sz w:val="22"/>
          <w:szCs w:val="22"/>
        </w:rPr>
        <w:t>Bahri</w:t>
      </w:r>
      <w:r>
        <w:rPr>
          <w:rStyle w:val="style87"/>
          <w:rFonts w:ascii="Arial" w:cs="Arial" w:hAnsi="Arial"/>
          <w:b w:val="false"/>
          <w:bCs w:val="false"/>
          <w:sz w:val="22"/>
          <w:szCs w:val="22"/>
        </w:rPr>
        <w:t xml:space="preserve">, E.S. &amp; </w:t>
      </w:r>
      <w:r>
        <w:rPr>
          <w:rStyle w:val="style87"/>
          <w:rFonts w:ascii="Arial" w:cs="Arial" w:hAnsi="Arial"/>
          <w:b w:val="false"/>
          <w:bCs w:val="false"/>
          <w:sz w:val="22"/>
          <w:szCs w:val="22"/>
        </w:rPr>
        <w:t>Salsiati</w:t>
      </w:r>
      <w:r>
        <w:rPr>
          <w:rStyle w:val="style87"/>
          <w:rFonts w:ascii="Arial" w:cs="Arial" w:hAnsi="Arial"/>
          <w:b w:val="false"/>
          <w:bCs w:val="false"/>
          <w:sz w:val="22"/>
          <w:szCs w:val="22"/>
        </w:rPr>
        <w:t>.</w:t>
      </w:r>
      <w:r>
        <w:rPr>
          <w:rStyle w:val="style87"/>
          <w:rFonts w:ascii="Arial" w:cs="Arial" w:hAnsi="Arial"/>
          <w:b w:val="false"/>
          <w:bCs w:val="false"/>
          <w:sz w:val="22"/>
          <w:szCs w:val="22"/>
        </w:rPr>
        <w:t xml:space="preserve"> </w:t>
      </w:r>
      <w:r>
        <w:rPr>
          <w:rStyle w:val="style87"/>
          <w:rFonts w:ascii="Arial" w:cs="Arial" w:hAnsi="Arial"/>
          <w:b w:val="false"/>
          <w:bCs w:val="false"/>
          <w:sz w:val="22"/>
          <w:szCs w:val="22"/>
        </w:rPr>
        <w:t xml:space="preserve">(2025) ‘The identification of competency-based human resource development strategy’, </w:t>
      </w:r>
      <w:r>
        <w:rPr>
          <w:rStyle w:val="style87"/>
          <w:rFonts w:ascii="Arial" w:cs="Arial" w:hAnsi="Arial"/>
          <w:b w:val="false"/>
          <w:bCs w:val="false"/>
          <w:i/>
          <w:iCs/>
          <w:sz w:val="22"/>
          <w:szCs w:val="22"/>
        </w:rPr>
        <w:t>International Journal of Strategic Studies</w:t>
      </w:r>
      <w:r>
        <w:rPr>
          <w:rStyle w:val="style87"/>
          <w:rFonts w:ascii="Arial" w:cs="Arial" w:hAnsi="Arial"/>
          <w:b w:val="false"/>
          <w:bCs w:val="false"/>
          <w:sz w:val="22"/>
          <w:szCs w:val="22"/>
        </w:rPr>
        <w:t>, 2(1), pp. 1–7.</w:t>
      </w:r>
      <w:r>
        <w:rPr>
          <w:rStyle w:val="style87"/>
          <w:rFonts w:ascii="Arial" w:cs="Arial" w:hAnsi="Arial"/>
          <w:b w:val="false"/>
          <w:bCs w:val="false"/>
          <w:sz w:val="22"/>
          <w:szCs w:val="22"/>
        </w:rPr>
        <w:t xml:space="preserve"> </w:t>
      </w:r>
      <w:r>
        <w:rPr/>
        <w:fldChar w:fldCharType="begin"/>
      </w:r>
      <w:r>
        <w:instrText xml:space="preserve"> HYPERLINK "thurtin%20chek%202025-12-9.docx" </w:instrText>
      </w:r>
      <w:r>
        <w:rPr/>
        <w:fldChar w:fldCharType="separate"/>
      </w:r>
      <w:r>
        <w:rPr>
          <w:rStyle w:val="style85"/>
          <w:rFonts w:ascii="Arial" w:cs="Arial" w:hAnsi="Arial"/>
          <w:sz w:val="22"/>
          <w:szCs w:val="22"/>
        </w:rPr>
        <w:t>DOI: 10.59921/icestra.v2i1.50</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 xml:space="preserve">Ball, K. (2021) ‘Workplace Surveillance and Employee Stress’, TUC. Available at: </w:t>
      </w:r>
      <w:r>
        <w:rPr/>
        <w:fldChar w:fldCharType="begin"/>
      </w:r>
      <w:r>
        <w:instrText xml:space="preserve"> HYPERLINK "https://www.tuc.org.uk" \t "_new" </w:instrText>
      </w:r>
      <w:r>
        <w:rPr/>
        <w:fldChar w:fldCharType="separate"/>
      </w:r>
      <w:r>
        <w:rPr>
          <w:rStyle w:val="style85"/>
          <w:rFonts w:ascii="Arial" w:cs="Arial" w:hAnsi="Arial"/>
          <w:sz w:val="22"/>
          <w:szCs w:val="22"/>
        </w:rPr>
        <w:t>https://www.tuc.org.uk</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 xml:space="preserve">Berry, C.M., </w:t>
      </w:r>
      <w:r>
        <w:rPr>
          <w:rStyle w:val="style87"/>
          <w:rFonts w:ascii="Arial" w:cs="Arial" w:hAnsi="Arial"/>
          <w:b w:val="false"/>
          <w:bCs w:val="false"/>
          <w:sz w:val="22"/>
          <w:szCs w:val="22"/>
        </w:rPr>
        <w:t>Lievens</w:t>
      </w:r>
      <w:r>
        <w:rPr>
          <w:rStyle w:val="style87"/>
          <w:rFonts w:ascii="Arial" w:cs="Arial" w:hAnsi="Arial"/>
          <w:b w:val="false"/>
          <w:bCs w:val="false"/>
          <w:sz w:val="22"/>
          <w:szCs w:val="22"/>
        </w:rPr>
        <w:t xml:space="preserve">, F., Zhang, C. &amp; </w:t>
      </w:r>
      <w:r>
        <w:rPr>
          <w:rStyle w:val="style87"/>
          <w:rFonts w:ascii="Arial" w:cs="Arial" w:hAnsi="Arial"/>
          <w:b w:val="false"/>
          <w:bCs w:val="false"/>
          <w:sz w:val="22"/>
          <w:szCs w:val="22"/>
        </w:rPr>
        <w:t>Sackett</w:t>
      </w:r>
      <w:r>
        <w:rPr>
          <w:rStyle w:val="style87"/>
          <w:rFonts w:ascii="Arial" w:cs="Arial" w:hAnsi="Arial"/>
          <w:b w:val="false"/>
          <w:bCs w:val="false"/>
          <w:sz w:val="22"/>
          <w:szCs w:val="22"/>
        </w:rPr>
        <w:t xml:space="preserve">, P.R. (2024) ‘Insights from an updated personnel-selection meta-analytic matrix’, </w:t>
      </w:r>
      <w:r>
        <w:rPr>
          <w:rStyle w:val="style87"/>
          <w:rFonts w:ascii="Arial" w:cs="Arial" w:hAnsi="Arial"/>
          <w:b w:val="false"/>
          <w:bCs w:val="false"/>
          <w:i/>
          <w:iCs/>
          <w:sz w:val="22"/>
          <w:szCs w:val="22"/>
        </w:rPr>
        <w:t>Journal of Applied Psychology</w:t>
      </w:r>
      <w:r>
        <w:rPr>
          <w:rStyle w:val="style87"/>
          <w:rFonts w:ascii="Arial" w:cs="Arial" w:hAnsi="Arial"/>
          <w:b w:val="false"/>
          <w:bCs w:val="false"/>
          <w:sz w:val="22"/>
          <w:szCs w:val="22"/>
        </w:rPr>
        <w:t>.</w:t>
      </w:r>
      <w:r>
        <w:rPr>
          <w:rStyle w:val="style87"/>
          <w:rFonts w:ascii="Arial" w:cs="Arial" w:hAnsi="Arial"/>
          <w:b w:val="false"/>
          <w:bCs w:val="false"/>
          <w:sz w:val="22"/>
          <w:szCs w:val="22"/>
        </w:rPr>
        <w:t xml:space="preserve"> Available at: </w:t>
      </w:r>
      <w:r>
        <w:rPr/>
        <w:fldChar w:fldCharType="begin"/>
      </w:r>
      <w:r>
        <w:instrText xml:space="preserve"> HYPERLINK "https://www.ovid.com/journals/japsy/pdf/10.1037/apl0001203~insights-from-an-updated-personnel-selection-meta-analytic?utm_source=chatgpt.com" \t "_new" </w:instrText>
      </w:r>
      <w:r>
        <w:rPr/>
        <w:fldChar w:fldCharType="separate"/>
      </w:r>
      <w:r>
        <w:rPr>
          <w:rStyle w:val="style85"/>
          <w:rFonts w:ascii="Arial" w:cs="Arial" w:hAnsi="Arial"/>
          <w:sz w:val="22"/>
          <w:szCs w:val="22"/>
        </w:rPr>
        <w:t>https://www.ovid.com/journals/japsy/pdf/10.1037/apl0001203~insights-from-an-updated-personnel-selection-meta-analytic?utm_source=chatgpt.com</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ACAS (2022) Managing Conflict at Work.</w:t>
      </w:r>
      <w:r>
        <w:rPr>
          <w:rStyle w:val="style87"/>
          <w:rFonts w:ascii="Arial" w:cs="Arial" w:hAnsi="Arial"/>
          <w:b w:val="false"/>
          <w:bCs w:val="false"/>
          <w:sz w:val="22"/>
          <w:szCs w:val="22"/>
        </w:rPr>
        <w:t xml:space="preserve"> Available at: </w:t>
      </w:r>
      <w:r>
        <w:rPr/>
        <w:fldChar w:fldCharType="begin"/>
      </w:r>
      <w:r>
        <w:instrText xml:space="preserve"> HYPERLINK "https://www.acas.org.uk" \t "_new" </w:instrText>
      </w:r>
      <w:r>
        <w:rPr/>
        <w:fldChar w:fldCharType="separate"/>
      </w:r>
      <w:r>
        <w:rPr>
          <w:rStyle w:val="style85"/>
          <w:rFonts w:ascii="Arial" w:cs="Arial" w:hAnsi="Arial"/>
          <w:sz w:val="22"/>
          <w:szCs w:val="22"/>
        </w:rPr>
        <w:t>https://www.acas.org.uk</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Huffcutt</w:t>
      </w:r>
      <w:r>
        <w:rPr>
          <w:rStyle w:val="style87"/>
          <w:rFonts w:ascii="Arial" w:cs="Arial" w:hAnsi="Arial"/>
          <w:b w:val="false"/>
          <w:bCs w:val="false"/>
          <w:sz w:val="22"/>
          <w:szCs w:val="22"/>
        </w:rPr>
        <w:t xml:space="preserve">, A.I. &amp; Murphy, S. (2023) ‘Structured interviews: moving beyond mean validity’, </w:t>
      </w:r>
      <w:r>
        <w:rPr>
          <w:rStyle w:val="style87"/>
          <w:rFonts w:ascii="Arial" w:cs="Arial" w:hAnsi="Arial"/>
          <w:b w:val="false"/>
          <w:bCs w:val="false"/>
          <w:i/>
          <w:iCs/>
          <w:sz w:val="22"/>
          <w:szCs w:val="22"/>
        </w:rPr>
        <w:t>Industrial and Organizational Psychology</w:t>
      </w:r>
      <w:r>
        <w:rPr>
          <w:rStyle w:val="style87"/>
          <w:rFonts w:ascii="Arial" w:cs="Arial" w:hAnsi="Arial"/>
          <w:b w:val="false"/>
          <w:bCs w:val="false"/>
          <w:sz w:val="22"/>
          <w:szCs w:val="22"/>
        </w:rPr>
        <w:t xml:space="preserve">, 16(3), pp. 344–348. Available at: </w:t>
      </w:r>
      <w:r>
        <w:rPr/>
        <w:fldChar w:fldCharType="begin"/>
      </w:r>
      <w:r>
        <w:instrText xml:space="preserve"> HYPERLINK "https://www.cambridge.org/core/services/aop-mean-validity-div.pdf" \t "_new" </w:instrText>
      </w:r>
      <w:r>
        <w:rPr/>
        <w:fldChar w:fldCharType="separate"/>
      </w:r>
      <w:r>
        <w:rPr>
          <w:rStyle w:val="style85"/>
          <w:rFonts w:ascii="Arial" w:cs="Arial" w:hAnsi="Arial"/>
          <w:sz w:val="22"/>
          <w:szCs w:val="22"/>
        </w:rPr>
        <w:t>https://www.cambridge.org/core/services/aop-mean-validity-div.pdf</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 xml:space="preserve">McKinsey (2021) Future of Work in Manufacturing. Available at: </w:t>
      </w:r>
      <w:r>
        <w:rPr/>
        <w:fldChar w:fldCharType="begin"/>
      </w:r>
      <w:r>
        <w:instrText xml:space="preserve"> HYPERLINK "https://www.mckinsey.com" \t "_new" </w:instrText>
      </w:r>
      <w:r>
        <w:rPr/>
        <w:fldChar w:fldCharType="separate"/>
      </w:r>
      <w:r>
        <w:rPr>
          <w:rStyle w:val="style85"/>
          <w:rFonts w:ascii="Arial" w:cs="Arial" w:hAnsi="Arial"/>
          <w:sz w:val="22"/>
          <w:szCs w:val="22"/>
        </w:rPr>
        <w:t>https://www.mckinsey.com</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 xml:space="preserve">Microsoft Work Trend Index (2023) Digital Burnout Report. Available at: </w:t>
      </w:r>
      <w:r>
        <w:rPr/>
        <w:fldChar w:fldCharType="begin"/>
      </w:r>
      <w:r>
        <w:instrText xml:space="preserve"> HYPERLINK "https://www.microsoft.com" \t "_new" </w:instrText>
      </w:r>
      <w:r>
        <w:rPr/>
        <w:fldChar w:fldCharType="separate"/>
      </w:r>
      <w:r>
        <w:rPr>
          <w:rStyle w:val="style85"/>
          <w:rFonts w:ascii="Arial" w:cs="Arial" w:hAnsi="Arial"/>
          <w:sz w:val="22"/>
          <w:szCs w:val="22"/>
        </w:rPr>
        <w:t>https://www.microsoft.com</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 xml:space="preserve">Nestlé (2022) Hybrid Working and Manufacturing Employee Report. Available at: </w:t>
      </w:r>
      <w:r>
        <w:rPr/>
        <w:fldChar w:fldCharType="begin"/>
      </w:r>
      <w:r>
        <w:instrText xml:space="preserve"> HYPERLINK "https://www.nestle.com" \t "_new" </w:instrText>
      </w:r>
      <w:r>
        <w:rPr/>
        <w:fldChar w:fldCharType="separate"/>
      </w:r>
      <w:r>
        <w:rPr>
          <w:rStyle w:val="style85"/>
          <w:rFonts w:ascii="Arial" w:cs="Arial" w:hAnsi="Arial"/>
          <w:sz w:val="22"/>
          <w:szCs w:val="22"/>
        </w:rPr>
        <w:t>https://www.nestle.com</w:t>
      </w:r>
      <w:r>
        <w:rPr/>
        <w:fldChar w:fldCharType="end"/>
      </w:r>
    </w:p>
    <w:p>
      <w:pPr>
        <w:pStyle w:val="style94"/>
        <w:spacing w:lineRule="auto" w:line="360"/>
        <w:jc w:val="both"/>
        <w:rPr>
          <w:rFonts w:ascii="Arial" w:cs="Arial" w:hAnsi="Arial"/>
          <w:b/>
          <w:bCs/>
          <w:sz w:val="22"/>
          <w:szCs w:val="22"/>
        </w:rPr>
      </w:pPr>
      <w:r>
        <w:rPr>
          <w:rStyle w:val="style87"/>
          <w:rFonts w:ascii="Arial" w:cs="Arial" w:hAnsi="Arial"/>
          <w:b w:val="false"/>
          <w:bCs w:val="false"/>
          <w:sz w:val="22"/>
          <w:szCs w:val="22"/>
        </w:rPr>
        <w:t>Oktuğ</w:t>
      </w:r>
      <w:r>
        <w:rPr>
          <w:rStyle w:val="style87"/>
          <w:rFonts w:ascii="Arial" w:cs="Arial" w:hAnsi="Arial"/>
          <w:b w:val="false"/>
          <w:bCs w:val="false"/>
          <w:sz w:val="22"/>
          <w:szCs w:val="22"/>
        </w:rPr>
        <w:t>, Z. (2023) ‘Examination of the differences between online and face-to-face interviews during a recruitment process in terms of candidates’ self-efficacy levels’</w:t>
      </w:r>
      <w:r>
        <w:rPr>
          <w:rStyle w:val="style87"/>
          <w:rFonts w:ascii="Arial" w:cs="Arial" w:hAnsi="Arial"/>
          <w:b w:val="false"/>
          <w:bCs w:val="false"/>
          <w:i/>
          <w:iCs/>
          <w:sz w:val="22"/>
          <w:szCs w:val="22"/>
        </w:rPr>
        <w:t>, Journal of Economics and Administrative Sciences,</w:t>
      </w:r>
      <w:r>
        <w:rPr>
          <w:rStyle w:val="style87"/>
          <w:rFonts w:ascii="Arial" w:cs="Arial" w:hAnsi="Arial"/>
          <w:b w:val="false"/>
          <w:bCs w:val="false"/>
          <w:sz w:val="22"/>
          <w:szCs w:val="22"/>
        </w:rPr>
        <w:t xml:space="preserve"> 19(2), pp. 57–66</w:t>
      </w:r>
    </w:p>
    <w:p>
      <w:pPr>
        <w:pStyle w:val="style94"/>
        <w:spacing w:lineRule="auto" w:line="360"/>
        <w:jc w:val="both"/>
        <w:rPr>
          <w:rFonts w:ascii="Arial" w:cs="Arial" w:hAnsi="Arial"/>
          <w:b/>
          <w:bCs/>
          <w:sz w:val="22"/>
          <w:szCs w:val="22"/>
        </w:rPr>
      </w:pPr>
      <w:r>
        <w:rPr>
          <w:rStyle w:val="style87"/>
          <w:rFonts w:ascii="Arial" w:cs="Arial" w:hAnsi="Arial"/>
          <w:b w:val="false"/>
          <w:bCs w:val="false"/>
          <w:sz w:val="22"/>
          <w:szCs w:val="22"/>
        </w:rPr>
        <w:t>Peasgood</w:t>
      </w:r>
      <w:r>
        <w:rPr>
          <w:rStyle w:val="style87"/>
          <w:rFonts w:ascii="Arial" w:cs="Arial" w:hAnsi="Arial"/>
          <w:b w:val="false"/>
          <w:bCs w:val="false"/>
          <w:sz w:val="22"/>
          <w:szCs w:val="22"/>
        </w:rPr>
        <w:t xml:space="preserve">, T., Bourke, M., Devlin, N., </w:t>
      </w:r>
      <w:r>
        <w:rPr>
          <w:rStyle w:val="style87"/>
          <w:rFonts w:ascii="Arial" w:cs="Arial" w:hAnsi="Arial"/>
          <w:b w:val="false"/>
          <w:bCs w:val="false"/>
          <w:sz w:val="22"/>
          <w:szCs w:val="22"/>
        </w:rPr>
        <w:t>Rowen</w:t>
      </w:r>
      <w:r>
        <w:rPr>
          <w:rStyle w:val="style87"/>
          <w:rFonts w:ascii="Arial" w:cs="Arial" w:hAnsi="Arial"/>
          <w:b w:val="false"/>
          <w:bCs w:val="false"/>
          <w:sz w:val="22"/>
          <w:szCs w:val="22"/>
        </w:rPr>
        <w:t xml:space="preserve">, D., Yang, Y. &amp; </w:t>
      </w:r>
      <w:r>
        <w:rPr>
          <w:rStyle w:val="style87"/>
          <w:rFonts w:ascii="Arial" w:cs="Arial" w:hAnsi="Arial"/>
          <w:b w:val="false"/>
          <w:bCs w:val="false"/>
          <w:sz w:val="22"/>
          <w:szCs w:val="22"/>
        </w:rPr>
        <w:t>Dalziel</w:t>
      </w:r>
      <w:r>
        <w:rPr>
          <w:rStyle w:val="style87"/>
          <w:rFonts w:ascii="Arial" w:cs="Arial" w:hAnsi="Arial"/>
          <w:b w:val="false"/>
          <w:bCs w:val="false"/>
          <w:sz w:val="22"/>
          <w:szCs w:val="22"/>
        </w:rPr>
        <w:t>, K. (2023) ‘</w:t>
      </w:r>
      <w:r>
        <w:rPr>
          <w:rStyle w:val="style87"/>
          <w:rFonts w:ascii="Arial" w:cs="Arial" w:hAnsi="Arial"/>
          <w:b w:val="false"/>
          <w:bCs w:val="false"/>
          <w:sz w:val="22"/>
          <w:szCs w:val="22"/>
        </w:rPr>
        <w:t>Randomised</w:t>
      </w:r>
      <w:r>
        <w:rPr>
          <w:rStyle w:val="style87"/>
          <w:rFonts w:ascii="Arial" w:cs="Arial" w:hAnsi="Arial"/>
          <w:b w:val="false"/>
          <w:bCs w:val="false"/>
          <w:sz w:val="22"/>
          <w:szCs w:val="22"/>
        </w:rPr>
        <w:t xml:space="preserve"> comparison of online interviews versus face-to-face interviews to value health states’, Social Science &amp; Medicine, 323, p. 115818. </w:t>
      </w:r>
      <w:r>
        <w:rPr/>
        <w:fldChar w:fldCharType="begin"/>
      </w:r>
      <w:r>
        <w:instrText xml:space="preserve"> HYPERLINK "thurtin%20chek%202025-12-9.docx" </w:instrText>
      </w:r>
      <w:r>
        <w:rPr/>
        <w:fldChar w:fldCharType="separate"/>
      </w:r>
      <w:r>
        <w:rPr>
          <w:rStyle w:val="style85"/>
          <w:rFonts w:ascii="Arial" w:cs="Arial" w:hAnsi="Arial"/>
          <w:sz w:val="22"/>
          <w:szCs w:val="22"/>
        </w:rPr>
        <w:t>DOI: 10.1016/j.socscimed.2023.115818</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 xml:space="preserve">Rolls-Royce (2021) Digital Transformation Strategy. Available at: </w:t>
      </w:r>
      <w:r>
        <w:rPr/>
        <w:fldChar w:fldCharType="begin"/>
      </w:r>
      <w:r>
        <w:instrText xml:space="preserve"> HYPERLINK "https://www.rolls-royce.com" \t "_new" </w:instrText>
      </w:r>
      <w:r>
        <w:rPr/>
        <w:fldChar w:fldCharType="separate"/>
      </w:r>
      <w:r>
        <w:rPr>
          <w:rStyle w:val="style85"/>
          <w:rFonts w:ascii="Arial" w:cs="Arial" w:hAnsi="Arial"/>
          <w:sz w:val="22"/>
          <w:szCs w:val="22"/>
        </w:rPr>
        <w:t>https://www.rolls-royce.com</w:t>
      </w:r>
      <w:r>
        <w:rPr/>
        <w:fldChar w:fldCharType="end"/>
      </w:r>
    </w:p>
    <w:p>
      <w:pPr>
        <w:pStyle w:val="style94"/>
        <w:spacing w:lineRule="auto" w:line="360"/>
        <w:jc w:val="both"/>
        <w:rPr>
          <w:rFonts w:ascii="Arial" w:cs="Arial" w:hAnsi="Arial"/>
          <w:b/>
          <w:bCs/>
          <w:sz w:val="22"/>
          <w:szCs w:val="22"/>
        </w:rPr>
      </w:pPr>
      <w:r>
        <w:rPr>
          <w:rStyle w:val="style87"/>
          <w:rFonts w:ascii="Arial" w:cs="Arial" w:hAnsi="Arial"/>
          <w:b w:val="false"/>
          <w:bCs w:val="false"/>
          <w:sz w:val="22"/>
          <w:szCs w:val="22"/>
        </w:rPr>
        <w:t>Sarangi</w:t>
      </w:r>
      <w:r>
        <w:rPr>
          <w:rStyle w:val="style87"/>
          <w:rFonts w:ascii="Arial" w:cs="Arial" w:hAnsi="Arial"/>
          <w:b w:val="false"/>
          <w:bCs w:val="false"/>
          <w:sz w:val="22"/>
          <w:szCs w:val="22"/>
        </w:rPr>
        <w:t xml:space="preserve">, P., Mishra, R. &amp; </w:t>
      </w:r>
      <w:r>
        <w:rPr>
          <w:rStyle w:val="style87"/>
          <w:rFonts w:ascii="Arial" w:cs="Arial" w:hAnsi="Arial"/>
          <w:b w:val="false"/>
          <w:bCs w:val="false"/>
          <w:sz w:val="22"/>
          <w:szCs w:val="22"/>
        </w:rPr>
        <w:t>Padhi</w:t>
      </w:r>
      <w:r>
        <w:rPr>
          <w:rStyle w:val="style87"/>
          <w:rFonts w:ascii="Arial" w:cs="Arial" w:hAnsi="Arial"/>
          <w:b w:val="false"/>
          <w:bCs w:val="false"/>
          <w:sz w:val="22"/>
          <w:szCs w:val="22"/>
        </w:rPr>
        <w:t xml:space="preserve">, A. (2025) ‘Balancing skills and expectations: AHP analysis of competency-based recruitment in the </w:t>
      </w:r>
      <w:r>
        <w:rPr>
          <w:rStyle w:val="style87"/>
          <w:rFonts w:ascii="Arial" w:cs="Arial" w:hAnsi="Arial"/>
          <w:b w:val="false"/>
          <w:bCs w:val="false"/>
          <w:sz w:val="22"/>
          <w:szCs w:val="22"/>
        </w:rPr>
        <w:t>EdTech</w:t>
      </w:r>
      <w:r>
        <w:rPr>
          <w:rStyle w:val="style87"/>
          <w:rFonts w:ascii="Arial" w:cs="Arial" w:hAnsi="Arial"/>
          <w:b w:val="false"/>
          <w:bCs w:val="false"/>
          <w:sz w:val="22"/>
          <w:szCs w:val="22"/>
        </w:rPr>
        <w:t xml:space="preserve"> sector’, </w:t>
      </w:r>
      <w:r>
        <w:rPr>
          <w:rStyle w:val="style87"/>
          <w:rFonts w:ascii="Arial" w:cs="Arial" w:hAnsi="Arial"/>
          <w:b w:val="false"/>
          <w:bCs w:val="false"/>
          <w:i/>
          <w:iCs/>
          <w:sz w:val="22"/>
          <w:szCs w:val="22"/>
        </w:rPr>
        <w:t>Future Business Journal</w:t>
      </w:r>
      <w:r>
        <w:rPr>
          <w:rStyle w:val="style87"/>
          <w:rFonts w:ascii="Arial" w:cs="Arial" w:hAnsi="Arial"/>
          <w:b w:val="false"/>
          <w:bCs w:val="false"/>
          <w:sz w:val="22"/>
          <w:szCs w:val="22"/>
        </w:rPr>
        <w:t xml:space="preserve">, 11, Article 57. </w:t>
      </w:r>
      <w:r>
        <w:rPr/>
        <w:fldChar w:fldCharType="begin"/>
      </w:r>
      <w:r>
        <w:instrText xml:space="preserve"> HYPERLINK "LCLM5002.docx" </w:instrText>
      </w:r>
      <w:r>
        <w:rPr/>
        <w:fldChar w:fldCharType="separate"/>
      </w:r>
      <w:r>
        <w:rPr>
          <w:rStyle w:val="style85"/>
          <w:rFonts w:ascii="Arial" w:cs="Arial" w:hAnsi="Arial"/>
          <w:sz w:val="22"/>
          <w:szCs w:val="22"/>
        </w:rPr>
        <w:t>DOI: 10.1186/s43093-025-00483-0</w:t>
      </w:r>
      <w:r>
        <w:rPr/>
        <w:fldChar w:fldCharType="end"/>
      </w:r>
    </w:p>
    <w:p>
      <w:pPr>
        <w:pStyle w:val="style94"/>
        <w:spacing w:lineRule="auto" w:line="360"/>
        <w:jc w:val="both"/>
        <w:rPr>
          <w:rFonts w:ascii="Arial" w:cs="Arial" w:hAnsi="Arial"/>
          <w:sz w:val="22"/>
          <w:szCs w:val="22"/>
        </w:rPr>
      </w:pPr>
      <w:r>
        <w:rPr>
          <w:rStyle w:val="style87"/>
          <w:rFonts w:ascii="Arial" w:cs="Arial" w:hAnsi="Arial"/>
          <w:b w:val="false"/>
          <w:bCs w:val="false"/>
          <w:sz w:val="22"/>
          <w:szCs w:val="22"/>
        </w:rPr>
        <w:t xml:space="preserve">SIS International (2025) ‘F2F interviews and online: The pros and the cons’. Available at: </w:t>
      </w:r>
      <w:r>
        <w:rPr/>
        <w:fldChar w:fldCharType="begin"/>
      </w:r>
      <w:r>
        <w:instrText xml:space="preserve"> HYPERLINK "https://www.sisinternational.com/f2f-interviews-and-online-the-pros-and-the-cons/" \t "_new" </w:instrText>
      </w:r>
      <w:r>
        <w:rPr/>
        <w:fldChar w:fldCharType="separate"/>
      </w:r>
      <w:r>
        <w:rPr>
          <w:rStyle w:val="style85"/>
          <w:rFonts w:ascii="Arial" w:cs="Arial" w:hAnsi="Arial"/>
          <w:sz w:val="22"/>
          <w:szCs w:val="22"/>
          <w:u w:val="none"/>
        </w:rPr>
        <w:t>https://www.sisinternational.com/f2f-interviews-and-online-the-pros-and-the-cons/</w:t>
      </w:r>
      <w:r>
        <w:rPr/>
        <w:fldChar w:fldCharType="end"/>
      </w:r>
    </w:p>
    <w:p>
      <w:pPr>
        <w:pStyle w:val="style94"/>
        <w:spacing w:lineRule="auto" w:line="360"/>
        <w:jc w:val="both"/>
        <w:rPr>
          <w:rFonts w:ascii="Arial" w:cs="Arial" w:hAnsi="Arial"/>
          <w:b/>
          <w:bCs/>
          <w:sz w:val="22"/>
          <w:szCs w:val="22"/>
        </w:rPr>
      </w:pPr>
      <w:r>
        <w:rPr>
          <w:rStyle w:val="style87"/>
          <w:rFonts w:ascii="Arial" w:cs="Arial" w:hAnsi="Arial"/>
          <w:b w:val="false"/>
          <w:bCs w:val="false"/>
          <w:sz w:val="22"/>
          <w:szCs w:val="22"/>
        </w:rPr>
        <w:t xml:space="preserve">Wingate, T.G., </w:t>
      </w:r>
      <w:r>
        <w:rPr>
          <w:rStyle w:val="style87"/>
          <w:rFonts w:ascii="Arial" w:cs="Arial" w:hAnsi="Arial"/>
          <w:b w:val="false"/>
          <w:bCs w:val="false"/>
          <w:sz w:val="22"/>
          <w:szCs w:val="22"/>
        </w:rPr>
        <w:t>Bourdage</w:t>
      </w:r>
      <w:r>
        <w:rPr>
          <w:rStyle w:val="style87"/>
          <w:rFonts w:ascii="Arial" w:cs="Arial" w:hAnsi="Arial"/>
          <w:b w:val="false"/>
          <w:bCs w:val="false"/>
          <w:sz w:val="22"/>
          <w:szCs w:val="22"/>
        </w:rPr>
        <w:t xml:space="preserve">, J.S. &amp; Steel, P. (2024) ‘Evaluating interview criterion-related validity for distinct constructs: a meta-analysis’, </w:t>
      </w:r>
      <w:r>
        <w:rPr>
          <w:rStyle w:val="style87"/>
          <w:rFonts w:ascii="Arial" w:cs="Arial" w:hAnsi="Arial"/>
          <w:b w:val="false"/>
          <w:bCs w:val="false"/>
          <w:i/>
          <w:iCs/>
          <w:sz w:val="22"/>
          <w:szCs w:val="22"/>
        </w:rPr>
        <w:t>International Journal of Selection and Assessment.</w:t>
      </w:r>
      <w:r>
        <w:rPr>
          <w:rStyle w:val="style87"/>
          <w:rFonts w:ascii="Arial" w:cs="Arial" w:hAnsi="Arial"/>
          <w:b w:val="false"/>
          <w:bCs w:val="false"/>
          <w:sz w:val="22"/>
          <w:szCs w:val="22"/>
        </w:rPr>
        <w:t xml:space="preserve"> </w:t>
      </w:r>
      <w:r>
        <w:rPr/>
        <w:fldChar w:fldCharType="begin"/>
      </w:r>
      <w:r>
        <w:instrText xml:space="preserve"> HYPERLINK "thurtin%20chek%202025-12-9.docx" </w:instrText>
      </w:r>
      <w:r>
        <w:rPr/>
        <w:fldChar w:fldCharType="separate"/>
      </w:r>
      <w:r>
        <w:rPr>
          <w:rStyle w:val="style85"/>
          <w:rFonts w:ascii="Arial" w:cs="Arial" w:hAnsi="Arial"/>
          <w:sz w:val="22"/>
          <w:szCs w:val="22"/>
        </w:rPr>
        <w:t>DOI: 10.1111/ijsa.12494</w:t>
      </w:r>
      <w:r>
        <w:rPr/>
        <w:fldChar w:fldCharType="end"/>
      </w:r>
    </w:p>
    <w:p>
      <w:pPr>
        <w:pStyle w:val="style0"/>
        <w:rPr/>
      </w:pPr>
    </w:p>
    <w:sectPr>
      <w:footerReference w:type="default" r:id="rId2"/>
      <w:pgSz w:w="11907" w:h="16839" w:orient="portrait" w:code="9"/>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Latha">
    <w:altName w:val="Leelawadee UI Semilight"/>
    <w:panose1 w:val="02000400000000000000"/>
    <w:charset w:val="01"/>
    <w:family w:val="roman"/>
    <w:pitch w:val="variable"/>
    <w:sig w:usb0="00040000" w:usb1="00000000" w:usb2="00000000" w:usb3="00000000" w:csb0="00000000"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pBdr>
        <w:top w:val="single" w:sz="4" w:space="1" w:color="d9d9d9"/>
      </w:pBdr>
      <w:jc w:val="right"/>
      <w:rPr/>
    </w:pPr>
    <w:r>
      <w:rPr/>
      <w:fldChar w:fldCharType="begin"/>
    </w:r>
    <w:r>
      <w:instrText xml:space="preserve"> PAGE   \* MERGEFORMAT </w:instrText>
    </w:r>
    <w:r>
      <w:rPr/>
      <w:fldChar w:fldCharType="separate"/>
    </w:r>
    <w:r>
      <w:rPr>
        <w:noProof/>
      </w:rPr>
      <w:t>13</w:t>
    </w:r>
    <w:r>
      <w:rPr>
        <w:noProof/>
      </w:rPr>
      <w:fldChar w:fldCharType="end"/>
    </w:r>
    <w:r>
      <w:t xml:space="preserve"> | </w:t>
    </w:r>
    <w:r>
      <w:rPr>
        <w:color w:val="808080"/>
        <w:spacing w:val="60"/>
      </w:rPr>
      <w:t>Page</w:t>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6AD01C0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E626BCD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hybridMultilevel"/>
    <w:tmpl w:val="A4BEA85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0000003"/>
    <w:multiLevelType w:val="multilevel"/>
    <w:tmpl w:val="4CD4D18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56DA6A0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F92A5FA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0C5095F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64C4103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multilevel"/>
    <w:tmpl w:val="76865A3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hybridMultilevel"/>
    <w:tmpl w:val="B178D8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652832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0000000B"/>
    <w:multiLevelType w:val="hybridMultilevel"/>
    <w:tmpl w:val="43768A5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0000000C"/>
    <w:multiLevelType w:val="multilevel"/>
    <w:tmpl w:val="536E11A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hybridMultilevel"/>
    <w:tmpl w:val="D416FF50"/>
    <w:lvl w:ilvl="0" w:tplc="04090007">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DB62CBF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0000000F"/>
    <w:multiLevelType w:val="multilevel"/>
    <w:tmpl w:val="4D64664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6">
    <w:nsid w:val="00000010"/>
    <w:multiLevelType w:val="multilevel"/>
    <w:tmpl w:val="67A47D9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7">
    <w:nsid w:val="00000011"/>
    <w:multiLevelType w:val="hybridMultilevel"/>
    <w:tmpl w:val="377E3D4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00000012"/>
    <w:multiLevelType w:val="hybridMultilevel"/>
    <w:tmpl w:val="E02C7CB8"/>
    <w:lvl w:ilvl="0" w:tplc="04090003">
      <w:start w:val="1"/>
      <w:numFmt w:val="bullet"/>
      <w:lvlText w:val="o"/>
      <w:lvlJc w:val="left"/>
      <w:pPr>
        <w:ind w:left="720" w:hanging="360"/>
      </w:pPr>
      <w:rPr>
        <w:rFonts w:ascii="Courier New" w:cs="Courier New" w:hAnsi="Courier New"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15"/>
  </w:num>
  <w:num w:numId="3">
    <w:abstractNumId w:val="1"/>
  </w:num>
  <w:num w:numId="4">
    <w:abstractNumId w:val="8"/>
  </w:num>
  <w:num w:numId="5">
    <w:abstractNumId w:val="5"/>
  </w:num>
  <w:num w:numId="6">
    <w:abstractNumId w:val="7"/>
  </w:num>
  <w:num w:numId="7">
    <w:abstractNumId w:val="6"/>
  </w:num>
  <w:num w:numId="8">
    <w:abstractNumId w:val="12"/>
  </w:num>
  <w:num w:numId="9">
    <w:abstractNumId w:val="3"/>
  </w:num>
  <w:num w:numId="10">
    <w:abstractNumId w:val="4"/>
  </w:num>
  <w:num w:numId="11">
    <w:abstractNumId w:val="16"/>
  </w:num>
  <w:num w:numId="12">
    <w:abstractNumId w:val="0"/>
  </w:num>
  <w:num w:numId="13">
    <w:abstractNumId w:val="10"/>
  </w:num>
  <w:num w:numId="14">
    <w:abstractNumId w:val="17"/>
  </w:num>
  <w:num w:numId="15">
    <w:abstractNumId w:val="2"/>
  </w:num>
  <w:num w:numId="16">
    <w:abstractNumId w:val="14"/>
  </w:num>
  <w:num w:numId="17">
    <w:abstractNumId w:val="18"/>
  </w:num>
  <w:num w:numId="18">
    <w:abstractNumId w:val="13"/>
  </w:num>
  <w:num w:numId="19">
    <w:abstractNumId w:val="9"/>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2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Latha" w:eastAsia="Calibri" w:hAnsi="Calibri"/>
        <w:sz w:val="22"/>
        <w:szCs w:val="22"/>
        <w:lang w:val="en-US" w:bidi="ta-IN" w:eastAsia="en-US"/>
      </w:rPr>
    </w:rPrDefault>
    <w:pPrDefault>
      <w:pPr>
        <w:spacing w:after="200" w:lineRule="auto" w:line="276"/>
      </w:pPr>
    </w:pPrDefault>
  </w:docDefaults>
  <w:style w:type="paragraph" w:default="1" w:styleId="style0">
    <w:name w:val="Normal"/>
    <w:next w:val="style0"/>
    <w:qFormat/>
    <w:pPr/>
    <w:rPr>
      <w:rFonts w:cs="Latha"/>
    </w:rPr>
  </w:style>
  <w:style w:type="paragraph" w:styleId="style1">
    <w:name w:val="heading 1"/>
    <w:basedOn w:val="style0"/>
    <w:next w:val="style0"/>
    <w:link w:val="style4099"/>
    <w:qFormat/>
    <w:uiPriority w:val="9"/>
    <w:pPr>
      <w:keepNext/>
      <w:keepLines/>
      <w:spacing w:before="480" w:after="0"/>
      <w:outlineLvl w:val="0"/>
    </w:pPr>
    <w:rPr>
      <w:rFonts w:ascii="Cambria" w:cs="Latha" w:eastAsia="宋体" w:hAnsi="Cambria"/>
      <w:b/>
      <w:bCs/>
      <w:color w:val="365f91"/>
      <w:sz w:val="28"/>
      <w:szCs w:val="28"/>
    </w:rPr>
  </w:style>
  <w:style w:type="paragraph" w:styleId="style2">
    <w:name w:val="heading 2"/>
    <w:basedOn w:val="style0"/>
    <w:next w:val="style0"/>
    <w:link w:val="style4100"/>
    <w:qFormat/>
    <w:uiPriority w:val="9"/>
    <w:pPr>
      <w:keepNext/>
      <w:keepLines/>
      <w:spacing w:before="200" w:after="0"/>
      <w:outlineLvl w:val="1"/>
    </w:pPr>
    <w:rPr>
      <w:rFonts w:ascii="Cambria" w:cs="Latha" w:eastAsia="宋体" w:hAnsi="Cambria"/>
      <w:b/>
      <w:bCs/>
      <w:color w:val="4f81bd"/>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680"/>
        <w:tab w:val="right" w:leader="none" w:pos="9360"/>
      </w:tabs>
      <w:spacing w:after="0" w:lineRule="auto" w:line="240"/>
    </w:pPr>
    <w:rPr/>
  </w:style>
  <w:style w:type="character" w:customStyle="1" w:styleId="style4097">
    <w:name w:val="Header Char_6b640309-0214-4055-8737-273adeca79f5"/>
    <w:basedOn w:val="style65"/>
    <w:next w:val="style4097"/>
    <w:link w:val="style31"/>
    <w:uiPriority w:val="99"/>
    <w:rPr>
      <w:rFonts w:cs="Latha"/>
    </w:rPr>
  </w:style>
  <w:style w:type="paragraph" w:styleId="style32">
    <w:name w:val="footer"/>
    <w:basedOn w:val="style0"/>
    <w:next w:val="style32"/>
    <w:link w:val="style4098"/>
    <w:uiPriority w:val="99"/>
    <w:pPr>
      <w:tabs>
        <w:tab w:val="center" w:leader="none" w:pos="4680"/>
        <w:tab w:val="right" w:leader="none" w:pos="9360"/>
      </w:tabs>
      <w:spacing w:after="0" w:lineRule="auto" w:line="240"/>
    </w:pPr>
    <w:rPr/>
  </w:style>
  <w:style w:type="character" w:customStyle="1" w:styleId="style4098">
    <w:name w:val="Footer Char_a69e5745-9fe5-406c-990a-fe5bc9d9d1d2"/>
    <w:basedOn w:val="style65"/>
    <w:next w:val="style4098"/>
    <w:link w:val="style32"/>
    <w:uiPriority w:val="99"/>
    <w:rPr>
      <w:rFonts w:cs="Latha"/>
    </w:rPr>
  </w:style>
  <w:style w:type="character" w:customStyle="1" w:styleId="style4099">
    <w:name w:val="Heading 1 Char_549d1e46-6f83-4d92-af64-a9776dbe569b"/>
    <w:basedOn w:val="style65"/>
    <w:next w:val="style4099"/>
    <w:link w:val="style1"/>
    <w:uiPriority w:val="9"/>
    <w:rPr>
      <w:rFonts w:ascii="Cambria" w:cs="Latha" w:eastAsia="宋体" w:hAnsi="Cambria"/>
      <w:b/>
      <w:bCs/>
      <w:color w:val="365f91"/>
      <w:sz w:val="28"/>
      <w:szCs w:val="28"/>
    </w:rPr>
  </w:style>
  <w:style w:type="paragraph" w:styleId="style179">
    <w:name w:val="List Paragraph"/>
    <w:basedOn w:val="style0"/>
    <w:next w:val="style179"/>
    <w:qFormat/>
    <w:uiPriority w:val="34"/>
    <w:pPr>
      <w:ind w:left="720"/>
      <w:contextualSpacing/>
    </w:pPr>
    <w:rPr/>
  </w:style>
  <w:style w:type="character" w:customStyle="1" w:styleId="style4100">
    <w:name w:val="Heading 2 Char_9af60757-d56e-4287-8e28-168b630a91ec"/>
    <w:basedOn w:val="style65"/>
    <w:next w:val="style4100"/>
    <w:link w:val="style2"/>
    <w:uiPriority w:val="9"/>
    <w:rPr>
      <w:rFonts w:ascii="Cambria" w:cs="Latha" w:eastAsia="宋体" w:hAnsi="Cambria"/>
      <w:b/>
      <w:bCs/>
      <w:color w:val="4f81bd"/>
      <w:sz w:val="26"/>
      <w:szCs w:val="26"/>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7">
    <w:name w:val="Strong"/>
    <w:basedOn w:val="style65"/>
    <w:next w:val="style87"/>
    <w:qFormat/>
    <w:uiPriority w:val="22"/>
    <w:rPr>
      <w:b/>
      <w:bCs/>
    </w:rPr>
  </w:style>
  <w:style w:type="character" w:styleId="style85">
    <w:name w:val="Hyperlink"/>
    <w:basedOn w:val="style65"/>
    <w:next w:val="style85"/>
    <w:uiPriority w:val="99"/>
    <w:rPr>
      <w:color w:val="0000ff"/>
      <w:u w:val="single"/>
    </w:rPr>
  </w:style>
  <w:style w:type="paragraph" w:styleId="style266">
    <w:name w:val="TOC Heading"/>
    <w:basedOn w:val="style1"/>
    <w:next w:val="style0"/>
    <w:qFormat/>
    <w:uiPriority w:val="39"/>
    <w:pPr>
      <w:outlineLvl w:val="9"/>
    </w:pPr>
    <w:rPr>
      <w:lang w:bidi="ar-SA" w:eastAsia="ja-JP"/>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153">
    <w:name w:val="Balloon Text"/>
    <w:basedOn w:val="style0"/>
    <w:next w:val="style153"/>
    <w:link w:val="style4101"/>
    <w:uiPriority w:val="99"/>
    <w:pPr>
      <w:spacing w:after="0" w:lineRule="auto" w:line="240"/>
    </w:pPr>
    <w:rPr>
      <w:rFonts w:ascii="Tahoma" w:cs="Tahoma" w:hAnsi="Tahoma"/>
      <w:sz w:val="16"/>
      <w:szCs w:val="16"/>
    </w:rPr>
  </w:style>
  <w:style w:type="character" w:customStyle="1" w:styleId="style4101">
    <w:name w:val="Balloon Text Char"/>
    <w:basedOn w:val="style65"/>
    <w:next w:val="style4101"/>
    <w:link w:val="style153"/>
    <w:uiPriority w:val="99"/>
    <w:rPr>
      <w:rFonts w:ascii="Tahoma" w:cs="Tahoma" w:hAnsi="Tahoma"/>
      <w:sz w:val="16"/>
      <w:szCs w:val="16"/>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ED3ABA-9729-4E95-A225-49F9416F6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Words>2996</Words>
  <Pages>13</Pages>
  <Characters>18145</Characters>
  <Application>WPS Office</Application>
  <DocSecurity>0</DocSecurity>
  <Paragraphs>187</Paragraphs>
  <ScaleCrop>false</ScaleCrop>
  <LinksUpToDate>false</LinksUpToDate>
  <CharactersWithSpaces>21315</CharactersWithSpaces>
  <SharedDoc>false</SharedDoc>
  <HyperlinksChanged>false</HyperlinksChanged>
  <AppVersion>14.000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2025-12-09T06:00:00Z</dcterms:created>
  <dc:creator>WWW</dc:creator>
  <lastModifiedBy>WDY-LX1</lastModifiedBy>
  <dcterms:modified xsi:type="dcterms:W3CDTF">2025-12-09T15:38:21Z</dcterms:modified>
  <revision>11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cdf6b1f85c634be595684a44888c8d44</vt:lpwstr>
  </property>
</Properties>
</file>