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8"/>
          <w:szCs w:val="28"/>
        </w:rPr>
      </w:pPr>
      <w:r w:rsidDel="00000000" w:rsidR="00000000" w:rsidRPr="00000000">
        <w:rPr>
          <w:b w:val="1"/>
          <w:sz w:val="28"/>
          <w:szCs w:val="28"/>
          <w:rtl w:val="0"/>
        </w:rPr>
        <w:t xml:space="preserve">Assignment </w:t>
      </w:r>
      <w:r w:rsidDel="00000000" w:rsidR="00000000" w:rsidRPr="00000000">
        <w:rPr>
          <w:b w:val="1"/>
          <w:sz w:val="28"/>
          <w:szCs w:val="28"/>
          <w:rtl w:val="0"/>
        </w:rPr>
        <w:t xml:space="preserve">coversheet</w:t>
      </w:r>
      <w:r w:rsidDel="00000000" w:rsidR="00000000" w:rsidRPr="00000000">
        <w:rPr>
          <w:b w:val="1"/>
          <w:sz w:val="28"/>
          <w:szCs w:val="28"/>
          <w:rtl w:val="0"/>
        </w:rPr>
        <w:t xml:space="preserve"> &amp; feedback form</w:t>
      </w:r>
      <w:r w:rsidDel="00000000" w:rsidR="00000000" w:rsidRPr="00000000">
        <w:rPr>
          <w:rtl w:val="0"/>
        </w:rPr>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pPr>
            <w:r w:rsidDel="00000000" w:rsidR="00000000" w:rsidRPr="00000000">
              <w:rPr>
                <w:rtl w:val="0"/>
              </w:rPr>
              <w:t xml:space="preserve">Student Name:</w:t>
            </w:r>
          </w:p>
          <w:p w:rsidR="00000000" w:rsidDel="00000000" w:rsidP="00000000" w:rsidRDefault="00000000" w:rsidRPr="00000000" w14:paraId="0000000F">
            <w:pPr>
              <w:spacing w:line="240" w:lineRule="auto"/>
              <w:ind w:right="34"/>
              <w:rPr>
                <w:b w:val="1"/>
              </w:rPr>
            </w:pPr>
            <w:r w:rsidDel="00000000" w:rsidR="00000000" w:rsidRPr="00000000">
              <w:rPr>
                <w:b w:val="1"/>
                <w:rtl w:val="0"/>
              </w:rPr>
              <w:t xml:space="preserve">Farnaz Katherine Azima</w:t>
            </w:r>
          </w:p>
        </w:tc>
      </w:tr>
      <w:tr>
        <w:trPr>
          <w:cantSplit w:val="0"/>
          <w:trHeight w:val="849" w:hRule="atLeast"/>
          <w:tblHeader w:val="0"/>
        </w:trPr>
        <w:tc>
          <w:tcPr>
            <w:vAlign w:val="top"/>
          </w:tcPr>
          <w:p w:rsidR="00000000" w:rsidDel="00000000" w:rsidP="00000000" w:rsidRDefault="00000000" w:rsidRPr="00000000" w14:paraId="00000014">
            <w:pPr>
              <w:spacing w:line="240" w:lineRule="auto"/>
              <w:ind w:right="34"/>
              <w:rPr/>
            </w:pPr>
            <w:r w:rsidDel="00000000" w:rsidR="00000000" w:rsidRPr="00000000">
              <w:rPr>
                <w:rtl w:val="0"/>
              </w:rPr>
              <w:t xml:space="preserve">Module code: </w:t>
            </w:r>
            <w:r w:rsidDel="00000000" w:rsidR="00000000" w:rsidRPr="00000000">
              <w:rPr>
                <w:rFonts w:ascii="Calibri" w:cs="Calibri" w:eastAsia="Calibri" w:hAnsi="Calibri"/>
                <w:b w:val="1"/>
                <w:rtl w:val="0"/>
              </w:rPr>
              <w:t xml:space="preserve">HPCA7016</w:t>
            </w:r>
            <w:r w:rsidDel="00000000" w:rsidR="00000000" w:rsidRPr="00000000">
              <w:rPr>
                <w:rtl w:val="0"/>
              </w:rPr>
            </w:r>
          </w:p>
          <w:p w:rsidR="00000000" w:rsidDel="00000000" w:rsidP="00000000" w:rsidRDefault="00000000" w:rsidRPr="00000000" w14:paraId="00000015">
            <w:pPr>
              <w:spacing w:line="240" w:lineRule="auto"/>
              <w:ind w:right="34"/>
              <w:rPr/>
            </w:pPr>
            <w:r w:rsidDel="00000000" w:rsidR="00000000" w:rsidRPr="00000000">
              <w:rPr>
                <w:rtl w:val="0"/>
              </w:rPr>
            </w:r>
          </w:p>
          <w:p w:rsidR="00000000" w:rsidDel="00000000" w:rsidP="00000000" w:rsidRDefault="00000000" w:rsidRPr="00000000" w14:paraId="00000016">
            <w:pPr>
              <w:spacing w:line="240" w:lineRule="auto"/>
              <w:ind w:right="34"/>
              <w:rPr>
                <w:b w:val="1"/>
              </w:rPr>
            </w:pPr>
            <w:r w:rsidDel="00000000" w:rsidR="00000000" w:rsidRPr="00000000">
              <w:rPr>
                <w:rtl w:val="0"/>
              </w:rPr>
              <w:t xml:space="preserve">Module title: </w:t>
            </w:r>
            <w:r w:rsidDel="00000000" w:rsidR="00000000" w:rsidRPr="00000000">
              <w:rPr>
                <w:b w:val="1"/>
                <w:rtl w:val="0"/>
              </w:rPr>
              <w:t xml:space="preserve">Researching Contemporary Cosmologies</w:t>
            </w:r>
          </w:p>
          <w:p w:rsidR="00000000" w:rsidDel="00000000" w:rsidP="00000000" w:rsidRDefault="00000000" w:rsidRPr="00000000" w14:paraId="00000017">
            <w:pPr>
              <w:spacing w:line="240" w:lineRule="auto"/>
              <w:ind w:right="34"/>
              <w:rPr/>
            </w:pPr>
            <w:r w:rsidDel="00000000" w:rsidR="00000000" w:rsidRPr="00000000">
              <w:rPr>
                <w:rtl w:val="0"/>
              </w:rPr>
            </w:r>
          </w:p>
          <w:p w:rsidR="00000000" w:rsidDel="00000000" w:rsidP="00000000" w:rsidRDefault="00000000" w:rsidRPr="00000000" w14:paraId="00000018">
            <w:pPr>
              <w:spacing w:line="240" w:lineRule="auto"/>
              <w:ind w:right="34"/>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A">
            <w:pPr>
              <w:spacing w:line="240" w:lineRule="auto"/>
              <w:ind w:right="34"/>
              <w:rPr>
                <w:b w:val="1"/>
              </w:rPr>
            </w:pPr>
            <w:r w:rsidDel="00000000" w:rsidR="00000000" w:rsidRPr="00000000">
              <w:rPr>
                <w:b w:val="1"/>
                <w:rtl w:val="0"/>
              </w:rPr>
              <w:t xml:space="preserve">2219013</w:t>
            </w:r>
          </w:p>
        </w:tc>
        <w:tc>
          <w:tcPr>
            <w:vAlign w:val="top"/>
          </w:tcPr>
          <w:p w:rsidR="00000000" w:rsidDel="00000000" w:rsidP="00000000" w:rsidRDefault="00000000" w:rsidRPr="00000000" w14:paraId="0000001D">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E">
            <w:pPr>
              <w:spacing w:line="240" w:lineRule="auto"/>
              <w:ind w:right="34"/>
              <w:rPr>
                <w:b w:val="1"/>
              </w:rPr>
            </w:pPr>
            <w:r w:rsidDel="00000000" w:rsidR="00000000" w:rsidRPr="00000000">
              <w:rPr>
                <w:rtl w:val="0"/>
              </w:rPr>
              <w:t xml:space="preserve">Yes/</w:t>
            </w:r>
            <w:r w:rsidDel="00000000" w:rsidR="00000000" w:rsidRPr="00000000">
              <w:rPr>
                <w:b w:val="1"/>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F">
            <w:pPr>
              <w:spacing w:line="240" w:lineRule="auto"/>
              <w:ind w:right="34"/>
              <w:rPr/>
            </w:pPr>
            <w:r w:rsidDel="00000000" w:rsidR="00000000" w:rsidRPr="00000000">
              <w:rPr>
                <w:rtl w:val="0"/>
              </w:rPr>
              <w:t xml:space="preserve">Module tutor:</w:t>
            </w:r>
          </w:p>
          <w:p w:rsidR="00000000" w:rsidDel="00000000" w:rsidP="00000000" w:rsidRDefault="00000000" w:rsidRPr="00000000" w14:paraId="00000020">
            <w:pPr>
              <w:spacing w:line="240" w:lineRule="auto"/>
              <w:ind w:right="34"/>
              <w:rPr>
                <w:b w:val="1"/>
              </w:rPr>
            </w:pPr>
            <w:r w:rsidDel="00000000" w:rsidR="00000000" w:rsidRPr="00000000">
              <w:rPr>
                <w:b w:val="1"/>
                <w:rtl w:val="0"/>
              </w:rPr>
              <w:t xml:space="preserve">Dr. Jack Hunter and Dr. Dawn Collins</w:t>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b w:val="1"/>
              </w:rPr>
            </w:pPr>
            <w:r w:rsidDel="00000000" w:rsidR="00000000" w:rsidRPr="00000000">
              <w:rPr>
                <w:rtl w:val="0"/>
              </w:rPr>
              <w:t xml:space="preserve">Assignment due date: </w:t>
            </w:r>
            <w:r w:rsidDel="00000000" w:rsidR="00000000" w:rsidRPr="00000000">
              <w:rPr>
                <w:b w:val="1"/>
                <w:rtl w:val="0"/>
              </w:rPr>
              <w:t xml:space="preserve">March 16, 2023</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7">
            <w:pPr>
              <w:spacing w:line="240" w:lineRule="auto"/>
              <w:rPr/>
            </w:pPr>
            <w:r w:rsidDel="00000000" w:rsidR="00000000" w:rsidRPr="00000000">
              <w:rPr>
                <w:rtl w:val="0"/>
              </w:rPr>
              <w:t xml:space="preserve">If your module has multiple submissions please indicate which piece of work this is.</w:t>
            </w:r>
          </w:p>
          <w:p w:rsidR="00000000" w:rsidDel="00000000" w:rsidP="00000000" w:rsidRDefault="00000000" w:rsidRPr="00000000" w14:paraId="00000028">
            <w:pPr>
              <w:spacing w:line="240" w:lineRule="auto"/>
              <w:rPr/>
            </w:pPr>
            <w:r w:rsidDel="00000000" w:rsidR="00000000" w:rsidRPr="00000000">
              <w:rPr>
                <w:rtl w:val="0"/>
              </w:rPr>
            </w:r>
          </w:p>
          <w:p w:rsidR="00000000" w:rsidDel="00000000" w:rsidP="00000000" w:rsidRDefault="00000000" w:rsidRPr="00000000" w14:paraId="00000029">
            <w:pPr>
              <w:spacing w:line="240" w:lineRule="auto"/>
              <w:rPr/>
            </w:pPr>
            <w:r w:rsidDel="00000000" w:rsidR="00000000" w:rsidRPr="00000000">
              <w:rPr>
                <w:rtl w:val="0"/>
              </w:rPr>
              <w:t xml:space="preserve">1</w:t>
            </w:r>
            <w:r w:rsidDel="00000000" w:rsidR="00000000" w:rsidRPr="00000000">
              <w:rPr>
                <w:vertAlign w:val="superscript"/>
                <w:rtl w:val="0"/>
              </w:rPr>
              <w:t xml:space="preserve">st </w:t>
            </w:r>
            <w:bookmarkStart w:colFirst="0" w:colLast="0" w:name="kix.p9hs8i4bs5jw" w:id="0"/>
            <w:bookmarkEnd w:id="0"/>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w:t>
            </w:r>
            <w:bookmarkStart w:colFirst="0" w:colLast="0" w:name="kix.rbwl7c3y03ze" w:id="1"/>
            <w:bookmarkEnd w:id="1"/>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w:t>
            </w:r>
            <w:bookmarkStart w:colFirst="0" w:colLast="0" w:name="kix.6791352rk9n1" w:id="2"/>
            <w:bookmarkEnd w:id="2"/>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w:t>
            </w:r>
            <w:bookmarkStart w:colFirst="0" w:colLast="0" w:name="kix.4fuaejdl4rgm" w:id="3"/>
            <w:bookmarkEnd w:id="3"/>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w:t>
            </w:r>
            <w:bookmarkStart w:colFirst="0" w:colLast="0" w:name="kix.lryehrl3z9u3" w:id="4"/>
            <w:bookmarkEnd w:id="4"/>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bookmarkStart w:colFirst="0" w:colLast="0" w:name="kix.3zcpik7nid0d" w:id="5"/>
            <w:bookmarkEnd w:id="5"/>
            <w:r w:rsidDel="00000000" w:rsidR="00000000" w:rsidRPr="00000000">
              <w:rPr>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E">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F">
            <w:pPr>
              <w:spacing w:line="240" w:lineRule="auto"/>
              <w:ind w:right="34"/>
              <w:rPr/>
            </w:pPr>
            <w:r w:rsidDel="00000000" w:rsidR="00000000" w:rsidRPr="00000000">
              <w:rPr>
                <w:rtl w:val="0"/>
              </w:rPr>
              <w:t xml:space="preserve">Signed Kat Azima ……………………………………………………………</w:t>
            </w:r>
          </w:p>
          <w:p w:rsidR="00000000" w:rsidDel="00000000" w:rsidP="00000000" w:rsidRDefault="00000000" w:rsidRPr="00000000" w14:paraId="00000030">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 if you are submitting this form via email, please tick this box </w:t>
            </w:r>
            <w:r w:rsidDel="00000000" w:rsidR="00000000" w:rsidRPr="00000000">
              <w:rPr>
                <w:rFonts w:ascii="Calibri" w:cs="Calibri" w:eastAsia="Calibri" w:hAnsi="Calibri"/>
                <w:b w:val="1"/>
                <w:sz w:val="44"/>
                <w:szCs w:val="44"/>
                <w:rtl w:val="0"/>
              </w:rPr>
              <w:t xml:space="preserve">□</w:t>
            </w:r>
            <w:r w:rsidDel="00000000" w:rsidR="00000000" w:rsidRPr="00000000">
              <w:rPr>
                <w:rtl w:val="0"/>
              </w:rPr>
            </w:r>
          </w:p>
          <w:p w:rsidR="00000000" w:rsidDel="00000000" w:rsidP="00000000" w:rsidRDefault="00000000" w:rsidRPr="00000000" w14:paraId="00000031">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6">
            <w:pPr>
              <w:spacing w:line="240" w:lineRule="auto"/>
              <w:rPr>
                <w:sz w:val="24"/>
                <w:szCs w:val="24"/>
              </w:rPr>
            </w:pPr>
            <w:r w:rsidDel="00000000" w:rsidR="00000000" w:rsidRPr="00000000">
              <w:rPr>
                <w:rtl w:val="0"/>
              </w:rPr>
            </w:r>
          </w:p>
          <w:p w:rsidR="00000000" w:rsidDel="00000000" w:rsidP="00000000" w:rsidRDefault="00000000" w:rsidRPr="00000000" w14:paraId="00000037">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8">
                  <w:pPr>
                    <w:spacing w:line="240" w:lineRule="auto"/>
                    <w:rPr>
                      <w:sz w:val="20"/>
                      <w:szCs w:val="20"/>
                    </w:rPr>
                  </w:pPr>
                  <w:r w:rsidDel="00000000" w:rsidR="00000000" w:rsidRPr="00000000">
                    <w:rPr>
                      <w:rtl w:val="0"/>
                    </w:rPr>
                  </w:r>
                </w:p>
                <w:p w:rsidR="00000000" w:rsidDel="00000000" w:rsidP="00000000" w:rsidRDefault="00000000" w:rsidRPr="00000000" w14:paraId="00000039">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A">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3B">
                  <w:pPr>
                    <w:spacing w:line="240" w:lineRule="auto"/>
                    <w:rPr>
                      <w:sz w:val="20"/>
                      <w:szCs w:val="20"/>
                    </w:rPr>
                  </w:pPr>
                  <w:r w:rsidDel="00000000" w:rsidR="00000000" w:rsidRPr="00000000">
                    <w:rPr>
                      <w:sz w:val="20"/>
                      <w:szCs w:val="20"/>
                      <w:rtl w:val="0"/>
                    </w:rPr>
                    <w:t xml:space="preserve">WILL BE GIVEN ON TURNITIN</w:t>
                  </w:r>
                </w:p>
              </w:tc>
            </w:tr>
          </w:tbl>
          <w:p w:rsidR="00000000" w:rsidDel="00000000" w:rsidP="00000000" w:rsidRDefault="00000000" w:rsidRPr="00000000" w14:paraId="0000003C">
            <w:pPr>
              <w:spacing w:line="240" w:lineRule="auto"/>
              <w:ind w:left="142" w:right="34" w:firstLine="0"/>
              <w:rPr/>
            </w:pPr>
            <w:r w:rsidDel="00000000" w:rsidR="00000000" w:rsidRPr="00000000">
              <w:rPr>
                <w:rtl w:val="0"/>
              </w:rPr>
            </w:r>
          </w:p>
          <w:p w:rsidR="00000000" w:rsidDel="00000000" w:rsidP="00000000" w:rsidRDefault="00000000" w:rsidRPr="00000000" w14:paraId="0000003D">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3E">
            <w:pPr>
              <w:spacing w:line="240" w:lineRule="auto"/>
              <w:rPr/>
            </w:pPr>
            <w:r w:rsidDel="00000000" w:rsidR="00000000" w:rsidRPr="00000000">
              <w:rPr>
                <w:rtl w:val="0"/>
              </w:rPr>
            </w:r>
          </w:p>
          <w:p w:rsidR="00000000" w:rsidDel="00000000" w:rsidP="00000000" w:rsidRDefault="00000000" w:rsidRPr="00000000" w14:paraId="0000003F">
            <w:pPr>
              <w:spacing w:line="240" w:lineRule="auto"/>
              <w:rPr/>
            </w:pPr>
            <w:r w:rsidDel="00000000" w:rsidR="00000000" w:rsidRPr="00000000">
              <w:rPr>
                <w:b w:val="1"/>
                <w:rtl w:val="0"/>
              </w:rPr>
              <w:t xml:space="preserve">PLEASE NOTE: ALL COMMENTS WIL BE POSTED ON TURNITIN</w:t>
            </w:r>
            <w:r w:rsidDel="00000000" w:rsidR="00000000" w:rsidRPr="00000000">
              <w:rPr>
                <w:rtl w:val="0"/>
              </w:rPr>
            </w:r>
          </w:p>
          <w:p w:rsidR="00000000" w:rsidDel="00000000" w:rsidP="00000000" w:rsidRDefault="00000000" w:rsidRPr="00000000" w14:paraId="00000040">
            <w:pPr>
              <w:spacing w:line="240" w:lineRule="auto"/>
              <w:rPr/>
            </w:pPr>
            <w:r w:rsidDel="00000000" w:rsidR="00000000" w:rsidRPr="00000000">
              <w:rPr>
                <w:rtl w:val="0"/>
              </w:rPr>
            </w:r>
          </w:p>
          <w:p w:rsidR="00000000" w:rsidDel="00000000" w:rsidP="00000000" w:rsidRDefault="00000000" w:rsidRPr="00000000" w14:paraId="00000041">
            <w:pPr>
              <w:spacing w:line="240" w:lineRule="auto"/>
              <w:rPr/>
            </w:pPr>
            <w:r w:rsidDel="00000000" w:rsidR="00000000" w:rsidRPr="00000000">
              <w:rPr>
                <w:rtl w:val="0"/>
              </w:rPr>
            </w:r>
          </w:p>
          <w:p w:rsidR="00000000" w:rsidDel="00000000" w:rsidP="00000000" w:rsidRDefault="00000000" w:rsidRPr="00000000" w14:paraId="00000042">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3">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4">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9">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4C">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4E">
            <w:pPr>
              <w:spacing w:line="240" w:lineRule="auto"/>
              <w:ind w:right="-334"/>
              <w:rPr/>
            </w:pPr>
            <w:r w:rsidDel="00000000" w:rsidR="00000000" w:rsidRPr="00000000">
              <w:rPr>
                <w:rtl w:val="0"/>
              </w:rPr>
            </w:r>
          </w:p>
          <w:p w:rsidR="00000000" w:rsidDel="00000000" w:rsidP="00000000" w:rsidRDefault="00000000" w:rsidRPr="00000000" w14:paraId="0000004F">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0">
            <w:pPr>
              <w:spacing w:line="240" w:lineRule="auto"/>
              <w:ind w:right="-334"/>
              <w:rPr/>
            </w:pPr>
            <w:r w:rsidDel="00000000" w:rsidR="00000000" w:rsidRPr="00000000">
              <w:rPr>
                <w:rtl w:val="0"/>
              </w:rPr>
            </w:r>
          </w:p>
          <w:p w:rsidR="00000000" w:rsidDel="00000000" w:rsidP="00000000" w:rsidRDefault="00000000" w:rsidRPr="00000000" w14:paraId="00000051">
            <w:pPr>
              <w:spacing w:line="240" w:lineRule="auto"/>
              <w:ind w:right="-334"/>
              <w:rPr/>
            </w:pPr>
            <w:r w:rsidDel="00000000" w:rsidR="00000000" w:rsidRPr="00000000">
              <w:rPr>
                <w:rtl w:val="0"/>
              </w:rPr>
              <w:t xml:space="preserve">Comments:</w:t>
            </w:r>
          </w:p>
          <w:p w:rsidR="00000000" w:rsidDel="00000000" w:rsidP="00000000" w:rsidRDefault="00000000" w:rsidRPr="00000000" w14:paraId="00000052">
            <w:pPr>
              <w:spacing w:line="240" w:lineRule="auto"/>
              <w:ind w:right="-334"/>
              <w:rPr/>
            </w:pPr>
            <w:r w:rsidDel="00000000" w:rsidR="00000000" w:rsidRPr="00000000">
              <w:rPr>
                <w:rtl w:val="0"/>
              </w:rPr>
            </w:r>
          </w:p>
          <w:p w:rsidR="00000000" w:rsidDel="00000000" w:rsidP="00000000" w:rsidRDefault="00000000" w:rsidRPr="00000000" w14:paraId="00000053">
            <w:pPr>
              <w:spacing w:line="240" w:lineRule="auto"/>
              <w:ind w:right="-334"/>
              <w:rPr/>
            </w:pPr>
            <w:r w:rsidDel="00000000" w:rsidR="00000000" w:rsidRPr="00000000">
              <w:rPr>
                <w:rtl w:val="0"/>
              </w:rPr>
            </w:r>
          </w:p>
          <w:p w:rsidR="00000000" w:rsidDel="00000000" w:rsidP="00000000" w:rsidRDefault="00000000" w:rsidRPr="00000000" w14:paraId="00000054">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9">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5B">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5E">
            <w:pPr>
              <w:spacing w:line="240" w:lineRule="auto"/>
              <w:rPr/>
            </w:pPr>
            <w:r w:rsidDel="00000000" w:rsidR="00000000" w:rsidRPr="00000000">
              <w:rPr>
                <w:b w:val="1"/>
                <w:rtl w:val="0"/>
              </w:rPr>
              <w:t xml:space="preserve">AGREED INTERNAL MARK (where necessary):</w:t>
            </w:r>
            <w:r w:rsidDel="00000000" w:rsidR="00000000" w:rsidRPr="00000000">
              <w:rPr>
                <w:rtl w:val="0"/>
              </w:rPr>
            </w:r>
          </w:p>
          <w:p w:rsidR="00000000" w:rsidDel="00000000" w:rsidP="00000000" w:rsidRDefault="00000000" w:rsidRPr="00000000" w14:paraId="0000005F">
            <w:pPr>
              <w:spacing w:line="240" w:lineRule="auto"/>
              <w:rPr/>
            </w:pPr>
            <w:r w:rsidDel="00000000" w:rsidR="00000000" w:rsidRPr="00000000">
              <w:rPr>
                <w:rtl w:val="0"/>
              </w:rPr>
            </w:r>
          </w:p>
          <w:p w:rsidR="00000000" w:rsidDel="00000000" w:rsidP="00000000" w:rsidRDefault="00000000" w:rsidRPr="00000000" w14:paraId="00000060">
            <w:pPr>
              <w:spacing w:line="240" w:lineRule="auto"/>
              <w:rPr/>
            </w:pPr>
            <w:r w:rsidDel="00000000" w:rsidR="00000000" w:rsidRPr="00000000">
              <w:rPr>
                <w:b w:val="1"/>
                <w:rtl w:val="0"/>
              </w:rPr>
              <w:t xml:space="preserve">Comment on process of arriving at agreed mark:</w:t>
            </w:r>
            <w:r w:rsidDel="00000000" w:rsidR="00000000" w:rsidRPr="00000000">
              <w:rPr>
                <w:rtl w:val="0"/>
              </w:rPr>
            </w:r>
          </w:p>
          <w:p w:rsidR="00000000" w:rsidDel="00000000" w:rsidP="00000000" w:rsidRDefault="00000000" w:rsidRPr="00000000" w14:paraId="00000061">
            <w:pPr>
              <w:spacing w:line="240" w:lineRule="auto"/>
              <w:rPr/>
            </w:pPr>
            <w:r w:rsidDel="00000000" w:rsidR="00000000" w:rsidRPr="00000000">
              <w:rPr>
                <w:rtl w:val="0"/>
              </w:rPr>
            </w:r>
          </w:p>
          <w:p w:rsidR="00000000" w:rsidDel="00000000" w:rsidP="00000000" w:rsidRDefault="00000000" w:rsidRPr="00000000" w14:paraId="00000062">
            <w:pPr>
              <w:spacing w:line="240" w:lineRule="auto"/>
              <w:rPr/>
            </w:pPr>
            <w:r w:rsidDel="00000000" w:rsidR="00000000" w:rsidRPr="00000000">
              <w:rPr>
                <w:rtl w:val="0"/>
              </w:rPr>
            </w:r>
          </w:p>
          <w:p w:rsidR="00000000" w:rsidDel="00000000" w:rsidP="00000000" w:rsidRDefault="00000000" w:rsidRPr="00000000" w14:paraId="00000063">
            <w:pPr>
              <w:spacing w:line="240" w:lineRule="auto"/>
              <w:rPr/>
            </w:pPr>
            <w:r w:rsidDel="00000000" w:rsidR="00000000" w:rsidRPr="00000000">
              <w:rPr>
                <w:rtl w:val="0"/>
              </w:rPr>
            </w:r>
          </w:p>
          <w:p w:rsidR="00000000" w:rsidDel="00000000" w:rsidP="00000000" w:rsidRDefault="00000000" w:rsidRPr="00000000" w14:paraId="00000064">
            <w:pPr>
              <w:spacing w:line="240" w:lineRule="auto"/>
              <w:rPr/>
            </w:pPr>
            <w:r w:rsidDel="00000000" w:rsidR="00000000" w:rsidRPr="00000000">
              <w:rPr>
                <w:rtl w:val="0"/>
              </w:rPr>
            </w:r>
          </w:p>
          <w:p w:rsidR="00000000" w:rsidDel="00000000" w:rsidP="00000000" w:rsidRDefault="00000000" w:rsidRPr="00000000" w14:paraId="00000065">
            <w:pPr>
              <w:spacing w:line="240" w:lineRule="auto"/>
              <w:rPr/>
            </w:pPr>
            <w:r w:rsidDel="00000000" w:rsidR="00000000" w:rsidRPr="00000000">
              <w:rPr>
                <w:rtl w:val="0"/>
              </w:rPr>
            </w:r>
          </w:p>
          <w:p w:rsidR="00000000" w:rsidDel="00000000" w:rsidP="00000000" w:rsidRDefault="00000000" w:rsidRPr="00000000" w14:paraId="00000066">
            <w:pPr>
              <w:spacing w:line="240" w:lineRule="auto"/>
              <w:rPr/>
            </w:pPr>
            <w:r w:rsidDel="00000000" w:rsidR="00000000" w:rsidRPr="00000000">
              <w:rPr>
                <w:rtl w:val="0"/>
              </w:rPr>
            </w:r>
          </w:p>
          <w:p w:rsidR="00000000" w:rsidDel="00000000" w:rsidP="00000000" w:rsidRDefault="00000000" w:rsidRPr="00000000" w14:paraId="00000067">
            <w:pPr>
              <w:spacing w:line="240" w:lineRule="auto"/>
              <w:rPr/>
            </w:pPr>
            <w:r w:rsidDel="00000000" w:rsidR="00000000" w:rsidRPr="00000000">
              <w:rPr>
                <w:rtl w:val="0"/>
              </w:rPr>
            </w:r>
          </w:p>
          <w:p w:rsidR="00000000" w:rsidDel="00000000" w:rsidP="00000000" w:rsidRDefault="00000000" w:rsidRPr="00000000" w14:paraId="00000068">
            <w:pPr>
              <w:spacing w:line="240" w:lineRule="auto"/>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D">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E">
            <w:pPr>
              <w:spacing w:line="240" w:lineRule="auto"/>
              <w:ind w:right="-334"/>
              <w:rPr/>
            </w:pP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p w:rsidR="00000000" w:rsidDel="00000000" w:rsidP="00000000" w:rsidRDefault="00000000" w:rsidRPr="00000000" w14:paraId="00000073">
            <w:pPr>
              <w:spacing w:line="240" w:lineRule="auto"/>
              <w:ind w:right="-334"/>
              <w:rPr/>
            </w:pPr>
            <w:r w:rsidDel="00000000" w:rsidR="00000000" w:rsidRPr="00000000">
              <w:rPr>
                <w:rtl w:val="0"/>
              </w:rPr>
            </w:r>
          </w:p>
          <w:p w:rsidR="00000000" w:rsidDel="00000000" w:rsidP="00000000" w:rsidRDefault="00000000" w:rsidRPr="00000000" w14:paraId="00000074">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9">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B">
            <w:pPr>
              <w:spacing w:line="240" w:lineRule="auto"/>
              <w:rPr/>
            </w:pPr>
            <w:r w:rsidDel="00000000" w:rsidR="00000000" w:rsidRPr="00000000">
              <w:rPr>
                <w:rtl w:val="0"/>
              </w:rPr>
              <w:t xml:space="preserve">Date:</w:t>
            </w:r>
          </w:p>
        </w:tc>
      </w:tr>
    </w:tbl>
    <w:p w:rsidR="00000000" w:rsidDel="00000000" w:rsidP="00000000" w:rsidRDefault="00000000" w:rsidRPr="00000000" w14:paraId="0000007E">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Katherine Azima - HPCA7016 - Essay 1</w:t>
      </w:r>
    </w:p>
    <w:p w:rsidR="00000000" w:rsidDel="00000000" w:rsidP="00000000" w:rsidRDefault="00000000" w:rsidRPr="00000000" w14:paraId="0000007F">
      <w:pPr>
        <w:jc w:val="center"/>
        <w:rPr>
          <w:b w:val="1"/>
          <w:sz w:val="24"/>
          <w:szCs w:val="24"/>
        </w:rPr>
      </w:pPr>
      <w:r w:rsidDel="00000000" w:rsidR="00000000" w:rsidRPr="00000000">
        <w:rPr>
          <w:rFonts w:ascii="Calibri" w:cs="Calibri" w:eastAsia="Calibri" w:hAnsi="Calibri"/>
          <w:b w:val="1"/>
          <w:sz w:val="24"/>
          <w:szCs w:val="24"/>
          <w:rtl w:val="0"/>
        </w:rPr>
        <w:t xml:space="preserve">A Critical Comparison of Two Secondary Sources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0">
      <w:pPr>
        <w:jc w:val="center"/>
        <w:rPr>
          <w:b w:val="1"/>
          <w:sz w:val="20"/>
          <w:szCs w:val="20"/>
        </w:rPr>
      </w:pPr>
      <w:r w:rsidDel="00000000" w:rsidR="00000000" w:rsidRPr="00000000">
        <w:rPr>
          <w:b w:val="1"/>
          <w:sz w:val="20"/>
          <w:szCs w:val="20"/>
          <w:rtl w:val="0"/>
        </w:rPr>
        <w:t xml:space="preserve">2500 Word Count</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ind w:left="0" w:firstLine="0"/>
        <w:rPr>
          <w:b w:val="1"/>
        </w:rPr>
      </w:pPr>
      <w:r w:rsidDel="00000000" w:rsidR="00000000" w:rsidRPr="00000000">
        <w:rPr>
          <w:b w:val="1"/>
          <w:rtl w:val="0"/>
        </w:rPr>
        <w:t xml:space="preserve">Introduction</w:t>
      </w:r>
    </w:p>
    <w:p w:rsidR="00000000" w:rsidDel="00000000" w:rsidP="00000000" w:rsidRDefault="00000000" w:rsidRPr="00000000" w14:paraId="00000083">
      <w:pPr>
        <w:ind w:left="0" w:firstLine="0"/>
        <w:rPr>
          <w:b w:val="1"/>
        </w:rPr>
      </w:pPr>
      <w:r w:rsidDel="00000000" w:rsidR="00000000" w:rsidRPr="00000000">
        <w:rPr>
          <w:rtl w:val="0"/>
        </w:rPr>
      </w:r>
    </w:p>
    <w:p w:rsidR="00000000" w:rsidDel="00000000" w:rsidP="00000000" w:rsidRDefault="00000000" w:rsidRPr="00000000" w14:paraId="00000084">
      <w:pPr>
        <w:ind w:firstLine="720"/>
        <w:rPr/>
      </w:pPr>
      <w:r w:rsidDel="00000000" w:rsidR="00000000" w:rsidRPr="00000000">
        <w:rPr>
          <w:rtl w:val="0"/>
        </w:rPr>
        <w:t xml:space="preserve">This essay critically compares and contrasts two papers, T.L. Brink, ‘Inconsistency of Belief among Roman Catholic Girls: Concerning Religion, Astrology, Reincarnation’, Review of Religious Research, Vol. 20, No. 1 (Autumn, 1978), pp. 82-85 and of Tony Walter and Helen Waterhouse, ‘A Very Private Belief: Reincarnation in Contemporary England’, Sociology of Religion, Vol. 60, No. 2, (Summer, 1999), pp. 187-196.</w:t>
      </w:r>
    </w:p>
    <w:p w:rsidR="00000000" w:rsidDel="00000000" w:rsidP="00000000" w:rsidRDefault="00000000" w:rsidRPr="00000000" w14:paraId="00000085">
      <w:pPr>
        <w:ind w:left="0" w:firstLine="0"/>
        <w:rPr>
          <w:b w:val="1"/>
        </w:rPr>
      </w:pPr>
      <w:r w:rsidDel="00000000" w:rsidR="00000000" w:rsidRPr="00000000">
        <w:rPr>
          <w:b w:val="1"/>
          <w:rtl w:val="0"/>
        </w:rPr>
        <w:br w:type="textWrapping"/>
        <w:t xml:space="preserve">Author and Paper Context </w:t>
      </w:r>
    </w:p>
    <w:p w:rsidR="00000000" w:rsidDel="00000000" w:rsidP="00000000" w:rsidRDefault="00000000" w:rsidRPr="00000000" w14:paraId="00000086">
      <w:pPr>
        <w:ind w:left="0" w:firstLine="0"/>
        <w:rPr>
          <w:b w:val="1"/>
        </w:rPr>
      </w:pPr>
      <w:r w:rsidDel="00000000" w:rsidR="00000000" w:rsidRPr="00000000">
        <w:rPr>
          <w:rtl w:val="0"/>
        </w:rPr>
      </w:r>
    </w:p>
    <w:p w:rsidR="00000000" w:rsidDel="00000000" w:rsidP="00000000" w:rsidRDefault="00000000" w:rsidRPr="00000000" w14:paraId="00000087">
      <w:pPr>
        <w:ind w:firstLine="720"/>
        <w:rPr/>
      </w:pPr>
      <w:r w:rsidDel="00000000" w:rsidR="00000000" w:rsidRPr="00000000">
        <w:rPr>
          <w:rtl w:val="0"/>
        </w:rPr>
        <w:t xml:space="preserve">It is helpful to ground the papers in their respective contexts. Both papers are authored by academics whose work was published in scholarly publications and thus considered authoritative in their respective subject matters. </w:t>
      </w:r>
      <w:r w:rsidDel="00000000" w:rsidR="00000000" w:rsidRPr="00000000">
        <w:rPr>
          <w:rtl w:val="0"/>
        </w:rPr>
        <w:t xml:space="preserve">T.L. Brink, the author of the paper ‘Inconsistency of Belief among Roman Catholic Girls: Concerning Religion, Astrology, Reincarnation’, is an American scholar, social scientist and Professor of Psychology. Brink has been working at Crafton Hills College in California for over 30 years</w:t>
      </w:r>
      <w:r w:rsidDel="00000000" w:rsidR="00000000" w:rsidRPr="00000000">
        <w:rPr>
          <w:vertAlign w:val="superscript"/>
        </w:rPr>
        <w:footnoteReference w:customMarkFollows="0" w:id="0"/>
      </w:r>
      <w:r w:rsidDel="00000000" w:rsidR="00000000" w:rsidRPr="00000000">
        <w:rPr>
          <w:rtl w:val="0"/>
        </w:rPr>
        <w:t xml:space="preserve">. Brink has authored or edited fifteen books, two dozen encyclopaedia articles, hundreds of journal articles, reviews and conference presentations and is a member of dozens of psychological and religious associations.</w:t>
      </w:r>
      <w:r w:rsidDel="00000000" w:rsidR="00000000" w:rsidRPr="00000000">
        <w:rPr>
          <w:vertAlign w:val="superscript"/>
        </w:rPr>
        <w:footnoteReference w:customMarkFollows="0" w:id="1"/>
      </w:r>
      <w:r w:rsidDel="00000000" w:rsidR="00000000" w:rsidRPr="00000000">
        <w:rPr>
          <w:rtl w:val="0"/>
        </w:rPr>
        <w:t xml:space="preserve"> </w:t>
      </w:r>
      <w:r w:rsidDel="00000000" w:rsidR="00000000" w:rsidRPr="00000000">
        <w:rPr>
          <w:rtl w:val="0"/>
        </w:rPr>
        <w:t xml:space="preserve">Brink is currently 69 years old,</w:t>
      </w:r>
      <w:r w:rsidDel="00000000" w:rsidR="00000000" w:rsidRPr="00000000">
        <w:rPr>
          <w:vertAlign w:val="superscript"/>
        </w:rPr>
        <w:footnoteReference w:customMarkFollows="0" w:id="2"/>
      </w:r>
      <w:r w:rsidDel="00000000" w:rsidR="00000000" w:rsidRPr="00000000">
        <w:rPr>
          <w:rtl w:val="0"/>
        </w:rPr>
        <w:t xml:space="preserve"> which means at the time of publishing his research in 1978, Brink was just 24 years old. At the time, Brink was affiliated with the College of Notre Dame, in California, a private Catholic Master University</w:t>
      </w:r>
      <w:r w:rsidDel="00000000" w:rsidR="00000000" w:rsidRPr="00000000">
        <w:rPr>
          <w:vertAlign w:val="superscript"/>
        </w:rPr>
        <w:footnoteReference w:customMarkFollows="0" w:id="3"/>
      </w:r>
      <w:r w:rsidDel="00000000" w:rsidR="00000000" w:rsidRPr="00000000">
        <w:rPr>
          <w:rtl w:val="0"/>
        </w:rPr>
        <w:t xml:space="preserve"> as indicated on the subtitle of his paper.</w:t>
      </w:r>
      <w:r w:rsidDel="00000000" w:rsidR="00000000" w:rsidRPr="00000000">
        <w:rPr>
          <w:vertAlign w:val="superscript"/>
        </w:rPr>
        <w:footnoteReference w:customMarkFollows="0" w:id="4"/>
      </w:r>
      <w:r w:rsidDel="00000000" w:rsidR="00000000" w:rsidRPr="00000000">
        <w:rPr>
          <w:rtl w:val="0"/>
        </w:rPr>
        <w:t xml:space="preserve"> Tony Walter and Helen Waterhouse the co-authors of the paper ‘A Very Private Belief: Reincarnation in Contemporary England’ are both American scholars. Walter has been a scholar since 1975 and is currently </w:t>
      </w:r>
      <w:r w:rsidDel="00000000" w:rsidR="00000000" w:rsidRPr="00000000">
        <w:rPr>
          <w:rtl w:val="0"/>
        </w:rPr>
        <w:t xml:space="preserve">Professor Emeritus, </w:t>
      </w:r>
      <w:hyperlink r:id="rId8">
        <w:r w:rsidDel="00000000" w:rsidR="00000000" w:rsidRPr="00000000">
          <w:rPr>
            <w:rtl w:val="0"/>
          </w:rPr>
          <w:t xml:space="preserve">Department of Social &amp; Policy Sciences</w:t>
        </w:r>
      </w:hyperlink>
      <w:r w:rsidDel="00000000" w:rsidR="00000000" w:rsidRPr="00000000">
        <w:rPr>
          <w:color w:val="004489"/>
          <w:rtl w:val="0"/>
        </w:rPr>
        <w:t xml:space="preserve"> </w:t>
      </w:r>
      <w:r w:rsidDel="00000000" w:rsidR="00000000" w:rsidRPr="00000000">
        <w:rPr>
          <w:rtl w:val="0"/>
        </w:rPr>
        <w:t xml:space="preserve">at the University of Bath whose research interests include religion, death and society.</w:t>
      </w:r>
      <w:r w:rsidDel="00000000" w:rsidR="00000000" w:rsidRPr="00000000">
        <w:rPr>
          <w:vertAlign w:val="superscript"/>
        </w:rPr>
        <w:footnoteReference w:customMarkFollows="0" w:id="5"/>
      </w:r>
      <w:r w:rsidDel="00000000" w:rsidR="00000000" w:rsidRPr="00000000">
        <w:rPr>
          <w:rtl w:val="0"/>
        </w:rPr>
        <w:t xml:space="preserve"> Walter is currently 75 years old</w:t>
      </w:r>
      <w:r w:rsidDel="00000000" w:rsidR="00000000" w:rsidRPr="00000000">
        <w:rPr>
          <w:vertAlign w:val="superscript"/>
        </w:rPr>
        <w:footnoteReference w:customMarkFollows="0" w:id="6"/>
      </w:r>
      <w:r w:rsidDel="00000000" w:rsidR="00000000" w:rsidRPr="00000000">
        <w:rPr>
          <w:rtl w:val="0"/>
        </w:rPr>
        <w:t xml:space="preserve"> which means at the time his paper was published he was 51 years old and thus further on in his academic career than Brink. Helen Waterhouse, Walter’s co-author, completed her PhD ‘</w:t>
      </w:r>
      <w:r w:rsidDel="00000000" w:rsidR="00000000" w:rsidRPr="00000000">
        <w:rPr>
          <w:highlight w:val="white"/>
          <w:rtl w:val="0"/>
        </w:rPr>
        <w:t xml:space="preserve">Authority and adaptation: a case study in British Buddhism</w:t>
      </w:r>
      <w:r w:rsidDel="00000000" w:rsidR="00000000" w:rsidRPr="00000000">
        <w:rPr>
          <w:i w:val="1"/>
          <w:highlight w:val="white"/>
          <w:rtl w:val="0"/>
        </w:rPr>
        <w:t xml:space="preserve">’</w:t>
      </w:r>
      <w:r w:rsidDel="00000000" w:rsidR="00000000" w:rsidRPr="00000000">
        <w:rPr>
          <w:rtl w:val="0"/>
        </w:rPr>
        <w:t xml:space="preserve"> at Bath Spa University in 1997</w:t>
      </w:r>
      <w:r w:rsidDel="00000000" w:rsidR="00000000" w:rsidRPr="00000000">
        <w:rPr>
          <w:vertAlign w:val="superscript"/>
        </w:rPr>
        <w:footnoteReference w:customMarkFollows="0" w:id="7"/>
      </w:r>
      <w:r w:rsidDel="00000000" w:rsidR="00000000" w:rsidRPr="00000000">
        <w:rPr>
          <w:rtl w:val="0"/>
        </w:rPr>
        <w:t xml:space="preserve"> just two years prior to their paper being published. There is not much biographical information available about her online. </w:t>
      </w:r>
    </w:p>
    <w:p w:rsidR="00000000" w:rsidDel="00000000" w:rsidP="00000000" w:rsidRDefault="00000000" w:rsidRPr="00000000" w14:paraId="00000088">
      <w:pPr>
        <w:ind w:firstLine="720"/>
        <w:rPr/>
      </w:pPr>
      <w:r w:rsidDel="00000000" w:rsidR="00000000" w:rsidRPr="00000000">
        <w:rPr>
          <w:rtl w:val="0"/>
        </w:rPr>
        <w:t xml:space="preserve">Brink’s paper was published in ‘Review of Religious Research’ by Springer in 1978. Walter and Waterhouse’s paper was published in 1999 in the ‘Journal of Sociology and Religion’ by Oxford University Press. The papers were published almost 20 years apart from each other which may help in part explain their different choices in methodological approaches. </w:t>
      </w:r>
      <w:r w:rsidDel="00000000" w:rsidR="00000000" w:rsidRPr="00000000">
        <w:rPr>
          <w:rtl w:val="0"/>
        </w:rPr>
      </w:r>
    </w:p>
    <w:p w:rsidR="00000000" w:rsidDel="00000000" w:rsidP="00000000" w:rsidRDefault="00000000" w:rsidRPr="00000000" w14:paraId="00000089">
      <w:pPr>
        <w:ind w:left="0" w:firstLine="0"/>
        <w:rPr>
          <w:b w:val="1"/>
        </w:rPr>
      </w:pPr>
      <w:r w:rsidDel="00000000" w:rsidR="00000000" w:rsidRPr="00000000">
        <w:rPr>
          <w:rtl w:val="0"/>
        </w:rPr>
      </w:r>
    </w:p>
    <w:p w:rsidR="00000000" w:rsidDel="00000000" w:rsidP="00000000" w:rsidRDefault="00000000" w:rsidRPr="00000000" w14:paraId="0000008A">
      <w:pPr>
        <w:ind w:left="0" w:firstLine="0"/>
        <w:rPr>
          <w:b w:val="1"/>
        </w:rPr>
      </w:pPr>
      <w:r w:rsidDel="00000000" w:rsidR="00000000" w:rsidRPr="00000000">
        <w:rPr>
          <w:b w:val="1"/>
          <w:rtl w:val="0"/>
        </w:rPr>
        <w:t xml:space="preserve">Methodology </w:t>
      </w:r>
    </w:p>
    <w:p w:rsidR="00000000" w:rsidDel="00000000" w:rsidP="00000000" w:rsidRDefault="00000000" w:rsidRPr="00000000" w14:paraId="0000008B">
      <w:pPr>
        <w:ind w:firstLine="720"/>
        <w:rPr/>
      </w:pPr>
      <w:r w:rsidDel="00000000" w:rsidR="00000000" w:rsidRPr="00000000">
        <w:rPr>
          <w:rtl w:val="0"/>
        </w:rPr>
      </w:r>
    </w:p>
    <w:p w:rsidR="00000000" w:rsidDel="00000000" w:rsidP="00000000" w:rsidRDefault="00000000" w:rsidRPr="00000000" w14:paraId="0000008C">
      <w:pPr>
        <w:ind w:firstLine="720"/>
        <w:rPr/>
      </w:pPr>
      <w:r w:rsidDel="00000000" w:rsidR="00000000" w:rsidRPr="00000000">
        <w:rPr>
          <w:rtl w:val="0"/>
        </w:rPr>
        <w:t xml:space="preserve">Bell and Waters </w:t>
      </w:r>
      <w:r w:rsidDel="00000000" w:rsidR="00000000" w:rsidRPr="00000000">
        <w:rPr>
          <w:rtl w:val="0"/>
        </w:rPr>
        <w:t xml:space="preserve">state that each methodological approach has its strengths and weaknesses and will be dependent on the nature of inquiry as well as the type of information that the researchers want to collect.</w:t>
      </w:r>
      <w:r w:rsidDel="00000000" w:rsidR="00000000" w:rsidRPr="00000000">
        <w:rPr>
          <w:vertAlign w:val="superscript"/>
        </w:rPr>
        <w:footnoteReference w:customMarkFollows="0" w:id="8"/>
      </w:r>
      <w:r w:rsidDel="00000000" w:rsidR="00000000" w:rsidRPr="00000000">
        <w:rPr>
          <w:rtl w:val="0"/>
        </w:rPr>
        <w:t xml:space="preserve"> At their core, both papers in review are concerned with researching human beliefs with a particular focus about beliefs around reincarnation. More specifically, the purpose of the research laid out by Brink was to investigate consistency of belief among Roman Catholic female American highschool students concerning religion, astrology and reincarnation.</w:t>
      </w:r>
      <w:r w:rsidDel="00000000" w:rsidR="00000000" w:rsidRPr="00000000">
        <w:rPr>
          <w:vertAlign w:val="superscript"/>
        </w:rPr>
        <w:footnoteReference w:customMarkFollows="0" w:id="9"/>
      </w:r>
      <w:r w:rsidDel="00000000" w:rsidR="00000000" w:rsidRPr="00000000">
        <w:rPr>
          <w:rtl w:val="0"/>
        </w:rPr>
        <w:t xml:space="preserve"> The purpose of the research for Walter and Waterhouse was to examine and explore what reincarnation means, in particular in the context of twentieth century privatisation of belief amongst a small group of English people.</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8D">
      <w:pPr>
        <w:ind w:firstLine="720"/>
        <w:rPr/>
      </w:pPr>
      <w:r w:rsidDel="00000000" w:rsidR="00000000" w:rsidRPr="00000000">
        <w:rPr>
          <w:rtl w:val="0"/>
        </w:rPr>
        <w:t xml:space="preserve">Brink and Walter and Waterhouse take different methodological approaches using quantitative and qualitative methods to research beliefs. Brink utilises quantitative methodology in the form of a survey that was administered to the informants.</w:t>
      </w:r>
      <w:r w:rsidDel="00000000" w:rsidR="00000000" w:rsidRPr="00000000">
        <w:rPr>
          <w:vertAlign w:val="superscript"/>
        </w:rPr>
        <w:footnoteReference w:customMarkFollows="0" w:id="11"/>
      </w:r>
      <w:r w:rsidDel="00000000" w:rsidR="00000000" w:rsidRPr="00000000">
        <w:rPr>
          <w:rtl w:val="0"/>
        </w:rPr>
        <w:t xml:space="preserve"> Walter and Waterhouse utilise qualitative methodology in the form of a small intensive interview study.</w:t>
      </w:r>
      <w:r w:rsidDel="00000000" w:rsidR="00000000" w:rsidRPr="00000000">
        <w:rPr>
          <w:vertAlign w:val="superscript"/>
        </w:rPr>
        <w:footnoteReference w:customMarkFollows="0" w:id="12"/>
      </w:r>
      <w:r w:rsidDel="00000000" w:rsidR="00000000" w:rsidRPr="00000000">
        <w:rPr>
          <w:rtl w:val="0"/>
        </w:rPr>
        <w:t xml:space="preserve"> As </w:t>
      </w:r>
      <w:r w:rsidDel="00000000" w:rsidR="00000000" w:rsidRPr="00000000">
        <w:rPr>
          <w:rtl w:val="0"/>
        </w:rPr>
        <w:t xml:space="preserve">Hennick, Hutter and Bailey </w:t>
      </w:r>
      <w:r w:rsidDel="00000000" w:rsidR="00000000" w:rsidRPr="00000000">
        <w:rPr>
          <w:rtl w:val="0"/>
        </w:rPr>
        <w:t xml:space="preserve">state, the ‘interpretive paradigm’ emerged in the 1970s as a reaction to ‘positivism’. Positivism was often seen as the scientific quantitative approach to research whereas the interpretive paradigm, using qualitative methods, sought to understand people’s lived experience from the actual perspective of the individual themselves.</w:t>
      </w:r>
      <w:r w:rsidDel="00000000" w:rsidR="00000000" w:rsidRPr="00000000">
        <w:rPr>
          <w:vertAlign w:val="superscript"/>
        </w:rPr>
        <w:footnoteReference w:customMarkFollows="0" w:id="13"/>
      </w:r>
      <w:r w:rsidDel="00000000" w:rsidR="00000000" w:rsidRPr="00000000">
        <w:rPr>
          <w:rtl w:val="0"/>
        </w:rPr>
        <w:t xml:space="preserve"> Bryman, who reviews the debates around quantitative and qualitative research, says that when qualitative and qualitative research methods are jointly pursued there can be more complete accounts of social reality</w:t>
      </w:r>
      <w:r w:rsidDel="00000000" w:rsidR="00000000" w:rsidRPr="00000000">
        <w:rPr>
          <w:vertAlign w:val="superscript"/>
        </w:rPr>
        <w:footnoteReference w:customMarkFollows="0" w:id="14"/>
      </w:r>
      <w:r w:rsidDel="00000000" w:rsidR="00000000" w:rsidRPr="00000000">
        <w:rPr>
          <w:rtl w:val="0"/>
        </w:rPr>
        <w:t xml:space="preserve"> and not seen as mutually antagonistic ideals of research processes.</w:t>
      </w:r>
      <w:r w:rsidDel="00000000" w:rsidR="00000000" w:rsidRPr="00000000">
        <w:rPr>
          <w:vertAlign w:val="superscript"/>
        </w:rPr>
        <w:footnoteReference w:customMarkFollows="0" w:id="15"/>
      </w:r>
      <w:r w:rsidDel="00000000" w:rsidR="00000000" w:rsidRPr="00000000">
        <w:rPr>
          <w:rtl w:val="0"/>
        </w:rPr>
        <w:t xml:space="preserve"> Brink’s paper published in 1978, thus was using the positivist approach to research, whereas Walter and Waterhouse, whose paper was published in 1999, was developed within the interpretive paradigm. As Bell and Waters state, ‘each approach has its strength and weaknesses, and each is particularly suitable for a particular context’</w:t>
      </w:r>
      <w:r w:rsidDel="00000000" w:rsidR="00000000" w:rsidRPr="00000000">
        <w:rPr>
          <w:vertAlign w:val="superscript"/>
        </w:rPr>
        <w:footnoteReference w:customMarkFollows="0" w:id="16"/>
      </w:r>
      <w:r w:rsidDel="00000000" w:rsidR="00000000" w:rsidRPr="00000000">
        <w:rPr>
          <w:rtl w:val="0"/>
        </w:rPr>
        <w:t xml:space="preserve"> Bell and Waters explain that qualitative research is a methodology that uses broader research questions concerned with understanding individuals’ perceptions of the world</w:t>
      </w:r>
      <w:r w:rsidDel="00000000" w:rsidR="00000000" w:rsidRPr="00000000">
        <w:rPr>
          <w:vertAlign w:val="superscript"/>
        </w:rPr>
        <w:footnoteReference w:customMarkFollows="0" w:id="17"/>
      </w:r>
      <w:r w:rsidDel="00000000" w:rsidR="00000000" w:rsidRPr="00000000">
        <w:rPr>
          <w:rtl w:val="0"/>
        </w:rPr>
        <w:t xml:space="preserve"> including beliefs.</w:t>
      </w:r>
      <w:r w:rsidDel="00000000" w:rsidR="00000000" w:rsidRPr="00000000">
        <w:rPr>
          <w:vertAlign w:val="superscript"/>
        </w:rPr>
        <w:footnoteReference w:customMarkFollows="0" w:id="18"/>
      </w:r>
      <w:r w:rsidDel="00000000" w:rsidR="00000000" w:rsidRPr="00000000">
        <w:rPr>
          <w:rtl w:val="0"/>
        </w:rPr>
        <w:t xml:space="preserve"> Quantitative research they say is a methodology that collects facts, uses structured pre-determined research questions which produce quantified and generalised conclusions.</w:t>
      </w:r>
      <w:r w:rsidDel="00000000" w:rsidR="00000000" w:rsidRPr="00000000">
        <w:rPr>
          <w:vertAlign w:val="superscript"/>
        </w:rPr>
        <w:footnoteReference w:customMarkFollows="0" w:id="19"/>
      </w:r>
      <w:r w:rsidDel="00000000" w:rsidR="00000000" w:rsidRPr="00000000">
        <w:rPr>
          <w:rtl w:val="0"/>
        </w:rPr>
        <w:t xml:space="preserve"> For researching beliefs therefore, as </w:t>
      </w:r>
      <w:r w:rsidDel="00000000" w:rsidR="00000000" w:rsidRPr="00000000">
        <w:rPr>
          <w:rtl w:val="0"/>
        </w:rPr>
        <w:t xml:space="preserve">Hennick, Hutter and Bailey also</w:t>
      </w:r>
      <w:r w:rsidDel="00000000" w:rsidR="00000000" w:rsidRPr="00000000">
        <w:rPr>
          <w:rtl w:val="0"/>
        </w:rPr>
        <w:t xml:space="preserve"> state, it is qualitative research that helps ‘to gain a contextualised understanding of behaviours, beliefs and motivation’.</w:t>
      </w:r>
      <w:r w:rsidDel="00000000" w:rsidR="00000000" w:rsidRPr="00000000">
        <w:rPr>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8E">
      <w:pPr>
        <w:ind w:left="0" w:firstLine="0"/>
        <w:rPr>
          <w:b w:val="1"/>
        </w:rPr>
      </w:pPr>
      <w:r w:rsidDel="00000000" w:rsidR="00000000" w:rsidRPr="00000000">
        <w:rPr>
          <w:rtl w:val="0"/>
        </w:rPr>
      </w:r>
    </w:p>
    <w:p w:rsidR="00000000" w:rsidDel="00000000" w:rsidP="00000000" w:rsidRDefault="00000000" w:rsidRPr="00000000" w14:paraId="0000008F">
      <w:pPr>
        <w:ind w:left="0" w:firstLine="0"/>
        <w:rPr>
          <w:b w:val="1"/>
        </w:rPr>
      </w:pPr>
      <w:r w:rsidDel="00000000" w:rsidR="00000000" w:rsidRPr="00000000">
        <w:rPr>
          <w:b w:val="1"/>
          <w:rtl w:val="0"/>
        </w:rPr>
        <w:t xml:space="preserve">Writing Style</w:t>
        <w:br w:type="textWrapping"/>
      </w:r>
    </w:p>
    <w:p w:rsidR="00000000" w:rsidDel="00000000" w:rsidP="00000000" w:rsidRDefault="00000000" w:rsidRPr="00000000" w14:paraId="00000090">
      <w:pPr>
        <w:ind w:firstLine="720"/>
        <w:rPr/>
      </w:pPr>
      <w:r w:rsidDel="00000000" w:rsidR="00000000" w:rsidRPr="00000000">
        <w:rPr>
          <w:rtl w:val="0"/>
        </w:rPr>
        <w:t xml:space="preserve">As Bell and Waters recommend, structuring evidence and reporting findings based on institutional guidelines is a vital step in writing a final research report.</w:t>
      </w:r>
      <w:r w:rsidDel="00000000" w:rsidR="00000000" w:rsidRPr="00000000">
        <w:rPr>
          <w:vertAlign w:val="superscript"/>
        </w:rPr>
        <w:footnoteReference w:customMarkFollows="0" w:id="21"/>
      </w:r>
      <w:r w:rsidDel="00000000" w:rsidR="00000000" w:rsidRPr="00000000">
        <w:rPr>
          <w:rtl w:val="0"/>
        </w:rPr>
        <w:t xml:space="preserve"> They identify some essential guidelines in writing up a solid final report which include a title page, acknowledgements, contents, the abstract, aims and purpose of the study, review of the literature, methods of data collection, statement of results, analysis, conclusions, references and appendices.</w:t>
      </w:r>
      <w:r w:rsidDel="00000000" w:rsidR="00000000" w:rsidRPr="00000000">
        <w:rPr>
          <w:vertAlign w:val="superscript"/>
        </w:rPr>
        <w:footnoteReference w:customMarkFollows="0" w:id="22"/>
      </w:r>
      <w:r w:rsidDel="00000000" w:rsidR="00000000" w:rsidRPr="00000000">
        <w:rPr>
          <w:rtl w:val="0"/>
        </w:rPr>
        <w:t xml:space="preserve"> Therefore, structuring the final report provides clarity and direction for the reader. The authors of both papers take a different approach to the way they structure their papers.  Brink’s paper starts out with an unmarked abstract and introduction/literature review, and follows on with 3 labelled main sections; 1.Hypothesis, 2. Procedures and Results and 3. Discussion and Conclusions. Brink’s paper is considerably shorter than Walter and Waterhouse’s paper at just around 1000 words and written in a scholarly style. The structure of Walter and Waterhouse’s paper starts with an abstract and intro/literature review that have no heading to identify them. There are 4 main labelled sections with further sub sections; 1. Survey Data (Interview data), 2. Findings (Religious Associations, 3. The Nature of Belief (Sources of Belief, Content of Belief, and Effects) and 4. Conclusion. Their paper is roughly just over 4000 words and also written in a scholarly style. </w:t>
      </w:r>
    </w:p>
    <w:p w:rsidR="00000000" w:rsidDel="00000000" w:rsidP="00000000" w:rsidRDefault="00000000" w:rsidRPr="00000000" w14:paraId="00000091">
      <w:pPr>
        <w:ind w:firstLine="720"/>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b w:val="1"/>
          <w:rtl w:val="0"/>
        </w:rPr>
        <w:t xml:space="preserve">Ethics</w:t>
        <w:br w:type="textWrapping"/>
      </w:r>
    </w:p>
    <w:p w:rsidR="00000000" w:rsidDel="00000000" w:rsidP="00000000" w:rsidRDefault="00000000" w:rsidRPr="00000000" w14:paraId="00000093">
      <w:pPr>
        <w:ind w:left="0" w:firstLine="720"/>
        <w:rPr/>
      </w:pPr>
      <w:r w:rsidDel="00000000" w:rsidR="00000000" w:rsidRPr="00000000">
        <w:rPr>
          <w:rtl w:val="0"/>
        </w:rPr>
        <w:t xml:space="preserve">As Hennick, Hutter and Bailey state, the interpretive paradigm acknowledges human subjectivity in that the values of the researcher influence the creation of research data.</w:t>
      </w:r>
      <w:r w:rsidDel="00000000" w:rsidR="00000000" w:rsidRPr="00000000">
        <w:rPr>
          <w:vertAlign w:val="superscript"/>
        </w:rPr>
        <w:footnoteReference w:customMarkFollows="0" w:id="23"/>
      </w:r>
      <w:r w:rsidDel="00000000" w:rsidR="00000000" w:rsidRPr="00000000">
        <w:rPr>
          <w:rtl w:val="0"/>
        </w:rPr>
        <w:t xml:space="preserve"> The emic perspective provides information on the insider’s point of view while the etic perspective refers to the outsider’s point of view, as they relate to their own opinions and beliefs within their own cultural meaning system.</w:t>
      </w:r>
      <w:r w:rsidDel="00000000" w:rsidR="00000000" w:rsidRPr="00000000">
        <w:rPr>
          <w:vertAlign w:val="superscript"/>
        </w:rPr>
        <w:footnoteReference w:customMarkFollows="0" w:id="24"/>
      </w:r>
      <w:r w:rsidDel="00000000" w:rsidR="00000000" w:rsidRPr="00000000">
        <w:rPr>
          <w:rtl w:val="0"/>
        </w:rPr>
        <w:t xml:space="preserve"> </w:t>
      </w:r>
      <w:r w:rsidDel="00000000" w:rsidR="00000000" w:rsidRPr="00000000">
        <w:rPr>
          <w:rtl w:val="0"/>
        </w:rPr>
        <w:t xml:space="preserve">Bell and Waters </w:t>
      </w:r>
      <w:r w:rsidDel="00000000" w:rsidR="00000000" w:rsidRPr="00000000">
        <w:rPr>
          <w:rtl w:val="0"/>
        </w:rPr>
        <w:t xml:space="preserve">state that it’s essential for researchers to conduct their research in an ethical way as this will help protect research participants from both intentional and unintentional harm.</w:t>
      </w:r>
      <w:r w:rsidDel="00000000" w:rsidR="00000000" w:rsidRPr="00000000">
        <w:rPr>
          <w:vertAlign w:val="superscript"/>
        </w:rPr>
        <w:footnoteReference w:customMarkFollows="0" w:id="25"/>
      </w:r>
      <w:r w:rsidDel="00000000" w:rsidR="00000000" w:rsidRPr="00000000">
        <w:rPr>
          <w:rtl w:val="0"/>
        </w:rPr>
        <w:t xml:space="preserve"> They go on to say that many professional bodies today have formalised procedures and produced their own research guidelines, contracts, codes and protocols when the research involves children.</w:t>
      </w:r>
      <w:r w:rsidDel="00000000" w:rsidR="00000000" w:rsidRPr="00000000">
        <w:rPr>
          <w:vertAlign w:val="superscript"/>
        </w:rPr>
        <w:footnoteReference w:customMarkFollows="0" w:id="26"/>
      </w:r>
      <w:r w:rsidDel="00000000" w:rsidR="00000000" w:rsidRPr="00000000">
        <w:rPr>
          <w:rtl w:val="0"/>
        </w:rPr>
        <w:t xml:space="preserve"> In his paper, Brink does not follow basic guiding principles around ethical research. Brink is also not reflexive in his paper to share his motives, biases and preconceptions which can influence the study. Brink provides no background information about himself or his personal motivation for doing the research. In terms of ethical consideration, the participants Brink surveyed were juniors and seniors at a Catholic girls’ high school</w:t>
      </w:r>
      <w:r w:rsidDel="00000000" w:rsidR="00000000" w:rsidRPr="00000000">
        <w:rPr>
          <w:vertAlign w:val="superscript"/>
        </w:rPr>
        <w:footnoteReference w:customMarkFollows="0" w:id="27"/>
      </w:r>
      <w:r w:rsidDel="00000000" w:rsidR="00000000" w:rsidRPr="00000000">
        <w:rPr>
          <w:rtl w:val="0"/>
        </w:rPr>
        <w:t xml:space="preserve"> or in other words a group of minors which would ethically require a DBS clearance which is a criminal records check</w:t>
      </w:r>
      <w:r w:rsidDel="00000000" w:rsidR="00000000" w:rsidRPr="00000000">
        <w:rPr>
          <w:vertAlign w:val="superscript"/>
        </w:rPr>
        <w:footnoteReference w:customMarkFollows="0" w:id="28"/>
      </w:r>
      <w:r w:rsidDel="00000000" w:rsidR="00000000" w:rsidRPr="00000000">
        <w:rPr>
          <w:rtl w:val="0"/>
        </w:rPr>
        <w:t xml:space="preserve"> and ‘informed consent’ from the parents. </w:t>
      </w:r>
      <w:r w:rsidDel="00000000" w:rsidR="00000000" w:rsidRPr="00000000">
        <w:rPr>
          <w:rtl w:val="0"/>
        </w:rPr>
        <w:t xml:space="preserve">Bell and Waters</w:t>
      </w:r>
      <w:r w:rsidDel="00000000" w:rsidR="00000000" w:rsidRPr="00000000">
        <w:rPr>
          <w:rtl w:val="0"/>
        </w:rPr>
        <w:t xml:space="preserve"> say ‘informed consent’ is a contract which would be sent in advance to the research to secure participants consent in the research study.</w:t>
      </w:r>
      <w:r w:rsidDel="00000000" w:rsidR="00000000" w:rsidRPr="00000000">
        <w:rPr>
          <w:vertAlign w:val="superscript"/>
        </w:rPr>
        <w:footnoteReference w:customMarkFollows="0" w:id="29"/>
      </w:r>
      <w:r w:rsidDel="00000000" w:rsidR="00000000" w:rsidRPr="00000000">
        <w:rPr>
          <w:rtl w:val="0"/>
        </w:rPr>
        <w:t xml:space="preserve"> Since the participants are children this informed consent would have to have been sent to their parents but there is no mention of that in his report.</w:t>
      </w:r>
      <w:r w:rsidDel="00000000" w:rsidR="00000000" w:rsidRPr="00000000">
        <w:rPr>
          <w:rtl w:val="0"/>
        </w:rPr>
        <w:t xml:space="preserve"> The schoolgirls Brink researched came from working class families of Polish or Italian extraction living on Chicago’s northwest side.</w:t>
      </w:r>
      <w:r w:rsidDel="00000000" w:rsidR="00000000" w:rsidRPr="00000000">
        <w:rPr>
          <w:vertAlign w:val="superscript"/>
        </w:rPr>
        <w:footnoteReference w:customMarkFollows="0" w:id="30"/>
      </w:r>
      <w:r w:rsidDel="00000000" w:rsidR="00000000" w:rsidRPr="00000000">
        <w:rPr>
          <w:rtl w:val="0"/>
        </w:rPr>
        <w:t xml:space="preserve"> Ethnicity and/or culture will influence informants response but Brink does not break out the responses by ethnicity in his reporting which may suggest that he sees them as a homogeneous vs. heterogeneous group. Brink does not provide any additional written comments from the informants and only presents his questions and data in the form of a table. The nature of quantitative research leaves no real room for the voice of the informants. Brink does not report on who exactly administers the survey to the children but he does mention that it was presented in religion class. He also does not acknowledge in his report that the children may have feeled pressured to answer in a certain way in the context of the school setting versus if the questionnaire was administered outside of school. </w:t>
      </w:r>
    </w:p>
    <w:p w:rsidR="00000000" w:rsidDel="00000000" w:rsidP="00000000" w:rsidRDefault="00000000" w:rsidRPr="00000000" w14:paraId="00000094">
      <w:pPr>
        <w:ind w:firstLine="720"/>
        <w:rPr/>
      </w:pPr>
      <w:r w:rsidDel="00000000" w:rsidR="00000000" w:rsidRPr="00000000">
        <w:rPr>
          <w:rtl w:val="0"/>
        </w:rPr>
        <w:t xml:space="preserve">Walter and Waterhouse utilise</w:t>
      </w:r>
      <w:r w:rsidDel="00000000" w:rsidR="00000000" w:rsidRPr="00000000">
        <w:rPr>
          <w:rtl w:val="0"/>
        </w:rPr>
        <w:t xml:space="preserve"> qualitative methodology in the form of a small intensive interview study.</w:t>
      </w:r>
      <w:r w:rsidDel="00000000" w:rsidR="00000000" w:rsidRPr="00000000">
        <w:rPr>
          <w:vertAlign w:val="superscript"/>
        </w:rPr>
        <w:footnoteReference w:customMarkFollows="0" w:id="31"/>
      </w:r>
      <w:r w:rsidDel="00000000" w:rsidR="00000000" w:rsidRPr="00000000">
        <w:rPr>
          <w:rtl w:val="0"/>
        </w:rPr>
        <w:t xml:space="preserve"> They interviewed 21 school children aged 11, 14-15, and 17-18. Similar to Brink, interviewing children would have required a DBC and informed consent and there is no mention of that or ethical considerations in their report.</w:t>
      </w:r>
      <w:r w:rsidDel="00000000" w:rsidR="00000000" w:rsidRPr="00000000">
        <w:rPr>
          <w:vertAlign w:val="superscript"/>
        </w:rPr>
        <w:footnoteReference w:customMarkFollows="0" w:id="32"/>
      </w:r>
      <w:r w:rsidDel="00000000" w:rsidR="00000000" w:rsidRPr="00000000">
        <w:rPr>
          <w:rtl w:val="0"/>
        </w:rPr>
        <w:t xml:space="preserve">  Walter and Waterhouse do share direct quotes from their interviews</w:t>
      </w:r>
      <w:r w:rsidDel="00000000" w:rsidR="00000000" w:rsidRPr="00000000">
        <w:rPr>
          <w:vertAlign w:val="superscript"/>
        </w:rPr>
        <w:footnoteReference w:customMarkFollows="0" w:id="33"/>
      </w:r>
      <w:r w:rsidDel="00000000" w:rsidR="00000000" w:rsidRPr="00000000">
        <w:rPr>
          <w:rtl w:val="0"/>
        </w:rPr>
        <w:t xml:space="preserve"> but they have a tendency to interpret the data rather than provide direct quotes from their interviews. For example, there is a paragraph in the paper where the researchers ask their respondents whether they were involved in ‘indicators of an alternative lifestyle’. The researchers then summarise the respondents' sentiments in a full paragraph and say that this was a significant finding.</w:t>
      </w:r>
      <w:r w:rsidDel="00000000" w:rsidR="00000000" w:rsidRPr="00000000">
        <w:rPr>
          <w:vertAlign w:val="superscript"/>
        </w:rPr>
        <w:footnoteReference w:customMarkFollows="0" w:id="34"/>
      </w:r>
      <w:r w:rsidDel="00000000" w:rsidR="00000000" w:rsidRPr="00000000">
        <w:rPr>
          <w:rtl w:val="0"/>
        </w:rPr>
        <w:t xml:space="preserve"> If indeed the respondents answers to the questions were significant it would be helpful to have inserted some direct quotes from the informants so the researcher as expert and authority, as Braud and Anderson state, does not become privileged over those of the research subjects.</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95">
      <w:pPr>
        <w:ind w:left="0" w:firstLine="0"/>
        <w:rPr>
          <w:b w:val="1"/>
        </w:rPr>
      </w:pPr>
      <w:r w:rsidDel="00000000" w:rsidR="00000000" w:rsidRPr="00000000">
        <w:rPr>
          <w:rtl w:val="0"/>
        </w:rPr>
      </w:r>
    </w:p>
    <w:p w:rsidR="00000000" w:rsidDel="00000000" w:rsidP="00000000" w:rsidRDefault="00000000" w:rsidRPr="00000000" w14:paraId="00000096">
      <w:pPr>
        <w:ind w:left="0" w:firstLine="0"/>
        <w:rPr>
          <w:b w:val="1"/>
        </w:rPr>
      </w:pPr>
      <w:r w:rsidDel="00000000" w:rsidR="00000000" w:rsidRPr="00000000">
        <w:rPr>
          <w:b w:val="1"/>
          <w:rtl w:val="0"/>
        </w:rPr>
        <w:t xml:space="preserve">Literature Review</w:t>
        <w:br w:type="textWrapping"/>
      </w:r>
    </w:p>
    <w:p w:rsidR="00000000" w:rsidDel="00000000" w:rsidP="00000000" w:rsidRDefault="00000000" w:rsidRPr="00000000" w14:paraId="00000097">
      <w:pPr>
        <w:ind w:firstLine="720"/>
        <w:rPr/>
      </w:pPr>
      <w:r w:rsidDel="00000000" w:rsidR="00000000" w:rsidRPr="00000000">
        <w:rPr>
          <w:rtl w:val="0"/>
        </w:rPr>
        <w:t xml:space="preserve">Both Brink and Walter and Waterhouse do attempt to position their projects within a larger academic framework by referencing other authors' scholarly work. While Brink includes a ‘References’ section at the end of the paper he does not utilise footnotes in his paper to reference sources for his statements. There are some instances of sweeping statements which have no means for the reader to verify his assertions, for example when he says ‘Astrology’s fatalism is based upon blind impersonal forces and is substantially different from karma’</w:t>
      </w:r>
      <w:r w:rsidDel="00000000" w:rsidR="00000000" w:rsidRPr="00000000">
        <w:rPr>
          <w:vertAlign w:val="superscript"/>
        </w:rPr>
        <w:footnoteReference w:customMarkFollows="0" w:id="36"/>
      </w:r>
      <w:r w:rsidDel="00000000" w:rsidR="00000000" w:rsidRPr="00000000">
        <w:rPr>
          <w:rtl w:val="0"/>
        </w:rPr>
        <w:t xml:space="preserve"> Brink does include a source for these claims in the footnote. Brink references 14 authors in his ‘References’ section two of which are his own articles. Walter and Waterhouse also do not utilise a comprehensive footnote system to reference their statements. They do have a ‘References’ section at the end of paper and reference 25 authors 2 of which are citations of their own work while Walter lists three of his own unpublished articles.</w:t>
      </w:r>
      <w:r w:rsidDel="00000000" w:rsidR="00000000" w:rsidRPr="00000000">
        <w:rPr>
          <w:vertAlign w:val="superscript"/>
        </w:rPr>
        <w:footnoteReference w:customMarkFollows="0" w:id="37"/>
      </w:r>
      <w:r w:rsidDel="00000000" w:rsidR="00000000" w:rsidRPr="00000000">
        <w:rPr>
          <w:rtl w:val="0"/>
        </w:rPr>
        <w:t xml:space="preserve"> The majority of Walter and Waterhouse’s references are from books and articles from the 1990s the same decade as their published piece while Brink references a lot less contemporary publications and books. </w:t>
      </w:r>
    </w:p>
    <w:p w:rsidR="00000000" w:rsidDel="00000000" w:rsidP="00000000" w:rsidRDefault="00000000" w:rsidRPr="00000000" w14:paraId="00000098">
      <w:pPr>
        <w:ind w:left="0" w:firstLine="720"/>
        <w:rPr/>
      </w:pPr>
      <w:r w:rsidDel="00000000" w:rsidR="00000000" w:rsidRPr="00000000">
        <w:rPr>
          <w:rtl w:val="0"/>
        </w:rPr>
        <w:t xml:space="preserve">Brink references 6 social scientists and their social psychological theories at the beginning of his report but lists these out rather than providing context, explanation or critical review of the theories.</w:t>
      </w:r>
      <w:r w:rsidDel="00000000" w:rsidR="00000000" w:rsidRPr="00000000">
        <w:rPr>
          <w:vertAlign w:val="superscript"/>
        </w:rPr>
        <w:footnoteReference w:customMarkFollows="0" w:id="38"/>
      </w:r>
      <w:r w:rsidDel="00000000" w:rsidR="00000000" w:rsidRPr="00000000">
        <w:rPr>
          <w:rtl w:val="0"/>
        </w:rPr>
        <w:t xml:space="preserve"> Brink only dedicates a short paragraph to his literature review within the ‘Discussions and Conclusions’ section at the end of the paper he brings in additional scholars that were not originally included in the literature review such as Piker, Erikson, Bellah, Wuthnow and Brink, Katz, Sarnoff and McClintock, Rokeach,and Freud</w:t>
      </w:r>
      <w:r w:rsidDel="00000000" w:rsidR="00000000" w:rsidRPr="00000000">
        <w:rPr>
          <w:vertAlign w:val="superscript"/>
        </w:rPr>
        <w:footnoteReference w:customMarkFollows="0" w:id="39"/>
      </w:r>
      <w:r w:rsidDel="00000000" w:rsidR="00000000" w:rsidRPr="00000000">
        <w:rPr>
          <w:rtl w:val="0"/>
        </w:rPr>
        <w:t xml:space="preserve">. Walter and Waterhouse under the section ‘Survey Data’ provide a review of the survey data on belief in reincarnation to help ground the reader in previous research and data about the subject matter. They reference 9 previous surveys from the 1940s thru to the 1990s</w:t>
      </w:r>
      <w:r w:rsidDel="00000000" w:rsidR="00000000" w:rsidRPr="00000000">
        <w:rPr>
          <w:vertAlign w:val="superscript"/>
        </w:rPr>
        <w:footnoteReference w:customMarkFollows="0" w:id="40"/>
      </w:r>
      <w:r w:rsidDel="00000000" w:rsidR="00000000" w:rsidRPr="00000000">
        <w:rPr>
          <w:rtl w:val="0"/>
        </w:rPr>
        <w:t xml:space="preserve"> to provide evidence that belief in reincarnation is on the increase in the West. This paragraph references a lot of numbers and dates and makes for difficult reading as they bring in both EVS (European) and US data. These groups of people are not homogenous. In the context of their local and small scale study it does not seem relevant since the focus of this study is belief of reincarnation amongst English people. </w:t>
      </w:r>
    </w:p>
    <w:p w:rsidR="00000000" w:rsidDel="00000000" w:rsidP="00000000" w:rsidRDefault="00000000" w:rsidRPr="00000000" w14:paraId="00000099">
      <w:pPr>
        <w:ind w:left="0" w:firstLine="0"/>
        <w:rPr>
          <w:b w:val="1"/>
        </w:rPr>
      </w:pPr>
      <w:r w:rsidDel="00000000" w:rsidR="00000000" w:rsidRPr="00000000">
        <w:rPr>
          <w:rtl w:val="0"/>
        </w:rPr>
      </w:r>
    </w:p>
    <w:p w:rsidR="00000000" w:rsidDel="00000000" w:rsidP="00000000" w:rsidRDefault="00000000" w:rsidRPr="00000000" w14:paraId="0000009A">
      <w:pPr>
        <w:ind w:left="0" w:firstLine="0"/>
        <w:rPr>
          <w:b w:val="1"/>
        </w:rPr>
      </w:pPr>
      <w:r w:rsidDel="00000000" w:rsidR="00000000" w:rsidRPr="00000000">
        <w:rPr>
          <w:b w:val="1"/>
          <w:rtl w:val="0"/>
        </w:rPr>
        <w:t xml:space="preserve">Conclusion</w:t>
        <w:br w:type="textWrapping"/>
      </w:r>
    </w:p>
    <w:p w:rsidR="00000000" w:rsidDel="00000000" w:rsidP="00000000" w:rsidRDefault="00000000" w:rsidRPr="00000000" w14:paraId="0000009B">
      <w:pPr>
        <w:ind w:firstLine="720"/>
        <w:rPr/>
      </w:pPr>
      <w:r w:rsidDel="00000000" w:rsidR="00000000" w:rsidRPr="00000000">
        <w:rPr>
          <w:rtl w:val="0"/>
        </w:rPr>
        <w:t xml:space="preserve">In conclusion, as both Bell and Waters and Hennink, Hutter, and Bailey recommend, researching human beliefs is best conducted using qualitative methods or mixed methods. Both research papers compared and contrasted in this essay could have been improved upon by adhering more strictly to the highest research standards of rigour and integrity and recommended that researchers follow the most up to date University frameworks, protocols, obligations and standards when conducting research.</w:t>
      </w:r>
      <w:r w:rsidDel="00000000" w:rsidR="00000000" w:rsidRPr="00000000">
        <w:rPr>
          <w:vertAlign w:val="superscript"/>
        </w:rPr>
        <w:footnoteReference w:customMarkFollows="0" w:id="41"/>
      </w:r>
      <w:r w:rsidDel="00000000" w:rsidR="00000000" w:rsidRPr="00000000">
        <w:rPr>
          <w:rtl w:val="0"/>
        </w:rPr>
        <w:t xml:space="preserve"> In contrasting and comparing two papers with similar subject matters but differing methodologies, it is clear that the choice of relevant methodology,  a robust literature review to frame their research with an academic framework, author reflexivity and ethical considerations affect the overall quality and validity of research. </w:t>
      </w:r>
    </w:p>
    <w:p w:rsidR="00000000" w:rsidDel="00000000" w:rsidP="00000000" w:rsidRDefault="00000000" w:rsidRPr="00000000" w14:paraId="0000009C">
      <w:pPr>
        <w:ind w:firstLine="720"/>
        <w:rPr/>
      </w:pPr>
      <w:r w:rsidDel="00000000" w:rsidR="00000000" w:rsidRPr="00000000">
        <w:rPr>
          <w:rtl w:val="0"/>
        </w:rPr>
      </w:r>
    </w:p>
    <w:p w:rsidR="00000000" w:rsidDel="00000000" w:rsidP="00000000" w:rsidRDefault="00000000" w:rsidRPr="00000000" w14:paraId="0000009D">
      <w:pPr>
        <w:ind w:firstLine="720"/>
        <w:rPr/>
      </w:pPr>
      <w:r w:rsidDel="00000000" w:rsidR="00000000" w:rsidRPr="00000000">
        <w:rPr>
          <w:rtl w:val="0"/>
        </w:rPr>
      </w:r>
    </w:p>
    <w:p w:rsidR="00000000" w:rsidDel="00000000" w:rsidP="00000000" w:rsidRDefault="00000000" w:rsidRPr="00000000" w14:paraId="0000009E">
      <w:pPr>
        <w:ind w:left="0" w:firstLine="0"/>
        <w:rPr>
          <w:b w:val="1"/>
        </w:rPr>
      </w:pPr>
      <w:r w:rsidDel="00000000" w:rsidR="00000000" w:rsidRPr="00000000">
        <w:rPr>
          <w:rtl w:val="0"/>
        </w:rPr>
      </w:r>
    </w:p>
    <w:p w:rsidR="00000000" w:rsidDel="00000000" w:rsidP="00000000" w:rsidRDefault="00000000" w:rsidRPr="00000000" w14:paraId="0000009F">
      <w:pPr>
        <w:ind w:left="0" w:firstLine="0"/>
        <w:rPr>
          <w:b w:val="1"/>
        </w:rPr>
      </w:pPr>
      <w:r w:rsidDel="00000000" w:rsidR="00000000" w:rsidRPr="00000000">
        <w:rPr>
          <w:rtl w:val="0"/>
        </w:rPr>
      </w:r>
    </w:p>
    <w:p w:rsidR="00000000" w:rsidDel="00000000" w:rsidP="00000000" w:rsidRDefault="00000000" w:rsidRPr="00000000" w14:paraId="000000A0">
      <w:pPr>
        <w:ind w:left="0" w:firstLine="0"/>
        <w:rPr>
          <w:b w:val="1"/>
        </w:rPr>
      </w:pPr>
      <w:r w:rsidDel="00000000" w:rsidR="00000000" w:rsidRPr="00000000">
        <w:rPr>
          <w:b w:val="1"/>
          <w:rtl w:val="0"/>
        </w:rPr>
        <w:t xml:space="preserve">Bibliography</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Bell J. and Waters S., </w:t>
      </w:r>
      <w:r w:rsidDel="00000000" w:rsidR="00000000" w:rsidRPr="00000000">
        <w:rPr>
          <w:i w:val="1"/>
          <w:rtl w:val="0"/>
        </w:rPr>
        <w:t xml:space="preserve">Doing Your Research Project</w:t>
      </w:r>
      <w:r w:rsidDel="00000000" w:rsidR="00000000" w:rsidRPr="00000000">
        <w:rPr>
          <w:rtl w:val="0"/>
        </w:rPr>
        <w:t xml:space="preserve">, 7th Ed., New York: Open University Press/McGraw-Hill, (2017).</w:t>
      </w:r>
    </w:p>
    <w:p w:rsidR="00000000" w:rsidDel="00000000" w:rsidP="00000000" w:rsidRDefault="00000000" w:rsidRPr="00000000" w14:paraId="000000A3">
      <w:pPr>
        <w:rPr/>
      </w:pPr>
      <w:r w:rsidDel="00000000" w:rsidR="00000000" w:rsidRPr="00000000">
        <w:rPr>
          <w:rtl w:val="0"/>
        </w:rPr>
        <w:br w:type="textWrapping"/>
        <w:t xml:space="preserve">Braud W. and Anderson, R., </w:t>
      </w:r>
      <w:r w:rsidDel="00000000" w:rsidR="00000000" w:rsidRPr="00000000">
        <w:rPr>
          <w:i w:val="1"/>
          <w:rtl w:val="0"/>
        </w:rPr>
        <w:t xml:space="preserve">Transpersonal Research Methods for the Social Sciences: Honouring Human Experience</w:t>
      </w:r>
      <w:r w:rsidDel="00000000" w:rsidR="00000000" w:rsidRPr="00000000">
        <w:rPr>
          <w:rtl w:val="0"/>
        </w:rPr>
        <w:t xml:space="preserve">, California; London, Sage, (1998).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Brink, T.L., ‘Inconsistency of Belief among Roman Catholic Girls: Concerning Religion, Astrology, Reincarnation’, Review of Religious Research, Vol. 20, No. 1, Autumn, (1978).</w:t>
      </w:r>
    </w:p>
    <w:p w:rsidR="00000000" w:rsidDel="00000000" w:rsidP="00000000" w:rsidRDefault="00000000" w:rsidRPr="00000000" w14:paraId="000000A6">
      <w:pPr>
        <w:rPr/>
      </w:pPr>
      <w:r w:rsidDel="00000000" w:rsidR="00000000" w:rsidRPr="00000000">
        <w:rPr>
          <w:rtl w:val="0"/>
        </w:rPr>
        <w:br w:type="textWrapping"/>
        <w:t xml:space="preserve">Byman, A., </w:t>
      </w:r>
      <w:r w:rsidDel="00000000" w:rsidR="00000000" w:rsidRPr="00000000">
        <w:rPr>
          <w:i w:val="1"/>
          <w:rtl w:val="0"/>
        </w:rPr>
        <w:t xml:space="preserve">Quantity and Quality in Social Research, </w:t>
      </w:r>
      <w:r w:rsidDel="00000000" w:rsidR="00000000" w:rsidRPr="00000000">
        <w:rPr>
          <w:rtl w:val="0"/>
        </w:rPr>
        <w:t xml:space="preserve">London, Routledge, (2001).</w:t>
      </w:r>
    </w:p>
    <w:p w:rsidR="00000000" w:rsidDel="00000000" w:rsidP="00000000" w:rsidRDefault="00000000" w:rsidRPr="00000000" w14:paraId="000000A7">
      <w:pPr>
        <w:rPr/>
      </w:pPr>
      <w:r w:rsidDel="00000000" w:rsidR="00000000" w:rsidRPr="00000000">
        <w:rPr>
          <w:rtl w:val="0"/>
        </w:rPr>
        <w:br w:type="textWrapping"/>
        <w:t xml:space="preserve">Hennink, M., Hutter, M., and Bailey, A., </w:t>
      </w:r>
      <w:r w:rsidDel="00000000" w:rsidR="00000000" w:rsidRPr="00000000">
        <w:rPr>
          <w:i w:val="1"/>
          <w:rtl w:val="0"/>
        </w:rPr>
        <w:t xml:space="preserve">Qualitative Research Methods</w:t>
      </w:r>
      <w:r w:rsidDel="00000000" w:rsidR="00000000" w:rsidRPr="00000000">
        <w:rPr>
          <w:rtl w:val="0"/>
        </w:rPr>
        <w:t xml:space="preserve">, Los Angeles; London: Sage, (2011/2020).</w:t>
      </w:r>
    </w:p>
    <w:p w:rsidR="00000000" w:rsidDel="00000000" w:rsidP="00000000" w:rsidRDefault="00000000" w:rsidRPr="00000000" w14:paraId="000000A8">
      <w:pPr>
        <w:rPr/>
      </w:pPr>
      <w:r w:rsidDel="00000000" w:rsidR="00000000" w:rsidRPr="00000000">
        <w:rPr>
          <w:rtl w:val="0"/>
        </w:rPr>
        <w:br w:type="textWrapping"/>
        <w:t xml:space="preserve">Walter T., and Waterhouse, H., ‘A Very Private Belief: Reincarnation in Contemporary England’, Sociology of Religion, Vol. 60, No. 2, Summer, (1999).</w:t>
      </w:r>
    </w:p>
    <w:p w:rsidR="00000000" w:rsidDel="00000000" w:rsidP="00000000" w:rsidRDefault="00000000" w:rsidRPr="00000000" w14:paraId="000000A9">
      <w:pPr>
        <w:widowControl w:val="0"/>
        <w:spacing w:line="240" w:lineRule="auto"/>
        <w:rPr/>
      </w:pPr>
      <w:r w:rsidDel="00000000" w:rsidR="00000000" w:rsidRPr="00000000">
        <w:rPr>
          <w:rtl w:val="0"/>
        </w:rPr>
      </w:r>
    </w:p>
    <w:p w:rsidR="00000000" w:rsidDel="00000000" w:rsidP="00000000" w:rsidRDefault="00000000" w:rsidRPr="00000000" w14:paraId="000000AA">
      <w:pPr>
        <w:widowControl w:val="0"/>
        <w:spacing w:line="240" w:lineRule="auto"/>
        <w:rPr>
          <w:b w:val="1"/>
        </w:rPr>
      </w:pPr>
      <w:r w:rsidDel="00000000" w:rsidR="00000000" w:rsidRPr="00000000">
        <w:rPr>
          <w:b w:val="1"/>
          <w:rtl w:val="0"/>
        </w:rPr>
        <w:t xml:space="preserve">Website Links</w:t>
        <w:br w:type="textWrapping"/>
      </w:r>
    </w:p>
    <w:p w:rsidR="00000000" w:rsidDel="00000000" w:rsidP="00000000" w:rsidRDefault="00000000" w:rsidRPr="00000000" w14:paraId="000000AB">
      <w:pPr>
        <w:spacing w:line="240" w:lineRule="auto"/>
        <w:rPr/>
      </w:pPr>
      <w:r w:rsidDel="00000000" w:rsidR="00000000" w:rsidRPr="00000000">
        <w:rPr>
          <w:rtl w:val="0"/>
        </w:rPr>
        <w:t xml:space="preserve">Dr. Tony Walter Reading University Staff Page, </w:t>
      </w:r>
      <w:hyperlink r:id="rId9">
        <w:r w:rsidDel="00000000" w:rsidR="00000000" w:rsidRPr="00000000">
          <w:rPr>
            <w:color w:val="1155cc"/>
            <w:u w:val="single"/>
            <w:rtl w:val="0"/>
          </w:rPr>
          <w:t xml:space="preserve">https://www.reading.ac.uk/AcaDepts/lw/staff/tony.htm</w:t>
        </w:r>
      </w:hyperlink>
      <w:r w:rsidDel="00000000" w:rsidR="00000000" w:rsidRPr="00000000">
        <w:rPr>
          <w:rtl w:val="0"/>
        </w:rPr>
        <w:t xml:space="preserve">  [Accessed 25 February 2023].</w:t>
      </w:r>
    </w:p>
    <w:p w:rsidR="00000000" w:rsidDel="00000000" w:rsidP="00000000" w:rsidRDefault="00000000" w:rsidRPr="00000000" w14:paraId="000000AC">
      <w:pPr>
        <w:spacing w:line="240" w:lineRule="auto"/>
        <w:rPr/>
      </w:pPr>
      <w:r w:rsidDel="00000000" w:rsidR="00000000" w:rsidRPr="00000000">
        <w:rPr>
          <w:rtl w:val="0"/>
        </w:rPr>
      </w:r>
    </w:p>
    <w:p w:rsidR="00000000" w:rsidDel="00000000" w:rsidP="00000000" w:rsidRDefault="00000000" w:rsidRPr="00000000" w14:paraId="000000AD">
      <w:pPr>
        <w:spacing w:line="240" w:lineRule="auto"/>
        <w:rPr/>
      </w:pPr>
      <w:r w:rsidDel="00000000" w:rsidR="00000000" w:rsidRPr="00000000">
        <w:rPr>
          <w:rtl w:val="0"/>
        </w:rPr>
        <w:t xml:space="preserve">Dr. Tony Walter University of Bath Faculty Profile: </w:t>
      </w:r>
      <w:hyperlink r:id="rId10">
        <w:r w:rsidDel="00000000" w:rsidR="00000000" w:rsidRPr="00000000">
          <w:rPr>
            <w:color w:val="1155cc"/>
            <w:u w:val="single"/>
            <w:rtl w:val="0"/>
          </w:rPr>
          <w:t xml:space="preserve">https://researchportal.bath.ac.uk/en/persons/tony-walter</w:t>
        </w:r>
      </w:hyperlink>
      <w:r w:rsidDel="00000000" w:rsidR="00000000" w:rsidRPr="00000000">
        <w:rPr>
          <w:rtl w:val="0"/>
        </w:rPr>
        <w:t xml:space="preserve"> [Accessed 25 February 2023].</w:t>
      </w:r>
    </w:p>
    <w:p w:rsidR="00000000" w:rsidDel="00000000" w:rsidP="00000000" w:rsidRDefault="00000000" w:rsidRPr="00000000" w14:paraId="000000AE">
      <w:pPr>
        <w:widowControl w:val="0"/>
        <w:spacing w:line="240" w:lineRule="auto"/>
        <w:rPr/>
      </w:pPr>
      <w:r w:rsidDel="00000000" w:rsidR="00000000" w:rsidRPr="00000000">
        <w:rPr>
          <w:rtl w:val="0"/>
        </w:rPr>
      </w:r>
    </w:p>
    <w:p w:rsidR="00000000" w:rsidDel="00000000" w:rsidP="00000000" w:rsidRDefault="00000000" w:rsidRPr="00000000" w14:paraId="000000AF">
      <w:pPr>
        <w:spacing w:line="240" w:lineRule="auto"/>
        <w:rPr/>
      </w:pPr>
      <w:r w:rsidDel="00000000" w:rsidR="00000000" w:rsidRPr="00000000">
        <w:rPr>
          <w:rtl w:val="0"/>
        </w:rPr>
        <w:t xml:space="preserve">Helen Waterhouse PhD Dissertation Bath Spa University </w:t>
      </w:r>
      <w:hyperlink r:id="rId11">
        <w:r w:rsidDel="00000000" w:rsidR="00000000" w:rsidRPr="00000000">
          <w:rPr>
            <w:color w:val="1155cc"/>
            <w:u w:val="single"/>
            <w:rtl w:val="0"/>
          </w:rPr>
          <w:t xml:space="preserve">https://researchspace.bathspa.ac.uk/1437/</w:t>
        </w:r>
      </w:hyperlink>
      <w:r w:rsidDel="00000000" w:rsidR="00000000" w:rsidRPr="00000000">
        <w:rPr>
          <w:rtl w:val="0"/>
        </w:rPr>
        <w:t xml:space="preserve"> [Accessed 25 February 2023].</w:t>
      </w:r>
    </w:p>
    <w:p w:rsidR="00000000" w:rsidDel="00000000" w:rsidP="00000000" w:rsidRDefault="00000000" w:rsidRPr="00000000" w14:paraId="000000B0">
      <w:pPr>
        <w:spacing w:line="240" w:lineRule="auto"/>
        <w:rPr/>
      </w:pPr>
      <w:r w:rsidDel="00000000" w:rsidR="00000000" w:rsidRPr="00000000">
        <w:rPr>
          <w:rtl w:val="0"/>
        </w:rPr>
      </w:r>
    </w:p>
    <w:p w:rsidR="00000000" w:rsidDel="00000000" w:rsidP="00000000" w:rsidRDefault="00000000" w:rsidRPr="00000000" w14:paraId="000000B1">
      <w:pPr>
        <w:spacing w:line="240" w:lineRule="auto"/>
        <w:rPr/>
      </w:pPr>
      <w:r w:rsidDel="00000000" w:rsidR="00000000" w:rsidRPr="00000000">
        <w:rPr>
          <w:rtl w:val="0"/>
        </w:rPr>
        <w:t xml:space="preserve">Notre Dame De Namur University Website, </w:t>
      </w:r>
      <w:hyperlink r:id="rId12">
        <w:r w:rsidDel="00000000" w:rsidR="00000000" w:rsidRPr="00000000">
          <w:rPr>
            <w:rtl w:val="0"/>
          </w:rPr>
          <w:t xml:space="preserve">https://www.ndnu.edu/</w:t>
        </w:r>
      </w:hyperlink>
      <w:r w:rsidDel="00000000" w:rsidR="00000000" w:rsidRPr="00000000">
        <w:rPr>
          <w:rtl w:val="0"/>
        </w:rPr>
        <w:t xml:space="preserve">. [Accessed 25 February, 2023].</w:t>
      </w:r>
    </w:p>
    <w:p w:rsidR="00000000" w:rsidDel="00000000" w:rsidP="00000000" w:rsidRDefault="00000000" w:rsidRPr="00000000" w14:paraId="000000B2">
      <w:pPr>
        <w:widowControl w:val="0"/>
        <w:spacing w:line="240" w:lineRule="auto"/>
        <w:rPr/>
      </w:pPr>
      <w:r w:rsidDel="00000000" w:rsidR="00000000" w:rsidRPr="00000000">
        <w:rPr>
          <w:rtl w:val="0"/>
        </w:rPr>
        <w:br w:type="textWrapping"/>
        <w:t xml:space="preserve">T.L. Brinks Crafton Hills Pychology Faculty Profile, </w:t>
      </w:r>
      <w:hyperlink r:id="rId13">
        <w:r w:rsidDel="00000000" w:rsidR="00000000" w:rsidRPr="00000000">
          <w:rPr>
            <w:rtl w:val="0"/>
          </w:rPr>
          <w:t xml:space="preserve">https://www.craftonhills.edu/academic-and-career-programs/divs-and-depts/career-ed-and-human-dev/human-development/psychology/faculty.</w:t>
        </w:r>
      </w:hyperlink>
      <w:r w:rsidDel="00000000" w:rsidR="00000000" w:rsidRPr="00000000">
        <w:rPr>
          <w:rtl w:val="0"/>
        </w:rPr>
        <w:t xml:space="preserve">php</w:t>
      </w:r>
      <w:r w:rsidDel="00000000" w:rsidR="00000000" w:rsidRPr="00000000">
        <w:rPr>
          <w:rtl w:val="0"/>
        </w:rPr>
        <w:t xml:space="preserve"> [Accessed 25 February 2023.]</w:t>
      </w:r>
    </w:p>
    <w:p w:rsidR="00000000" w:rsidDel="00000000" w:rsidP="00000000" w:rsidRDefault="00000000" w:rsidRPr="00000000" w14:paraId="000000B3">
      <w:pPr>
        <w:widowControl w:val="0"/>
        <w:spacing w:line="240" w:lineRule="auto"/>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T.L Brink Personal Webpage, </w:t>
      </w:r>
      <w:hyperlink r:id="rId14">
        <w:r w:rsidDel="00000000" w:rsidR="00000000" w:rsidRPr="00000000">
          <w:rPr>
            <w:color w:val="1155cc"/>
            <w:u w:val="single"/>
            <w:rtl w:val="0"/>
          </w:rPr>
          <w:t xml:space="preserve">https://works.bepress.com/tlbrink/about/</w:t>
        </w:r>
      </w:hyperlink>
      <w:r w:rsidDel="00000000" w:rsidR="00000000" w:rsidRPr="00000000">
        <w:rPr>
          <w:rtl w:val="0"/>
        </w:rPr>
        <w:t xml:space="preserve">,  [Accessed 25 February 2023].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6">
      <w:pPr>
        <w:spacing w:line="240" w:lineRule="auto"/>
        <w:rPr/>
      </w:pPr>
      <w:r w:rsidDel="00000000" w:rsidR="00000000" w:rsidRPr="00000000">
        <w:rPr>
          <w:rtl w:val="0"/>
        </w:rPr>
      </w:r>
    </w:p>
    <w:p w:rsidR="00000000" w:rsidDel="00000000" w:rsidP="00000000" w:rsidRDefault="00000000" w:rsidRPr="00000000" w14:paraId="000000B7">
      <w:pPr>
        <w:spacing w:line="240" w:lineRule="auto"/>
        <w:rPr>
          <w:sz w:val="18"/>
          <w:szCs w:val="18"/>
        </w:rPr>
      </w:pPr>
      <w:r w:rsidDel="00000000" w:rsidR="00000000" w:rsidRPr="00000000">
        <w:rPr>
          <w:rtl w:val="0"/>
        </w:rPr>
      </w:r>
    </w:p>
    <w:p w:rsidR="00000000" w:rsidDel="00000000" w:rsidP="00000000" w:rsidRDefault="00000000" w:rsidRPr="00000000" w14:paraId="000000B8">
      <w:pPr>
        <w:spacing w:line="240" w:lineRule="auto"/>
        <w:rPr>
          <w:sz w:val="18"/>
          <w:szCs w:val="18"/>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B">
      <w:pPr>
        <w:spacing w:line="240" w:lineRule="auto"/>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D">
      <w:pPr>
        <w:widowControl w:val="0"/>
        <w:spacing w:line="240" w:lineRule="auto"/>
        <w:rPr/>
      </w:pPr>
      <w:r w:rsidDel="00000000" w:rsidR="00000000" w:rsidRPr="00000000">
        <w:rPr>
          <w:rtl w:val="0"/>
        </w:rPr>
      </w:r>
    </w:p>
    <w:sectPr>
      <w:headerReference r:id="rId15" w:type="default"/>
      <w:headerReference r:id="rId16" w:type="first"/>
      <w:footerReference r:id="rId17" w:type="default"/>
      <w:footerReference r:id="rId1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1">
    <w:p w:rsidR="00000000" w:rsidDel="00000000" w:rsidP="00000000" w:rsidRDefault="00000000" w:rsidRPr="00000000" w14:paraId="000000BE">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Tony Walter and Helen Waterhouse, ‘A Very Private Belief’, (1999), p.187.</w:t>
      </w:r>
      <w:r w:rsidDel="00000000" w:rsidR="00000000" w:rsidRPr="00000000">
        <w:rPr>
          <w:rtl w:val="0"/>
        </w:rPr>
      </w:r>
    </w:p>
  </w:footnote>
  <w:footnote w:id="25">
    <w:p w:rsidR="00000000" w:rsidDel="00000000" w:rsidP="00000000" w:rsidRDefault="00000000" w:rsidRPr="00000000" w14:paraId="000000BF">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Judith Bell and Stephen Waters, ‘Doing Your Research Project’, (2017), p.64.</w:t>
      </w:r>
      <w:r w:rsidDel="00000000" w:rsidR="00000000" w:rsidRPr="00000000">
        <w:rPr>
          <w:rtl w:val="0"/>
        </w:rPr>
      </w:r>
    </w:p>
  </w:footnote>
  <w:footnote w:id="26">
    <w:p w:rsidR="00000000" w:rsidDel="00000000" w:rsidP="00000000" w:rsidRDefault="00000000" w:rsidRPr="00000000" w14:paraId="000000C0">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Judith Bell and Stephen Waters, ‘Doing Your Research Project’, (2017), p. 66.</w:t>
      </w:r>
      <w:r w:rsidDel="00000000" w:rsidR="00000000" w:rsidRPr="00000000">
        <w:rPr>
          <w:rtl w:val="0"/>
        </w:rPr>
      </w:r>
    </w:p>
  </w:footnote>
  <w:footnote w:id="4">
    <w:p w:rsidR="00000000" w:rsidDel="00000000" w:rsidP="00000000" w:rsidRDefault="00000000" w:rsidRPr="00000000" w14:paraId="000000C1">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T.L. Brink, ‘Inconsistency of Belief ‘, (Autumn., 1978). p. 82.</w:t>
      </w:r>
      <w:r w:rsidDel="00000000" w:rsidR="00000000" w:rsidRPr="00000000">
        <w:rPr>
          <w:rtl w:val="0"/>
        </w:rPr>
      </w:r>
    </w:p>
  </w:footnote>
  <w:footnote w:id="27">
    <w:p w:rsidR="00000000" w:rsidDel="00000000" w:rsidP="00000000" w:rsidRDefault="00000000" w:rsidRPr="00000000" w14:paraId="000000C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‘Inconsistency of Belief’, (1978), p.83.</w:t>
      </w:r>
    </w:p>
  </w:footnote>
  <w:footnote w:id="38">
    <w:p w:rsidR="00000000" w:rsidDel="00000000" w:rsidP="00000000" w:rsidRDefault="00000000" w:rsidRPr="00000000" w14:paraId="000000C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‘Inconsistency of Belief’, (1978), p. 82.</w:t>
      </w:r>
    </w:p>
  </w:footnote>
  <w:footnote w:id="29">
    <w:p w:rsidR="00000000" w:rsidDel="00000000" w:rsidP="00000000" w:rsidRDefault="00000000" w:rsidRPr="00000000" w14:paraId="000000C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p.67.</w:t>
      </w:r>
    </w:p>
  </w:footnote>
  <w:footnote w:id="0">
    <w:p w:rsidR="00000000" w:rsidDel="00000000" w:rsidP="00000000" w:rsidRDefault="00000000" w:rsidRPr="00000000" w14:paraId="000000C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Crafton Hills Psychology Faculty Profile, </w:t>
      </w:r>
      <w:hyperlink r:id="rId1">
        <w:r w:rsidDel="00000000" w:rsidR="00000000" w:rsidRPr="00000000">
          <w:rPr>
            <w:sz w:val="18"/>
            <w:szCs w:val="18"/>
            <w:rtl w:val="0"/>
          </w:rPr>
          <w:t xml:space="preserve">https://www.craftonhills.edu/academic-and-career-programs/divs-and-depts/career-ed-and-human-dev/human-development/psychology/faculty</w:t>
        </w:r>
      </w:hyperlink>
      <w:r w:rsidDel="00000000" w:rsidR="00000000" w:rsidRPr="00000000">
        <w:rPr>
          <w:sz w:val="18"/>
          <w:szCs w:val="18"/>
          <w:rtl w:val="0"/>
        </w:rPr>
        <w:t xml:space="preserve">.php</w:t>
      </w:r>
      <w:r w:rsidDel="00000000" w:rsidR="00000000" w:rsidRPr="00000000">
        <w:rPr>
          <w:sz w:val="18"/>
          <w:szCs w:val="18"/>
          <w:rtl w:val="0"/>
        </w:rPr>
        <w:t xml:space="preserve">, [</w:t>
      </w:r>
      <w:r w:rsidDel="00000000" w:rsidR="00000000" w:rsidRPr="00000000">
        <w:rPr>
          <w:sz w:val="18"/>
          <w:szCs w:val="18"/>
          <w:rtl w:val="0"/>
        </w:rPr>
        <w:t xml:space="preserve">Accessed 25 February 2023]. </w:t>
      </w:r>
    </w:p>
  </w:footnote>
  <w:footnote w:id="2">
    <w:p w:rsidR="00000000" w:rsidDel="00000000" w:rsidP="00000000" w:rsidRDefault="00000000" w:rsidRPr="00000000" w14:paraId="000000C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Crafton Hills Psychology Faculty Profile,  [Accessed 25 February 2023]. </w:t>
      </w:r>
    </w:p>
  </w:footnote>
  <w:footnote w:id="13">
    <w:p w:rsidR="00000000" w:rsidDel="00000000" w:rsidP="00000000" w:rsidRDefault="00000000" w:rsidRPr="00000000" w14:paraId="000000C7">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Monique Hennink, Inge Hutter, and Ajay Bailey, </w:t>
      </w:r>
      <w:r w:rsidDel="00000000" w:rsidR="00000000" w:rsidRPr="00000000">
        <w:rPr>
          <w:i w:val="1"/>
          <w:sz w:val="18"/>
          <w:szCs w:val="18"/>
          <w:rtl w:val="0"/>
        </w:rPr>
        <w:t xml:space="preserve">Qualitative Research Methods</w:t>
      </w:r>
      <w:r w:rsidDel="00000000" w:rsidR="00000000" w:rsidRPr="00000000">
        <w:rPr>
          <w:sz w:val="18"/>
          <w:szCs w:val="18"/>
          <w:rtl w:val="0"/>
        </w:rPr>
        <w:t xml:space="preserve">, Los Angeles; Lond: Sage, (2011/2020), pp.16-17.</w:t>
      </w:r>
      <w:r w:rsidDel="00000000" w:rsidR="00000000" w:rsidRPr="00000000">
        <w:rPr>
          <w:rtl w:val="0"/>
        </w:rPr>
      </w:r>
    </w:p>
  </w:footnote>
  <w:footnote w:id="20">
    <w:p w:rsidR="00000000" w:rsidDel="00000000" w:rsidP="00000000" w:rsidRDefault="00000000" w:rsidRPr="00000000" w14:paraId="000000C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Monique Hennink, Inge Hutter, and Ajay Bailey, </w:t>
      </w:r>
      <w:r w:rsidDel="00000000" w:rsidR="00000000" w:rsidRPr="00000000">
        <w:rPr>
          <w:i w:val="1"/>
          <w:sz w:val="18"/>
          <w:szCs w:val="18"/>
          <w:rtl w:val="0"/>
        </w:rPr>
        <w:t xml:space="preserve">Qualitative Research Methods</w:t>
      </w:r>
      <w:r w:rsidDel="00000000" w:rsidR="00000000" w:rsidRPr="00000000">
        <w:rPr>
          <w:sz w:val="18"/>
          <w:szCs w:val="18"/>
          <w:rtl w:val="0"/>
        </w:rPr>
        <w:t xml:space="preserve">, (2011/2020), p 17.</w:t>
      </w:r>
    </w:p>
  </w:footnote>
  <w:footnote w:id="1">
    <w:p w:rsidR="00000000" w:rsidDel="00000000" w:rsidP="00000000" w:rsidRDefault="00000000" w:rsidRPr="00000000" w14:paraId="000000C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Personal Webpage, </w:t>
      </w:r>
      <w:hyperlink r:id="rId2">
        <w:r w:rsidDel="00000000" w:rsidR="00000000" w:rsidRPr="00000000">
          <w:rPr>
            <w:color w:val="1155cc"/>
            <w:sz w:val="18"/>
            <w:szCs w:val="18"/>
            <w:u w:val="single"/>
            <w:rtl w:val="0"/>
          </w:rPr>
          <w:t xml:space="preserve">https://works.bepress.com/tlbrink/about/</w:t>
        </w:r>
      </w:hyperlink>
      <w:r w:rsidDel="00000000" w:rsidR="00000000" w:rsidRPr="00000000">
        <w:rPr>
          <w:sz w:val="18"/>
          <w:szCs w:val="18"/>
          <w:rtl w:val="0"/>
        </w:rPr>
        <w:t xml:space="preserve">,  [Accessed 25 February 2023]. </w:t>
      </w:r>
    </w:p>
  </w:footnote>
  <w:footnote w:id="5">
    <w:p w:rsidR="00000000" w:rsidDel="00000000" w:rsidP="00000000" w:rsidRDefault="00000000" w:rsidRPr="00000000" w14:paraId="000000C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Dr. Tony Walter University of Bath Faculty Profile: </w:t>
      </w:r>
      <w:hyperlink r:id="rId3">
        <w:r w:rsidDel="00000000" w:rsidR="00000000" w:rsidRPr="00000000">
          <w:rPr>
            <w:color w:val="1155cc"/>
            <w:sz w:val="18"/>
            <w:szCs w:val="18"/>
            <w:u w:val="single"/>
            <w:rtl w:val="0"/>
          </w:rPr>
          <w:t xml:space="preserve">https://researchportal.bath.ac.uk/en/persons/tony-walter</w:t>
        </w:r>
      </w:hyperlink>
      <w:r w:rsidDel="00000000" w:rsidR="00000000" w:rsidRPr="00000000">
        <w:rPr>
          <w:sz w:val="18"/>
          <w:szCs w:val="18"/>
          <w:rtl w:val="0"/>
        </w:rPr>
        <w:t xml:space="preserve"> [Accessed 25 February 2023].</w:t>
      </w:r>
    </w:p>
  </w:footnote>
  <w:footnote w:id="9">
    <w:p w:rsidR="00000000" w:rsidDel="00000000" w:rsidP="00000000" w:rsidRDefault="00000000" w:rsidRPr="00000000" w14:paraId="000000C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‘Inconsistency of Belief among Roman Catholic Girls: Concerning Religion, Astrology, Reincarnation’, Review of Religious Research, Vol. 20, No. 1, Autumn, (1978), p. 82.</w:t>
      </w:r>
    </w:p>
  </w:footnote>
  <w:footnote w:id="10">
    <w:p w:rsidR="00000000" w:rsidDel="00000000" w:rsidP="00000000" w:rsidRDefault="00000000" w:rsidRPr="00000000" w14:paraId="000000CC">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Tony Walter T. and Helen Waterhouse, ‘A Very Private Belief: Reincarnation in Contemporary England’, Sociology of Religion, Vol. 60, No. 2, Summer, (1999), p. 187.</w:t>
      </w:r>
      <w:r w:rsidDel="00000000" w:rsidR="00000000" w:rsidRPr="00000000">
        <w:rPr>
          <w:rtl w:val="0"/>
        </w:rPr>
      </w:r>
    </w:p>
  </w:footnote>
  <w:footnote w:id="7">
    <w:p w:rsidR="00000000" w:rsidDel="00000000" w:rsidP="00000000" w:rsidRDefault="00000000" w:rsidRPr="00000000" w14:paraId="000000C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Helen Waterhouse PhD Dissertation Bath Spa University </w:t>
      </w:r>
      <w:hyperlink r:id="rId4">
        <w:r w:rsidDel="00000000" w:rsidR="00000000" w:rsidRPr="00000000">
          <w:rPr>
            <w:color w:val="1155cc"/>
            <w:sz w:val="18"/>
            <w:szCs w:val="18"/>
            <w:u w:val="single"/>
            <w:rtl w:val="0"/>
          </w:rPr>
          <w:t xml:space="preserve">https://researchspace.bathspa.ac.uk/1437/</w:t>
        </w:r>
      </w:hyperlink>
      <w:r w:rsidDel="00000000" w:rsidR="00000000" w:rsidRPr="00000000">
        <w:rPr>
          <w:sz w:val="18"/>
          <w:szCs w:val="18"/>
          <w:rtl w:val="0"/>
        </w:rPr>
        <w:t xml:space="preserve"> [Accessed 25 February 2023].</w:t>
      </w:r>
    </w:p>
  </w:footnote>
  <w:footnote w:id="8">
    <w:p w:rsidR="00000000" w:rsidDel="00000000" w:rsidP="00000000" w:rsidRDefault="00000000" w:rsidRPr="00000000" w14:paraId="000000C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w:t>
      </w:r>
      <w:r w:rsidDel="00000000" w:rsidR="00000000" w:rsidRPr="00000000">
        <w:rPr>
          <w:i w:val="1"/>
          <w:sz w:val="18"/>
          <w:szCs w:val="18"/>
          <w:rtl w:val="0"/>
        </w:rPr>
        <w:t xml:space="preserve">Doing Your Research Project</w:t>
      </w:r>
      <w:r w:rsidDel="00000000" w:rsidR="00000000" w:rsidRPr="00000000">
        <w:rPr>
          <w:sz w:val="18"/>
          <w:szCs w:val="18"/>
          <w:rtl w:val="0"/>
        </w:rPr>
        <w:t xml:space="preserve">, 7th Ed., New York: Open University Press/McGraw-Hill (2017), p.25.</w:t>
      </w:r>
    </w:p>
  </w:footnote>
  <w:footnote w:id="11">
    <w:p w:rsidR="00000000" w:rsidDel="00000000" w:rsidP="00000000" w:rsidRDefault="00000000" w:rsidRPr="00000000" w14:paraId="000000CF">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T.L Brink, ‘Inconsistency of Belief’, (1978), p.83.</w:t>
      </w:r>
      <w:r w:rsidDel="00000000" w:rsidR="00000000" w:rsidRPr="00000000">
        <w:rPr>
          <w:rtl w:val="0"/>
        </w:rPr>
      </w:r>
    </w:p>
  </w:footnote>
  <w:footnote w:id="12">
    <w:p w:rsidR="00000000" w:rsidDel="00000000" w:rsidP="00000000" w:rsidRDefault="00000000" w:rsidRPr="00000000" w14:paraId="000000D0">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Tony Walter and Helen Waterhouse, ‘A Very Private Belief’, (1999),  p.187.</w:t>
      </w:r>
      <w:r w:rsidDel="00000000" w:rsidR="00000000" w:rsidRPr="00000000">
        <w:rPr>
          <w:rtl w:val="0"/>
        </w:rPr>
      </w:r>
    </w:p>
  </w:footnote>
  <w:footnote w:id="16">
    <w:p w:rsidR="00000000" w:rsidDel="00000000" w:rsidP="00000000" w:rsidRDefault="00000000" w:rsidRPr="00000000" w14:paraId="000000D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p.25</w:t>
      </w:r>
    </w:p>
  </w:footnote>
  <w:footnote w:id="32">
    <w:p w:rsidR="00000000" w:rsidDel="00000000" w:rsidP="00000000" w:rsidRDefault="00000000" w:rsidRPr="00000000" w14:paraId="000000D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Tony Walter and Helen Waterhouse, ‘A Very Private Belief’, (1999), p.189.</w:t>
      </w:r>
    </w:p>
  </w:footnote>
  <w:footnote w:id="21">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pp.286-87.</w:t>
      </w:r>
    </w:p>
  </w:footnote>
  <w:footnote w:id="22">
    <w:p w:rsidR="00000000" w:rsidDel="00000000" w:rsidP="00000000" w:rsidRDefault="00000000" w:rsidRPr="00000000" w14:paraId="000000D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pp.289-93.</w:t>
      </w:r>
    </w:p>
  </w:footnote>
  <w:footnote w:id="17">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p.24</w:t>
      </w:r>
    </w:p>
  </w:footnote>
  <w:footnote w:id="18">
    <w:p w:rsidR="00000000" w:rsidDel="00000000" w:rsidP="00000000" w:rsidRDefault="00000000" w:rsidRPr="00000000" w14:paraId="000000D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p.26</w:t>
      </w:r>
    </w:p>
  </w:footnote>
  <w:footnote w:id="19">
    <w:p w:rsidR="00000000" w:rsidDel="00000000" w:rsidP="00000000" w:rsidRDefault="00000000" w:rsidRPr="00000000" w14:paraId="000000D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Bell and Stephen Waters, ‘Doing Your Research Project’, (2017), p.24.</w:t>
      </w:r>
    </w:p>
  </w:footnote>
  <w:footnote w:id="23">
    <w:p w:rsidR="00000000" w:rsidDel="00000000" w:rsidP="00000000" w:rsidRDefault="00000000" w:rsidRPr="00000000" w14:paraId="000000D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Monique Hennink, Inge Hutter, and Ajay Bailey, </w:t>
      </w:r>
      <w:r w:rsidDel="00000000" w:rsidR="00000000" w:rsidRPr="00000000">
        <w:rPr>
          <w:i w:val="1"/>
          <w:sz w:val="18"/>
          <w:szCs w:val="18"/>
          <w:rtl w:val="0"/>
        </w:rPr>
        <w:t xml:space="preserve">Qualitative Research Methods</w:t>
      </w:r>
      <w:r w:rsidDel="00000000" w:rsidR="00000000" w:rsidRPr="00000000">
        <w:rPr>
          <w:sz w:val="18"/>
          <w:szCs w:val="18"/>
          <w:rtl w:val="0"/>
        </w:rPr>
        <w:t xml:space="preserve">, (2011/2020), p 15.</w:t>
      </w:r>
    </w:p>
  </w:footnote>
  <w:footnote w:id="24">
    <w:p w:rsidR="00000000" w:rsidDel="00000000" w:rsidP="00000000" w:rsidRDefault="00000000" w:rsidRPr="00000000" w14:paraId="000000D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Monique Hennink, Inge Hutter, and Ajay Bailey, </w:t>
      </w:r>
      <w:r w:rsidDel="00000000" w:rsidR="00000000" w:rsidRPr="00000000">
        <w:rPr>
          <w:i w:val="1"/>
          <w:sz w:val="18"/>
          <w:szCs w:val="18"/>
          <w:rtl w:val="0"/>
        </w:rPr>
        <w:t xml:space="preserve">Qualitative Research Methods</w:t>
      </w:r>
      <w:r w:rsidDel="00000000" w:rsidR="00000000" w:rsidRPr="00000000">
        <w:rPr>
          <w:sz w:val="18"/>
          <w:szCs w:val="18"/>
          <w:rtl w:val="0"/>
        </w:rPr>
        <w:t xml:space="preserve">, (2011/2020), p. 19.</w:t>
      </w:r>
    </w:p>
  </w:footnote>
  <w:footnote w:id="39">
    <w:p w:rsidR="00000000" w:rsidDel="00000000" w:rsidP="00000000" w:rsidRDefault="00000000" w:rsidRPr="00000000" w14:paraId="000000D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T.L Brink, ‘Inconsistency of Belief’, (1978), pp. 84-5.</w:t>
      </w:r>
    </w:p>
  </w:footnote>
  <w:footnote w:id="3">
    <w:p w:rsidR="00000000" w:rsidDel="00000000" w:rsidP="00000000" w:rsidRDefault="00000000" w:rsidRPr="00000000" w14:paraId="000000E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Notre Dame De Namur University Website, </w:t>
      </w:r>
      <w:hyperlink r:id="rId5">
        <w:r w:rsidDel="00000000" w:rsidR="00000000" w:rsidRPr="00000000">
          <w:rPr>
            <w:sz w:val="18"/>
            <w:szCs w:val="18"/>
            <w:rtl w:val="0"/>
          </w:rPr>
          <w:t xml:space="preserve">https://www.ndnu.edu/</w:t>
        </w:r>
      </w:hyperlink>
      <w:r w:rsidDel="00000000" w:rsidR="00000000" w:rsidRPr="00000000">
        <w:rPr>
          <w:sz w:val="18"/>
          <w:szCs w:val="18"/>
          <w:rtl w:val="0"/>
        </w:rPr>
        <w:t xml:space="preserve">. [Accessed 25 February, 2023].</w:t>
      </w:r>
    </w:p>
  </w:footnote>
  <w:footnote w:id="14">
    <w:p w:rsidR="00000000" w:rsidDel="00000000" w:rsidP="00000000" w:rsidRDefault="00000000" w:rsidRPr="00000000" w14:paraId="000000E1">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Alan Byman, </w:t>
      </w:r>
      <w:r w:rsidDel="00000000" w:rsidR="00000000" w:rsidRPr="00000000">
        <w:rPr>
          <w:i w:val="1"/>
          <w:sz w:val="18"/>
          <w:szCs w:val="18"/>
          <w:rtl w:val="0"/>
        </w:rPr>
        <w:t xml:space="preserve">Quantity and Quality in Social Research, </w:t>
      </w:r>
      <w:r w:rsidDel="00000000" w:rsidR="00000000" w:rsidRPr="00000000">
        <w:rPr>
          <w:sz w:val="18"/>
          <w:szCs w:val="18"/>
          <w:rtl w:val="0"/>
        </w:rPr>
        <w:t xml:space="preserve">London, Routledge, (2001) p. 126.</w:t>
      </w:r>
      <w:r w:rsidDel="00000000" w:rsidR="00000000" w:rsidRPr="00000000">
        <w:rPr>
          <w:rtl w:val="0"/>
        </w:rPr>
      </w:r>
    </w:p>
  </w:footnote>
  <w:footnote w:id="15">
    <w:p w:rsidR="00000000" w:rsidDel="00000000" w:rsidP="00000000" w:rsidRDefault="00000000" w:rsidRPr="00000000" w14:paraId="000000E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Alan Byman, </w:t>
      </w:r>
      <w:r w:rsidDel="00000000" w:rsidR="00000000" w:rsidRPr="00000000">
        <w:rPr>
          <w:i w:val="1"/>
          <w:sz w:val="18"/>
          <w:szCs w:val="18"/>
          <w:rtl w:val="0"/>
        </w:rPr>
        <w:t xml:space="preserve">Quantity and Quality in Social Research, </w:t>
      </w:r>
      <w:r w:rsidDel="00000000" w:rsidR="00000000" w:rsidRPr="00000000">
        <w:rPr>
          <w:sz w:val="18"/>
          <w:szCs w:val="18"/>
          <w:rtl w:val="0"/>
        </w:rPr>
        <w:t xml:space="preserve">(</w:t>
      </w:r>
      <w:r w:rsidDel="00000000" w:rsidR="00000000" w:rsidRPr="00000000">
        <w:rPr>
          <w:sz w:val="18"/>
          <w:szCs w:val="18"/>
          <w:rtl w:val="0"/>
        </w:rPr>
        <w:t xml:space="preserve">2001), p.93.</w:t>
      </w:r>
    </w:p>
  </w:footnote>
  <w:footnote w:id="30">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T.L Brink, ‘Inconsistency of Belief’, (1978), p.83.</w:t>
      </w:r>
      <w:r w:rsidDel="00000000" w:rsidR="00000000" w:rsidRPr="00000000">
        <w:rPr>
          <w:rtl w:val="0"/>
        </w:rPr>
      </w:r>
    </w:p>
  </w:footnote>
  <w:footnote w:id="34">
    <w:p w:rsidR="00000000" w:rsidDel="00000000" w:rsidP="00000000" w:rsidRDefault="00000000" w:rsidRPr="00000000" w14:paraId="000000E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Tony Walter and Helen Waterhouse, ‘A Very Private Belief’, (1999), p.191.</w:t>
      </w:r>
    </w:p>
  </w:footnote>
  <w:footnote w:id="35">
    <w:p w:rsidR="00000000" w:rsidDel="00000000" w:rsidP="00000000" w:rsidRDefault="00000000" w:rsidRPr="00000000" w14:paraId="000000E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Braud and Rosemarie Anderson, </w:t>
      </w:r>
      <w:r w:rsidDel="00000000" w:rsidR="00000000" w:rsidRPr="00000000">
        <w:rPr>
          <w:i w:val="1"/>
          <w:sz w:val="18"/>
          <w:szCs w:val="18"/>
          <w:rtl w:val="0"/>
        </w:rPr>
        <w:t xml:space="preserve">Transpersonal Research Methods for the Social Sciences: Honouring Human Experience</w:t>
      </w:r>
      <w:r w:rsidDel="00000000" w:rsidR="00000000" w:rsidRPr="00000000">
        <w:rPr>
          <w:sz w:val="18"/>
          <w:szCs w:val="18"/>
          <w:rtl w:val="0"/>
        </w:rPr>
        <w:t xml:space="preserve">, California, Sage, (1998). </w:t>
      </w:r>
    </w:p>
  </w:footnote>
  <w:footnote w:id="33">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Tony Walter and Helen Waterhouse, ‘A Very Private Belief’, (1999), p.193.</w:t>
      </w:r>
      <w:r w:rsidDel="00000000" w:rsidR="00000000" w:rsidRPr="00000000">
        <w:rPr>
          <w:rtl w:val="0"/>
        </w:rPr>
      </w:r>
    </w:p>
  </w:footnote>
  <w:footnote w:id="40">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Tony Walter and Helen Waterhouse, ‘A Very Private Belief’, (1999),  p.188.</w:t>
      </w:r>
      <w:r w:rsidDel="00000000" w:rsidR="00000000" w:rsidRPr="00000000">
        <w:rPr>
          <w:rtl w:val="0"/>
        </w:rPr>
      </w:r>
    </w:p>
  </w:footnote>
  <w:footnote w:id="36">
    <w:p w:rsidR="00000000" w:rsidDel="00000000" w:rsidP="00000000" w:rsidRDefault="00000000" w:rsidRPr="00000000" w14:paraId="000000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T.L Brink, ‘Inconsistency of Belief’, (1978), p. 82.</w:t>
      </w:r>
      <w:r w:rsidDel="00000000" w:rsidR="00000000" w:rsidRPr="00000000">
        <w:rPr>
          <w:rtl w:val="0"/>
        </w:rPr>
      </w:r>
    </w:p>
  </w:footnote>
  <w:footnote w:id="37">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4"/>
          <w:szCs w:val="14"/>
          <w:rtl w:val="0"/>
        </w:rPr>
        <w:t xml:space="preserve"> </w:t>
      </w:r>
      <w:r w:rsidDel="00000000" w:rsidR="00000000" w:rsidRPr="00000000">
        <w:rPr>
          <w:sz w:val="18"/>
          <w:szCs w:val="18"/>
          <w:rtl w:val="0"/>
        </w:rPr>
        <w:t xml:space="preserve">Tony Walter and Helen Waterhouse, ‘A Very Private Belief’, (1999), p.197.</w:t>
      </w:r>
      <w:r w:rsidDel="00000000" w:rsidR="00000000" w:rsidRPr="00000000">
        <w:rPr>
          <w:rtl w:val="0"/>
        </w:rPr>
      </w:r>
    </w:p>
  </w:footnote>
  <w:footnote w:id="41">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4"/>
          <w:szCs w:val="14"/>
          <w:rtl w:val="0"/>
        </w:rPr>
        <w:t xml:space="preserve"> </w:t>
      </w:r>
      <w:r w:rsidDel="00000000" w:rsidR="00000000" w:rsidRPr="00000000">
        <w:rPr>
          <w:sz w:val="18"/>
          <w:szCs w:val="18"/>
          <w:rtl w:val="0"/>
        </w:rPr>
        <w:t xml:space="preserve">Judith Bell and Stephen Waters, ‘Doing Your Research Project’, (2017), p.19.</w:t>
      </w:r>
      <w:r w:rsidDel="00000000" w:rsidR="00000000" w:rsidRPr="00000000">
        <w:rPr>
          <w:rtl w:val="0"/>
        </w:rPr>
      </w:r>
    </w:p>
  </w:footnote>
  <w:footnote w:id="6">
    <w:p w:rsidR="00000000" w:rsidDel="00000000" w:rsidP="00000000" w:rsidRDefault="00000000" w:rsidRPr="00000000" w14:paraId="000000E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Dr. Tony Walter Reading University Staff Page, </w:t>
      </w:r>
      <w:hyperlink r:id="rId6">
        <w:r w:rsidDel="00000000" w:rsidR="00000000" w:rsidRPr="00000000">
          <w:rPr>
            <w:color w:val="1155cc"/>
            <w:sz w:val="18"/>
            <w:szCs w:val="18"/>
            <w:u w:val="single"/>
            <w:rtl w:val="0"/>
          </w:rPr>
          <w:t xml:space="preserve">https://www.reading.ac.uk/AcaDepts/lw/staff/tony.htm</w:t>
        </w:r>
      </w:hyperlink>
      <w:r w:rsidDel="00000000" w:rsidR="00000000" w:rsidRPr="00000000">
        <w:rPr>
          <w:sz w:val="18"/>
          <w:szCs w:val="18"/>
          <w:rtl w:val="0"/>
        </w:rPr>
        <w:t xml:space="preserve">  [Accessed 25 February 2023].</w:t>
      </w:r>
    </w:p>
  </w:footnote>
  <w:footnote w:id="28">
    <w:p w:rsidR="00000000" w:rsidDel="00000000" w:rsidP="00000000" w:rsidRDefault="00000000" w:rsidRPr="00000000" w14:paraId="000000E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 Judith Bell and Stephen Waters, ‘Doing Your Research Project’, (2017), p.34.</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rPr>
        <w:rFonts w:ascii="Calibri" w:cs="Calibri" w:eastAsia="Calibri" w:hAnsi="Calibri"/>
        <w:b w:val="1"/>
      </w:rPr>
    </w:pPr>
    <w:r w:rsidDel="00000000" w:rsidR="00000000" w:rsidRPr="00000000">
      <w:rPr>
        <w:rFonts w:ascii="Calibri" w:cs="Calibri" w:eastAsia="Calibri" w:hAnsi="Calibri"/>
        <w:b w:val="1"/>
        <w:rtl w:val="0"/>
      </w:rPr>
      <w:t xml:space="preserve">Katherine Azima – 2219013</w:t>
    </w:r>
  </w:p>
  <w:p w:rsidR="00000000" w:rsidDel="00000000" w:rsidP="00000000" w:rsidRDefault="00000000" w:rsidRPr="00000000" w14:paraId="000000D3">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researchspace.bathspa.ac.uk/1437/" TargetMode="External"/><Relationship Id="rId10" Type="http://schemas.openxmlformats.org/officeDocument/2006/relationships/hyperlink" Target="https://researchportal.bath.ac.uk/en/persons/tony-walter" TargetMode="External"/><Relationship Id="rId13" Type="http://schemas.openxmlformats.org/officeDocument/2006/relationships/hyperlink" Target="https://www.craftonhills.edu/academic-and-career-programs/divs-and-depts/career-ed-and-human-dev/human-development/psychology/faculty.php" TargetMode="External"/><Relationship Id="rId12" Type="http://schemas.openxmlformats.org/officeDocument/2006/relationships/hyperlink" Target="https://www.ndnu.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ading.ac.uk/AcaDepts/lw/staff/tony.htm" TargetMode="External"/><Relationship Id="rId15" Type="http://schemas.openxmlformats.org/officeDocument/2006/relationships/header" Target="header1.xml"/><Relationship Id="rId14" Type="http://schemas.openxmlformats.org/officeDocument/2006/relationships/hyperlink" Target="https://works.bepress.com/tlbrink/about/" TargetMode="External"/><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2.xml"/><Relationship Id="rId7" Type="http://schemas.openxmlformats.org/officeDocument/2006/relationships/image" Target="media/image1.png"/><Relationship Id="rId8" Type="http://schemas.openxmlformats.org/officeDocument/2006/relationships/hyperlink" Target="https://researchportal.bath.ac.uk/en/organisations/department-of-social-policy-scienc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craftonhills.edu/academic-and-career-programs/divs-and-depts/career-ed-and-human-dev/human-development/psychology/faculty.php" TargetMode="External"/><Relationship Id="rId2" Type="http://schemas.openxmlformats.org/officeDocument/2006/relationships/hyperlink" Target="https://works.bepress.com/tlbrink/about/" TargetMode="External"/><Relationship Id="rId3" Type="http://schemas.openxmlformats.org/officeDocument/2006/relationships/hyperlink" Target="https://researchportal.bath.ac.uk/en/persons/tony-walter" TargetMode="External"/><Relationship Id="rId4" Type="http://schemas.openxmlformats.org/officeDocument/2006/relationships/hyperlink" Target="https://researchspace.bathspa.ac.uk/1437/" TargetMode="External"/><Relationship Id="rId5" Type="http://schemas.openxmlformats.org/officeDocument/2006/relationships/hyperlink" Target="https://www.ndnu.edu/" TargetMode="External"/><Relationship Id="rId6" Type="http://schemas.openxmlformats.org/officeDocument/2006/relationships/hyperlink" Target="https://www.reading.ac.uk/AcaDepts/lw/staff/ton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