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0A40FF6E" w:rsidR="004B0295" w:rsidRPr="004B0295" w:rsidRDefault="00E75F06" w:rsidP="00D012E7">
      <w:pPr>
        <w:rPr>
          <w:rFonts w:cs="Arial"/>
          <w:b/>
          <w:bCs/>
          <w:sz w:val="22"/>
          <w:szCs w:val="22"/>
        </w:rPr>
      </w:pPr>
      <w:r w:rsidRPr="004B0295">
        <w:rPr>
          <w:rFonts w:cs="Arial"/>
          <w:b/>
          <w:bCs/>
          <w:sz w:val="22"/>
          <w:szCs w:val="22"/>
        </w:rPr>
        <w:t>8,000-word</w:t>
      </w:r>
      <w:r w:rsidR="004B0295" w:rsidRPr="004B0295">
        <w:rPr>
          <w:rFonts w:cs="Arial"/>
          <w:b/>
          <w:bCs/>
          <w:sz w:val="22"/>
          <w:szCs w:val="22"/>
        </w:rPr>
        <w:t xml:space="preserve"> project</w:t>
      </w:r>
      <w:r>
        <w:rPr>
          <w:rFonts w:cs="Arial"/>
          <w:b/>
          <w:bCs/>
          <w:sz w:val="22"/>
          <w:szCs w:val="22"/>
        </w:rPr>
        <w:t>.</w:t>
      </w:r>
      <w:r w:rsidR="004B0295" w:rsidRPr="004B0295">
        <w:rPr>
          <w:rFonts w:cs="Arial"/>
          <w:b/>
          <w:bCs/>
          <w:sz w:val="22"/>
          <w:szCs w:val="22"/>
        </w:rPr>
        <w:t xml:space="preserve">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12"/>
        <w:gridCol w:w="3248"/>
      </w:tblGrid>
      <w:tr w:rsidR="005C6CD8" w:rsidRPr="00B61956" w14:paraId="26BA44B1" w14:textId="77777777" w:rsidTr="00D4485A">
        <w:tc>
          <w:tcPr>
            <w:tcW w:w="6242" w:type="dxa"/>
            <w:tcMar>
              <w:top w:w="0" w:type="dxa"/>
              <w:left w:w="108" w:type="dxa"/>
              <w:bottom w:w="0" w:type="dxa"/>
              <w:right w:w="108" w:type="dxa"/>
            </w:tcMar>
          </w:tcPr>
          <w:p w14:paraId="6CF2ABE3" w14:textId="0988DEC2" w:rsidR="005C6CD8" w:rsidRDefault="005C6CD8" w:rsidP="00D4485A">
            <w:pPr>
              <w:pStyle w:val="BodyText"/>
              <w:jc w:val="both"/>
              <w:rPr>
                <w:rFonts w:cs="Arial"/>
                <w:b/>
                <w:bCs/>
                <w:sz w:val="22"/>
                <w:szCs w:val="22"/>
              </w:rPr>
            </w:pPr>
            <w:r w:rsidRPr="00D012E7">
              <w:rPr>
                <w:rFonts w:cs="Arial"/>
                <w:b/>
                <w:bCs/>
                <w:sz w:val="22"/>
                <w:szCs w:val="22"/>
              </w:rPr>
              <w:t xml:space="preserve">NAME: </w:t>
            </w:r>
            <w:r w:rsidR="00B27E17">
              <w:rPr>
                <w:rFonts w:cs="Arial"/>
                <w:b/>
                <w:bCs/>
                <w:sz w:val="22"/>
                <w:szCs w:val="22"/>
              </w:rPr>
              <w:t>Nathan Elias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AF7CA2A"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DF15A5">
              <w:rPr>
                <w:rFonts w:cs="Arial"/>
                <w:b/>
                <w:bCs/>
                <w:sz w:val="22"/>
                <w:szCs w:val="22"/>
              </w:rPr>
              <w:t>2016268</w:t>
            </w:r>
            <w:bookmarkStart w:id="1" w:name="_GoBack"/>
            <w:bookmarkEnd w:id="1"/>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0353A737" w:rsidR="005C6CD8" w:rsidRPr="00B27E17" w:rsidRDefault="005C6CD8" w:rsidP="00B27E17">
            <w:pPr>
              <w:spacing w:line="276" w:lineRule="auto"/>
              <w:jc w:val="both"/>
              <w:rPr>
                <w:rFonts w:cs="Arial"/>
                <w:b/>
                <w:bCs/>
                <w:sz w:val="22"/>
                <w:szCs w:val="22"/>
              </w:rPr>
            </w:pPr>
            <w:r w:rsidRPr="00B27E17">
              <w:rPr>
                <w:rFonts w:cs="Arial"/>
                <w:b/>
                <w:bCs/>
                <w:sz w:val="22"/>
                <w:szCs w:val="22"/>
              </w:rPr>
              <w:t>DRAFT RESEARCH TITLE</w:t>
            </w:r>
            <w:r w:rsidR="00D012E7" w:rsidRPr="00B27E17">
              <w:rPr>
                <w:rFonts w:cs="Arial"/>
                <w:b/>
                <w:bCs/>
                <w:sz w:val="22"/>
                <w:szCs w:val="22"/>
              </w:rPr>
              <w:t xml:space="preserve"> </w:t>
            </w:r>
            <w:r w:rsidRPr="00B27E17">
              <w:rPr>
                <w:rFonts w:cs="Arial"/>
                <w:b/>
                <w:bCs/>
                <w:sz w:val="22"/>
                <w:szCs w:val="22"/>
              </w:rPr>
              <w:t>QUESTION:</w:t>
            </w:r>
            <w:r w:rsidR="00DB4B8A" w:rsidRPr="00B27E17">
              <w:rPr>
                <w:rFonts w:cs="Arial"/>
                <w:b/>
                <w:bCs/>
                <w:sz w:val="22"/>
                <w:szCs w:val="22"/>
              </w:rPr>
              <w:t xml:space="preserve"> Coercive control: How has the 2015 legislation changed </w:t>
            </w:r>
            <w:r w:rsidR="00E75F06">
              <w:rPr>
                <w:rFonts w:cs="Arial"/>
                <w:b/>
                <w:bCs/>
                <w:sz w:val="22"/>
                <w:szCs w:val="22"/>
              </w:rPr>
              <w:t>police</w:t>
            </w:r>
            <w:r w:rsidR="00116CE1" w:rsidRPr="00B27E17">
              <w:rPr>
                <w:rFonts w:cs="Arial"/>
                <w:b/>
                <w:bCs/>
                <w:sz w:val="22"/>
                <w:szCs w:val="22"/>
              </w:rPr>
              <w:t xml:space="preserve"> response</w:t>
            </w:r>
            <w:r w:rsidR="002657BA">
              <w:rPr>
                <w:rFonts w:cs="Arial"/>
                <w:b/>
                <w:bCs/>
                <w:sz w:val="22"/>
                <w:szCs w:val="22"/>
              </w:rPr>
              <w:t xml:space="preserve"> in Gwent</w:t>
            </w:r>
            <w:r w:rsidR="00DB4B8A" w:rsidRPr="00B27E17">
              <w:rPr>
                <w:rFonts w:cs="Arial"/>
                <w:b/>
                <w:bCs/>
                <w:sz w:val="22"/>
                <w:szCs w:val="22"/>
              </w:rPr>
              <w:t>?</w:t>
            </w:r>
          </w:p>
          <w:p w14:paraId="461E49DA" w14:textId="45E1358F" w:rsidR="002D0EF0" w:rsidRPr="00B27E17" w:rsidRDefault="002D0EF0" w:rsidP="00B27E17">
            <w:pPr>
              <w:spacing w:line="276" w:lineRule="auto"/>
              <w:jc w:val="both"/>
              <w:rPr>
                <w:rFonts w:cs="Arial"/>
                <w:b/>
                <w:bCs/>
                <w:sz w:val="22"/>
                <w:szCs w:val="22"/>
              </w:rPr>
            </w:pPr>
            <w:r w:rsidRPr="00B27E17">
              <w:rPr>
                <w:rFonts w:cs="Arial"/>
                <w:b/>
                <w:bCs/>
                <w:sz w:val="22"/>
                <w:szCs w:val="22"/>
              </w:rPr>
              <w:t>INTRO</w:t>
            </w:r>
            <w:r w:rsidR="00766657" w:rsidRPr="00B27E17">
              <w:rPr>
                <w:rFonts w:cs="Arial"/>
                <w:b/>
                <w:bCs/>
                <w:sz w:val="22"/>
                <w:szCs w:val="22"/>
              </w:rPr>
              <w:t>DUCTION</w:t>
            </w:r>
            <w:r w:rsidRPr="00B27E17">
              <w:rPr>
                <w:rFonts w:cs="Arial"/>
                <w:b/>
                <w:bCs/>
                <w:sz w:val="22"/>
                <w:szCs w:val="22"/>
              </w:rPr>
              <w:t>:</w:t>
            </w:r>
          </w:p>
          <w:p w14:paraId="4F11AEAD" w14:textId="77777777" w:rsidR="00A2276A" w:rsidRDefault="00A2276A" w:rsidP="00B27E17">
            <w:pPr>
              <w:tabs>
                <w:tab w:val="left" w:pos="1860"/>
              </w:tabs>
              <w:spacing w:line="276" w:lineRule="auto"/>
              <w:jc w:val="both"/>
              <w:rPr>
                <w:sz w:val="22"/>
                <w:szCs w:val="22"/>
              </w:rPr>
            </w:pPr>
            <w:r>
              <w:rPr>
                <w:sz w:val="22"/>
                <w:szCs w:val="22"/>
              </w:rPr>
              <w:t xml:space="preserve">I have chosen this topic as I believe that having a clear understanding of coercive control and domestic abuse in general will support me in my policing career, as in Gwent alone in the period 07/21-07/22, there were 4357 domestic abuse incidents (Gwent Police, 2022) which demonstrates the scale of this issue that we, as a community, are facing.  </w:t>
            </w:r>
          </w:p>
          <w:p w14:paraId="30574253" w14:textId="7022CB6D" w:rsidR="00246D82" w:rsidRDefault="00246D82" w:rsidP="00B27E17">
            <w:pPr>
              <w:tabs>
                <w:tab w:val="left" w:pos="1860"/>
              </w:tabs>
              <w:spacing w:line="276" w:lineRule="auto"/>
              <w:jc w:val="both"/>
              <w:rPr>
                <w:rFonts w:cs="Open Sans"/>
                <w:color w:val="1C1D1E"/>
                <w:sz w:val="22"/>
                <w:szCs w:val="22"/>
                <w:shd w:val="clear" w:color="auto" w:fill="FFFFFF"/>
              </w:rPr>
            </w:pPr>
          </w:p>
          <w:p w14:paraId="7F629110" w14:textId="77777777" w:rsidR="00246D82" w:rsidRPr="00B27E17" w:rsidRDefault="00246D82" w:rsidP="00246D82">
            <w:pPr>
              <w:tabs>
                <w:tab w:val="left" w:pos="1860"/>
              </w:tabs>
              <w:spacing w:line="276" w:lineRule="auto"/>
              <w:jc w:val="both"/>
              <w:rPr>
                <w:rFonts w:cs="Arial"/>
                <w:color w:val="1C1D1E"/>
                <w:sz w:val="22"/>
                <w:szCs w:val="22"/>
                <w:shd w:val="clear" w:color="auto" w:fill="FFFFFF"/>
              </w:rPr>
            </w:pPr>
            <w:r w:rsidRPr="00B27E17">
              <w:rPr>
                <w:rFonts w:cs="Arial"/>
                <w:color w:val="1C1D1E"/>
                <w:sz w:val="22"/>
                <w:szCs w:val="22"/>
                <w:shd w:val="clear" w:color="auto" w:fill="FFFFFF"/>
              </w:rPr>
              <w:t xml:space="preserve">Whilst there are many definitions of coercive control, Stark’s (2007) definition is the one generally accepted by policymakers, academics, and practitioners. Stark’s definition attempts to showcase the intimidating, regulatory and degrading practices that are employed by perpetrators to instil fear and terror into the everyday lives of their victims.  </w:t>
            </w:r>
            <w:r w:rsidRPr="00B27E17">
              <w:rPr>
                <w:rFonts w:cs="Arial"/>
                <w:sz w:val="22"/>
                <w:szCs w:val="22"/>
              </w:rPr>
              <w:t xml:space="preserve">Stark (2007) argues that coercive control is most likely to occur in heterosexual relationships, where men abuse women using social norms of masculinity and femininity to control. </w:t>
            </w:r>
            <w:r>
              <w:rPr>
                <w:rFonts w:cs="Arial"/>
                <w:color w:val="1C1D1E"/>
                <w:sz w:val="22"/>
                <w:szCs w:val="22"/>
                <w:shd w:val="clear" w:color="auto" w:fill="FFFFFF"/>
              </w:rPr>
              <w:t xml:space="preserve">In December 2015, </w:t>
            </w:r>
            <w:r w:rsidRPr="00B27E17">
              <w:rPr>
                <w:rFonts w:cs="Arial"/>
                <w:color w:val="1C1D1E"/>
                <w:sz w:val="22"/>
                <w:szCs w:val="22"/>
                <w:shd w:val="clear" w:color="auto" w:fill="FFFFFF"/>
              </w:rPr>
              <w:t>Section 76 of the Serious Crime Act came into force in England and Wales. This ma</w:t>
            </w:r>
            <w:r>
              <w:rPr>
                <w:rFonts w:cs="Arial"/>
                <w:color w:val="1C1D1E"/>
                <w:sz w:val="22"/>
                <w:szCs w:val="22"/>
                <w:shd w:val="clear" w:color="auto" w:fill="FFFFFF"/>
              </w:rPr>
              <w:t>de</w:t>
            </w:r>
            <w:r w:rsidRPr="00B27E17">
              <w:rPr>
                <w:rFonts w:cs="Arial"/>
                <w:color w:val="1C1D1E"/>
                <w:sz w:val="22"/>
                <w:szCs w:val="22"/>
                <w:shd w:val="clear" w:color="auto" w:fill="FFFFFF"/>
              </w:rPr>
              <w:t xml:space="preserve"> ‘coercive or controlling behaviour’ that has a ‘serious effect’ on the victim a criminal offence, </w:t>
            </w:r>
            <w:r>
              <w:rPr>
                <w:rFonts w:cs="Arial"/>
                <w:color w:val="1C1D1E"/>
                <w:sz w:val="22"/>
                <w:szCs w:val="22"/>
                <w:shd w:val="clear" w:color="auto" w:fill="FFFFFF"/>
              </w:rPr>
              <w:t>with the offence being</w:t>
            </w:r>
            <w:r w:rsidRPr="00B27E17">
              <w:rPr>
                <w:rFonts w:cs="Arial"/>
                <w:color w:val="1C1D1E"/>
                <w:sz w:val="22"/>
                <w:szCs w:val="22"/>
                <w:shd w:val="clear" w:color="auto" w:fill="FFFFFF"/>
              </w:rPr>
              <w:t xml:space="preserve"> punishable by up to five years in prison (Weiner, 2017). </w:t>
            </w:r>
          </w:p>
          <w:p w14:paraId="01E31328" w14:textId="77777777" w:rsidR="00246D82" w:rsidRDefault="00246D82" w:rsidP="00B27E17">
            <w:pPr>
              <w:tabs>
                <w:tab w:val="left" w:pos="1860"/>
              </w:tabs>
              <w:spacing w:line="276" w:lineRule="auto"/>
              <w:jc w:val="both"/>
              <w:rPr>
                <w:rFonts w:cs="Open Sans"/>
                <w:color w:val="1C1D1E"/>
                <w:sz w:val="22"/>
                <w:szCs w:val="22"/>
                <w:shd w:val="clear" w:color="auto" w:fill="FFFFFF"/>
              </w:rPr>
            </w:pPr>
          </w:p>
          <w:p w14:paraId="7680177B" w14:textId="77777777" w:rsidR="00246D82" w:rsidRPr="00B27E17" w:rsidRDefault="00246D82" w:rsidP="00246D82">
            <w:pPr>
              <w:tabs>
                <w:tab w:val="left" w:pos="1860"/>
              </w:tabs>
              <w:spacing w:line="276" w:lineRule="auto"/>
              <w:jc w:val="both"/>
              <w:rPr>
                <w:sz w:val="22"/>
                <w:szCs w:val="22"/>
              </w:rPr>
            </w:pPr>
            <w:r>
              <w:rPr>
                <w:rFonts w:cs="Arial"/>
                <w:color w:val="1C1D1E"/>
                <w:sz w:val="22"/>
                <w:szCs w:val="22"/>
                <w:shd w:val="clear" w:color="auto" w:fill="FFFFFF"/>
              </w:rPr>
              <w:t>T</w:t>
            </w:r>
            <w:r w:rsidRPr="00B27E17">
              <w:rPr>
                <w:rFonts w:cs="Arial"/>
                <w:color w:val="1C1D1E"/>
                <w:sz w:val="22"/>
                <w:szCs w:val="22"/>
                <w:shd w:val="clear" w:color="auto" w:fill="FFFFFF"/>
              </w:rPr>
              <w:t>here is arguably an issue both within policing and wider society in general, with the understanding and response to coercive control, primarily because of the lack of understanding around the concept of coercive control</w:t>
            </w:r>
            <w:r>
              <w:rPr>
                <w:rFonts w:cs="Arial"/>
                <w:color w:val="1C1D1E"/>
                <w:sz w:val="22"/>
                <w:szCs w:val="22"/>
                <w:shd w:val="clear" w:color="auto" w:fill="FFFFFF"/>
              </w:rPr>
              <w:t xml:space="preserve"> </w:t>
            </w:r>
            <w:r w:rsidRPr="00B27E17">
              <w:rPr>
                <w:sz w:val="22"/>
                <w:szCs w:val="22"/>
              </w:rPr>
              <w:t xml:space="preserve">(Tolmie 2018). </w:t>
            </w:r>
            <w:r>
              <w:rPr>
                <w:sz w:val="22"/>
                <w:szCs w:val="22"/>
              </w:rPr>
              <w:t xml:space="preserve">It can be argued that the gendered nature of coercive control makes the behaviours difficult to recognise because they may be considered as normal behavioural expectations of males and females within intimate relationships (Burman and Brooks-Hay (2018). Therefore, if such behaviour is seen as an extension of existing gender norms and simply exploits these, when does a ‘normal’ relationship become ‘abusive’? </w:t>
            </w:r>
            <w:r w:rsidRPr="00B27E17">
              <w:rPr>
                <w:sz w:val="22"/>
                <w:szCs w:val="22"/>
              </w:rPr>
              <w:t>(Tolmie 2018).</w:t>
            </w:r>
            <w:r>
              <w:rPr>
                <w:sz w:val="22"/>
                <w:szCs w:val="22"/>
              </w:rPr>
              <w:t xml:space="preserve"> </w:t>
            </w:r>
            <w:r w:rsidRPr="00A2276A">
              <w:rPr>
                <w:sz w:val="22"/>
                <w:szCs w:val="22"/>
              </w:rPr>
              <w:t xml:space="preserve">Burman and Brooks-Hay (2018) and Tolmie (2018) both suggest that that police officers </w:t>
            </w:r>
            <w:r w:rsidRPr="00A2276A">
              <w:rPr>
                <w:sz w:val="22"/>
                <w:szCs w:val="22"/>
              </w:rPr>
              <w:lastRenderedPageBreak/>
              <w:t>attending such incidents would likely find it difficult to identify coercive control and such abusive behaviours, because they are likely to be present to some degree, even</w:t>
            </w:r>
            <w:r>
              <w:rPr>
                <w:sz w:val="22"/>
                <w:szCs w:val="22"/>
              </w:rPr>
              <w:t xml:space="preserve"> within</w:t>
            </w:r>
            <w:r w:rsidRPr="00A2276A">
              <w:rPr>
                <w:sz w:val="22"/>
                <w:szCs w:val="22"/>
              </w:rPr>
              <w:t xml:space="preserve"> ‘healthy’ relationships.</w:t>
            </w:r>
          </w:p>
          <w:p w14:paraId="2B11AEB0" w14:textId="77777777" w:rsidR="00246D82" w:rsidRPr="00B27E17" w:rsidRDefault="00246D82" w:rsidP="00246D82">
            <w:pPr>
              <w:tabs>
                <w:tab w:val="left" w:pos="1860"/>
              </w:tabs>
              <w:spacing w:line="276" w:lineRule="auto"/>
              <w:jc w:val="both"/>
              <w:rPr>
                <w:rFonts w:ascii="Open Sans" w:hAnsi="Open Sans" w:cs="Open Sans"/>
                <w:color w:val="1C1D1E"/>
                <w:sz w:val="22"/>
                <w:szCs w:val="22"/>
                <w:shd w:val="clear" w:color="auto" w:fill="FFFFFF"/>
              </w:rPr>
            </w:pPr>
          </w:p>
          <w:p w14:paraId="7AFA2F06" w14:textId="0364011D" w:rsidR="00246D82" w:rsidRPr="00246D82" w:rsidRDefault="00246D82" w:rsidP="00B27E17">
            <w:pPr>
              <w:tabs>
                <w:tab w:val="left" w:pos="1860"/>
              </w:tabs>
              <w:spacing w:line="276" w:lineRule="auto"/>
              <w:jc w:val="both"/>
              <w:rPr>
                <w:sz w:val="22"/>
                <w:szCs w:val="22"/>
              </w:rPr>
            </w:pPr>
            <w:r>
              <w:rPr>
                <w:sz w:val="22"/>
                <w:szCs w:val="22"/>
              </w:rPr>
              <w:t>What is clear is that t</w:t>
            </w:r>
            <w:r w:rsidRPr="00B27E17">
              <w:rPr>
                <w:sz w:val="22"/>
                <w:szCs w:val="22"/>
              </w:rPr>
              <w:t>his legislation does not exist in a vacuum, and require</w:t>
            </w:r>
            <w:r>
              <w:rPr>
                <w:sz w:val="22"/>
                <w:szCs w:val="22"/>
              </w:rPr>
              <w:t>s</w:t>
            </w:r>
            <w:r w:rsidRPr="00B27E17">
              <w:rPr>
                <w:sz w:val="22"/>
                <w:szCs w:val="22"/>
              </w:rPr>
              <w:t xml:space="preserve"> interpretation and implementation (Barlow et al, 2020). How it is interpreted and implemented remains to be fully uncovered, particularly in individual police forces. Therefore, the aim of this dissertation will be to uncover how this law has been interpreted and how the legislation has changed policing response</w:t>
            </w:r>
            <w:r>
              <w:rPr>
                <w:sz w:val="22"/>
                <w:szCs w:val="22"/>
              </w:rPr>
              <w:t xml:space="preserve"> in Gwent</w:t>
            </w:r>
            <w:r w:rsidRPr="00B27E17">
              <w:rPr>
                <w:sz w:val="22"/>
                <w:szCs w:val="22"/>
              </w:rPr>
              <w:t xml:space="preserve">. </w:t>
            </w: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6FA7885D" w14:textId="77777777" w:rsidR="00246D82" w:rsidRDefault="00246D82" w:rsidP="00246D82">
            <w:pPr>
              <w:numPr>
                <w:ilvl w:val="0"/>
                <w:numId w:val="38"/>
              </w:numPr>
              <w:spacing w:line="276" w:lineRule="auto"/>
              <w:jc w:val="both"/>
              <w:rPr>
                <w:rFonts w:cs="Arial"/>
                <w:color w:val="000000" w:themeColor="text1"/>
                <w:sz w:val="22"/>
                <w:szCs w:val="22"/>
              </w:rPr>
            </w:pPr>
            <w:r>
              <w:rPr>
                <w:rFonts w:cs="Arial"/>
                <w:color w:val="000000" w:themeColor="text1"/>
                <w:sz w:val="22"/>
                <w:szCs w:val="22"/>
              </w:rPr>
              <w:t>Outline the scale of the issue of coercive control</w:t>
            </w:r>
          </w:p>
          <w:p w14:paraId="6442E876" w14:textId="31DC68A6" w:rsidR="00246D82" w:rsidRPr="00246D82" w:rsidRDefault="00246D82" w:rsidP="00246D82">
            <w:pPr>
              <w:numPr>
                <w:ilvl w:val="0"/>
                <w:numId w:val="38"/>
              </w:numPr>
              <w:spacing w:line="276" w:lineRule="auto"/>
              <w:jc w:val="both"/>
              <w:rPr>
                <w:rFonts w:cs="Arial"/>
                <w:color w:val="000000" w:themeColor="text1"/>
                <w:sz w:val="22"/>
                <w:szCs w:val="22"/>
              </w:rPr>
            </w:pPr>
            <w:r w:rsidRPr="00246D82">
              <w:rPr>
                <w:rFonts w:cs="Arial"/>
                <w:color w:val="000000" w:themeColor="text1"/>
                <w:sz w:val="22"/>
                <w:szCs w:val="22"/>
              </w:rPr>
              <w:t>Explore the current literature around coercive control and policing.</w:t>
            </w:r>
          </w:p>
          <w:p w14:paraId="364B8052" w14:textId="1699218D" w:rsidR="003D2DD6" w:rsidRDefault="00246D82" w:rsidP="003D2DD6">
            <w:pPr>
              <w:numPr>
                <w:ilvl w:val="0"/>
                <w:numId w:val="38"/>
              </w:numPr>
              <w:spacing w:line="276" w:lineRule="auto"/>
              <w:jc w:val="both"/>
              <w:rPr>
                <w:rFonts w:cs="Arial"/>
                <w:color w:val="000000" w:themeColor="text1"/>
                <w:sz w:val="22"/>
                <w:szCs w:val="22"/>
              </w:rPr>
            </w:pPr>
            <w:r w:rsidRPr="00246D82">
              <w:rPr>
                <w:rFonts w:cs="Arial"/>
                <w:color w:val="000000" w:themeColor="text1"/>
                <w:sz w:val="22"/>
                <w:szCs w:val="22"/>
              </w:rPr>
              <w:t xml:space="preserve">Analyse the data collected around </w:t>
            </w:r>
            <w:r w:rsidR="003D2DD6">
              <w:rPr>
                <w:rFonts w:cs="Arial"/>
                <w:color w:val="000000" w:themeColor="text1"/>
                <w:sz w:val="22"/>
                <w:szCs w:val="22"/>
              </w:rPr>
              <w:t>how police officers interpret the legislation and respond to coercive control during their role.</w:t>
            </w:r>
          </w:p>
          <w:p w14:paraId="669899F4" w14:textId="09869B64" w:rsidR="005C6CD8" w:rsidRPr="00246D82" w:rsidRDefault="00246D82" w:rsidP="003D2DD6">
            <w:pPr>
              <w:numPr>
                <w:ilvl w:val="0"/>
                <w:numId w:val="38"/>
              </w:numPr>
              <w:spacing w:line="276" w:lineRule="auto"/>
              <w:jc w:val="both"/>
              <w:rPr>
                <w:rFonts w:cs="Arial"/>
                <w:color w:val="000000" w:themeColor="text1"/>
                <w:sz w:val="22"/>
                <w:szCs w:val="22"/>
              </w:rPr>
            </w:pPr>
            <w:r>
              <w:rPr>
                <w:rFonts w:cs="Arial"/>
                <w:color w:val="000000" w:themeColor="text1"/>
                <w:sz w:val="22"/>
                <w:szCs w:val="22"/>
              </w:rPr>
              <w:t>Evaluate how the 2015 legislation has impacted police response in Gwent.</w:t>
            </w:r>
          </w:p>
        </w:tc>
      </w:tr>
      <w:tr w:rsidR="005C6CD8" w:rsidRPr="00B61956" w14:paraId="38E2C19D" w14:textId="77777777" w:rsidTr="00D4485A">
        <w:tc>
          <w:tcPr>
            <w:tcW w:w="9077" w:type="dxa"/>
            <w:gridSpan w:val="2"/>
            <w:tcMar>
              <w:top w:w="0" w:type="dxa"/>
              <w:left w:w="108" w:type="dxa"/>
              <w:bottom w:w="0" w:type="dxa"/>
              <w:right w:w="108" w:type="dxa"/>
            </w:tcMar>
          </w:tcPr>
          <w:p w14:paraId="11C17B03" w14:textId="7DC759F6" w:rsidR="008E4CEA" w:rsidRPr="00684371"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6C3E118E" w14:textId="2A64F2E7" w:rsidR="008E4CEA" w:rsidRPr="008E4CEA" w:rsidRDefault="008E4CEA" w:rsidP="00461A4B">
            <w:pPr>
              <w:autoSpaceDE w:val="0"/>
              <w:autoSpaceDN w:val="0"/>
              <w:adjustRightInd w:val="0"/>
              <w:jc w:val="both"/>
              <w:rPr>
                <w:rFonts w:cs="Arial"/>
                <w:color w:val="000000"/>
                <w:sz w:val="22"/>
                <w:szCs w:val="22"/>
                <w:lang w:eastAsia="en-GB"/>
              </w:rPr>
            </w:pPr>
            <w:r w:rsidRPr="008E4CEA">
              <w:rPr>
                <w:rFonts w:cs="Arial"/>
                <w:color w:val="000000"/>
                <w:sz w:val="22"/>
                <w:szCs w:val="22"/>
                <w:lang w:eastAsia="en-GB"/>
              </w:rPr>
              <w:t>In December 2015, a new offence of ‘controlling or coercive behaviour’ was introduced in England and Wale</w:t>
            </w:r>
            <w:r w:rsidR="00684371">
              <w:rPr>
                <w:rFonts w:cs="Arial"/>
                <w:color w:val="000000"/>
                <w:sz w:val="22"/>
                <w:szCs w:val="22"/>
                <w:lang w:eastAsia="en-GB"/>
              </w:rPr>
              <w:t>s</w:t>
            </w:r>
            <w:r w:rsidRPr="008E4CEA">
              <w:rPr>
                <w:rFonts w:cs="Arial"/>
                <w:color w:val="000000"/>
                <w:sz w:val="22"/>
                <w:szCs w:val="22"/>
                <w:lang w:eastAsia="en-GB"/>
              </w:rPr>
              <w:t xml:space="preserve"> in Section 76 of the Serious Crime Act. It states:</w:t>
            </w:r>
          </w:p>
          <w:p w14:paraId="5D77565C" w14:textId="77777777" w:rsidR="008E4CEA" w:rsidRDefault="008E4CEA" w:rsidP="00461A4B">
            <w:pPr>
              <w:autoSpaceDE w:val="0"/>
              <w:autoSpaceDN w:val="0"/>
              <w:adjustRightInd w:val="0"/>
              <w:jc w:val="both"/>
              <w:rPr>
                <w:rFonts w:ascii="Times New Roman" w:hAnsi="Times New Roman"/>
                <w:i/>
                <w:iCs/>
                <w:color w:val="000000"/>
                <w:sz w:val="21"/>
                <w:szCs w:val="21"/>
                <w:lang w:eastAsia="en-GB"/>
              </w:rPr>
            </w:pPr>
          </w:p>
          <w:p w14:paraId="243460DC" w14:textId="7728944A" w:rsidR="008E4CEA" w:rsidRPr="008E4CEA" w:rsidRDefault="008E4CEA" w:rsidP="00461A4B">
            <w:pPr>
              <w:autoSpaceDE w:val="0"/>
              <w:autoSpaceDN w:val="0"/>
              <w:adjustRightInd w:val="0"/>
              <w:jc w:val="both"/>
              <w:rPr>
                <w:rFonts w:cs="Arial"/>
                <w:i/>
                <w:iCs/>
                <w:color w:val="000000"/>
                <w:sz w:val="22"/>
                <w:szCs w:val="22"/>
                <w:lang w:eastAsia="en-GB"/>
              </w:rPr>
            </w:pPr>
            <w:r>
              <w:rPr>
                <w:rFonts w:cs="Arial"/>
                <w:i/>
                <w:iCs/>
                <w:color w:val="000000"/>
                <w:sz w:val="22"/>
                <w:szCs w:val="22"/>
                <w:lang w:eastAsia="en-GB"/>
              </w:rPr>
              <w:t>‘</w:t>
            </w:r>
            <w:r w:rsidRPr="008E4CEA">
              <w:rPr>
                <w:rFonts w:cs="Arial"/>
                <w:i/>
                <w:iCs/>
                <w:color w:val="000000"/>
                <w:sz w:val="22"/>
                <w:szCs w:val="22"/>
                <w:lang w:eastAsia="en-GB"/>
              </w:rPr>
              <w:t>A person (A) commits an offence [of coercive control] if—</w:t>
            </w:r>
          </w:p>
          <w:p w14:paraId="323A71C6" w14:textId="77777777" w:rsidR="008E4CEA" w:rsidRDefault="008E4CEA" w:rsidP="00461A4B">
            <w:pPr>
              <w:autoSpaceDE w:val="0"/>
              <w:autoSpaceDN w:val="0"/>
              <w:adjustRightInd w:val="0"/>
              <w:jc w:val="both"/>
              <w:rPr>
                <w:rFonts w:cs="Arial"/>
                <w:i/>
                <w:iCs/>
                <w:color w:val="000000"/>
                <w:sz w:val="22"/>
                <w:szCs w:val="22"/>
                <w:lang w:eastAsia="en-GB"/>
              </w:rPr>
            </w:pPr>
            <w:r w:rsidRPr="008E4CEA">
              <w:rPr>
                <w:rFonts w:cs="Arial"/>
                <w:i/>
                <w:iCs/>
                <w:color w:val="000000"/>
                <w:sz w:val="22"/>
                <w:szCs w:val="22"/>
                <w:lang w:eastAsia="en-GB"/>
              </w:rPr>
              <w:t>(a) A repeatedly or continuously engages in behaviour towards another person (B) that is</w:t>
            </w:r>
            <w:r>
              <w:rPr>
                <w:rFonts w:cs="Arial"/>
                <w:i/>
                <w:iCs/>
                <w:color w:val="000000"/>
                <w:sz w:val="22"/>
                <w:szCs w:val="22"/>
                <w:lang w:eastAsia="en-GB"/>
              </w:rPr>
              <w:t xml:space="preserve"> </w:t>
            </w:r>
            <w:r w:rsidRPr="008E4CEA">
              <w:rPr>
                <w:rFonts w:cs="Arial"/>
                <w:i/>
                <w:iCs/>
                <w:color w:val="000000"/>
                <w:sz w:val="22"/>
                <w:szCs w:val="22"/>
                <w:lang w:eastAsia="en-GB"/>
              </w:rPr>
              <w:t>controlling</w:t>
            </w:r>
            <w:r>
              <w:rPr>
                <w:rFonts w:cs="Arial"/>
                <w:i/>
                <w:iCs/>
                <w:color w:val="000000"/>
                <w:sz w:val="22"/>
                <w:szCs w:val="22"/>
                <w:lang w:eastAsia="en-GB"/>
              </w:rPr>
              <w:t xml:space="preserve"> </w:t>
            </w:r>
            <w:r w:rsidRPr="008E4CEA">
              <w:rPr>
                <w:rFonts w:cs="Arial"/>
                <w:i/>
                <w:iCs/>
                <w:color w:val="000000"/>
                <w:sz w:val="22"/>
                <w:szCs w:val="22"/>
                <w:lang w:eastAsia="en-GB"/>
              </w:rPr>
              <w:t xml:space="preserve">or coercive, </w:t>
            </w:r>
          </w:p>
          <w:p w14:paraId="2B295E14" w14:textId="77777777" w:rsidR="008E4CEA" w:rsidRDefault="008E4CEA" w:rsidP="00461A4B">
            <w:pPr>
              <w:autoSpaceDE w:val="0"/>
              <w:autoSpaceDN w:val="0"/>
              <w:adjustRightInd w:val="0"/>
              <w:jc w:val="both"/>
              <w:rPr>
                <w:rFonts w:cs="Arial"/>
                <w:i/>
                <w:iCs/>
                <w:color w:val="000000"/>
                <w:sz w:val="22"/>
                <w:szCs w:val="22"/>
                <w:lang w:eastAsia="en-GB"/>
              </w:rPr>
            </w:pPr>
            <w:r w:rsidRPr="008E4CEA">
              <w:rPr>
                <w:rFonts w:cs="Arial"/>
                <w:i/>
                <w:iCs/>
                <w:color w:val="000000"/>
                <w:sz w:val="22"/>
                <w:szCs w:val="22"/>
                <w:lang w:eastAsia="en-GB"/>
              </w:rPr>
              <w:t xml:space="preserve">(b) At the time of the behaviour, A and B are personally connected, </w:t>
            </w:r>
          </w:p>
          <w:p w14:paraId="5996243B" w14:textId="77777777" w:rsidR="008E4CEA" w:rsidRDefault="008E4CEA" w:rsidP="00461A4B">
            <w:pPr>
              <w:autoSpaceDE w:val="0"/>
              <w:autoSpaceDN w:val="0"/>
              <w:adjustRightInd w:val="0"/>
              <w:jc w:val="both"/>
              <w:rPr>
                <w:rFonts w:cs="Arial"/>
                <w:i/>
                <w:iCs/>
                <w:color w:val="000000"/>
                <w:sz w:val="22"/>
                <w:szCs w:val="22"/>
                <w:lang w:eastAsia="en-GB"/>
              </w:rPr>
            </w:pPr>
            <w:r w:rsidRPr="008E4CEA">
              <w:rPr>
                <w:rFonts w:cs="Arial"/>
                <w:i/>
                <w:iCs/>
                <w:color w:val="000000"/>
                <w:sz w:val="22"/>
                <w:szCs w:val="22"/>
                <w:lang w:eastAsia="en-GB"/>
              </w:rPr>
              <w:t>(c) The behaviour</w:t>
            </w:r>
            <w:r>
              <w:rPr>
                <w:rFonts w:cs="Arial"/>
                <w:i/>
                <w:iCs/>
                <w:color w:val="000000"/>
                <w:sz w:val="22"/>
                <w:szCs w:val="22"/>
                <w:lang w:eastAsia="en-GB"/>
              </w:rPr>
              <w:t xml:space="preserve"> </w:t>
            </w:r>
            <w:r w:rsidRPr="008E4CEA">
              <w:rPr>
                <w:rFonts w:cs="Arial"/>
                <w:i/>
                <w:iCs/>
                <w:color w:val="000000"/>
                <w:sz w:val="22"/>
                <w:szCs w:val="22"/>
                <w:lang w:eastAsia="en-GB"/>
              </w:rPr>
              <w:t xml:space="preserve">has a serious effect on B, and </w:t>
            </w:r>
          </w:p>
          <w:p w14:paraId="2AFC8093" w14:textId="2B3B10D8" w:rsidR="005C6CD8" w:rsidRPr="008E4CEA" w:rsidRDefault="008E4CEA" w:rsidP="00461A4B">
            <w:pPr>
              <w:autoSpaceDE w:val="0"/>
              <w:autoSpaceDN w:val="0"/>
              <w:adjustRightInd w:val="0"/>
              <w:jc w:val="both"/>
              <w:rPr>
                <w:rStyle w:val="lookup-resultcontent"/>
                <w:rFonts w:cs="Arial"/>
                <w:i/>
                <w:iCs/>
                <w:color w:val="000000"/>
                <w:sz w:val="22"/>
                <w:szCs w:val="22"/>
                <w:lang w:eastAsia="en-GB"/>
              </w:rPr>
            </w:pPr>
            <w:r w:rsidRPr="008E4CEA">
              <w:rPr>
                <w:rFonts w:cs="Arial"/>
                <w:i/>
                <w:iCs/>
                <w:color w:val="000000"/>
                <w:sz w:val="22"/>
                <w:szCs w:val="22"/>
                <w:lang w:eastAsia="en-GB"/>
              </w:rPr>
              <w:t>(d) A knows or ought to know that the behaviour will have a serious</w:t>
            </w:r>
            <w:r>
              <w:rPr>
                <w:rFonts w:cs="Arial"/>
                <w:i/>
                <w:iCs/>
                <w:color w:val="000000"/>
                <w:sz w:val="22"/>
                <w:szCs w:val="22"/>
                <w:lang w:eastAsia="en-GB"/>
              </w:rPr>
              <w:t xml:space="preserve"> </w:t>
            </w:r>
            <w:r w:rsidRPr="008E4CEA">
              <w:rPr>
                <w:rFonts w:cs="Arial"/>
                <w:i/>
                <w:iCs/>
                <w:color w:val="000000"/>
                <w:sz w:val="22"/>
                <w:szCs w:val="22"/>
                <w:lang w:eastAsia="en-GB"/>
              </w:rPr>
              <w:t>effect on B</w:t>
            </w:r>
            <w:r w:rsidRPr="008E4CEA">
              <w:rPr>
                <w:rFonts w:cs="Arial"/>
                <w:color w:val="000000" w:themeColor="text1"/>
                <w:sz w:val="22"/>
                <w:szCs w:val="22"/>
                <w:lang w:eastAsia="en-GB"/>
              </w:rPr>
              <w:t>.</w:t>
            </w:r>
            <w:r>
              <w:rPr>
                <w:rFonts w:cs="Arial"/>
                <w:color w:val="000000" w:themeColor="text1"/>
                <w:sz w:val="22"/>
                <w:szCs w:val="22"/>
                <w:lang w:eastAsia="en-GB"/>
              </w:rPr>
              <w:t>’</w:t>
            </w:r>
            <w:r w:rsidRPr="008E4CEA">
              <w:rPr>
                <w:rFonts w:cs="Arial"/>
                <w:color w:val="000000" w:themeColor="text1"/>
                <w:sz w:val="22"/>
                <w:szCs w:val="22"/>
                <w:lang w:eastAsia="en-GB"/>
              </w:rPr>
              <w:t xml:space="preserve"> (Home Office</w:t>
            </w:r>
            <w:r>
              <w:rPr>
                <w:rFonts w:cs="Arial"/>
                <w:color w:val="000000" w:themeColor="text1"/>
                <w:sz w:val="22"/>
                <w:szCs w:val="22"/>
                <w:lang w:eastAsia="en-GB"/>
              </w:rPr>
              <w:t xml:space="preserve">, </w:t>
            </w:r>
            <w:r w:rsidRPr="008E4CEA">
              <w:rPr>
                <w:rFonts w:cs="Arial"/>
                <w:color w:val="000000" w:themeColor="text1"/>
                <w:sz w:val="22"/>
                <w:szCs w:val="22"/>
                <w:lang w:eastAsia="en-GB"/>
              </w:rPr>
              <w:t>2015:3)</w:t>
            </w:r>
          </w:p>
          <w:p w14:paraId="7F0F30CF" w14:textId="1401F9A0" w:rsidR="00246D82" w:rsidRDefault="00246D82" w:rsidP="00461A4B">
            <w:pPr>
              <w:tabs>
                <w:tab w:val="left" w:pos="1860"/>
              </w:tabs>
              <w:spacing w:line="276" w:lineRule="auto"/>
              <w:jc w:val="both"/>
              <w:rPr>
                <w:rFonts w:cs="Arial"/>
                <w:color w:val="1C1D1E"/>
                <w:sz w:val="22"/>
                <w:szCs w:val="22"/>
                <w:shd w:val="clear" w:color="auto" w:fill="FFFFFF"/>
              </w:rPr>
            </w:pPr>
          </w:p>
          <w:p w14:paraId="2DA5A895" w14:textId="6A5381F5" w:rsidR="00461A4B" w:rsidRPr="00684371" w:rsidRDefault="008E4CEA" w:rsidP="00461A4B">
            <w:pPr>
              <w:autoSpaceDE w:val="0"/>
              <w:autoSpaceDN w:val="0"/>
              <w:adjustRightInd w:val="0"/>
              <w:jc w:val="both"/>
              <w:rPr>
                <w:rFonts w:cs="Arial"/>
                <w:sz w:val="22"/>
                <w:szCs w:val="22"/>
                <w:lang w:eastAsia="en-GB"/>
              </w:rPr>
            </w:pPr>
            <w:r w:rsidRPr="00684371">
              <w:rPr>
                <w:rFonts w:cs="Arial"/>
                <w:sz w:val="22"/>
                <w:szCs w:val="22"/>
                <w:lang w:eastAsia="en-GB"/>
              </w:rPr>
              <w:t xml:space="preserve">This legislation has been seen as a positive move forward in legal terms as it recognises the persistent nature of domestic abuse and allows for a framework by which professionals in this field can understand such abuse as being part of a process occurring over </w:t>
            </w:r>
            <w:r w:rsidR="00461A4B" w:rsidRPr="00684371">
              <w:rPr>
                <w:rFonts w:cs="Arial"/>
                <w:sz w:val="22"/>
                <w:szCs w:val="22"/>
                <w:lang w:eastAsia="en-GB"/>
              </w:rPr>
              <w:t>a period</w:t>
            </w:r>
            <w:r w:rsidRPr="00684371">
              <w:rPr>
                <w:rFonts w:cs="Arial"/>
                <w:sz w:val="22"/>
                <w:szCs w:val="22"/>
                <w:lang w:eastAsia="en-GB"/>
              </w:rPr>
              <w:t xml:space="preserve"> rather than simply being seen as a one-off event (Barlow et al, 2019).</w:t>
            </w:r>
            <w:r w:rsidR="00461A4B" w:rsidRPr="00684371">
              <w:rPr>
                <w:rFonts w:cs="Arial"/>
                <w:sz w:val="22"/>
                <w:szCs w:val="22"/>
                <w:lang w:eastAsia="en-GB"/>
              </w:rPr>
              <w:t xml:space="preserve"> </w:t>
            </w:r>
            <w:r w:rsidR="00621350" w:rsidRPr="00684371">
              <w:rPr>
                <w:rFonts w:cs="Arial"/>
                <w:sz w:val="22"/>
                <w:szCs w:val="22"/>
                <w:lang w:eastAsia="en-GB"/>
              </w:rPr>
              <w:t xml:space="preserve">However, despite the positive move forward in terms of legislation, there is still work to be done as identified by the HMICFRS (2019) inspection report into police response to domestic abuse. The report found that </w:t>
            </w:r>
            <w:r w:rsidR="00684371" w:rsidRPr="00684371">
              <w:rPr>
                <w:rFonts w:cs="Arial"/>
                <w:sz w:val="22"/>
                <w:szCs w:val="22"/>
                <w:lang w:eastAsia="en-GB"/>
              </w:rPr>
              <w:t xml:space="preserve">despite investing in training around domestic abuse, a survey of over 350 </w:t>
            </w:r>
            <w:r w:rsidR="00684371" w:rsidRPr="00684371">
              <w:rPr>
                <w:sz w:val="22"/>
                <w:szCs w:val="22"/>
              </w:rPr>
              <w:t xml:space="preserve">domestic abuse practitioners (non-police staff who work closely with victims of domestic abuse) found that the area requiring the most improvement among frontline officers was their understanding of coercive and controlling behaviour. </w:t>
            </w:r>
            <w:r w:rsidR="00461A4B" w:rsidRPr="00461A4B">
              <w:rPr>
                <w:rFonts w:cs="Arial"/>
                <w:color w:val="000000" w:themeColor="text1"/>
                <w:sz w:val="22"/>
                <w:szCs w:val="22"/>
                <w:lang w:eastAsia="en-GB"/>
              </w:rPr>
              <w:t>As Walklate et al. (2018) points out, t</w:t>
            </w:r>
            <w:r w:rsidR="00461A4B" w:rsidRPr="00461A4B">
              <w:rPr>
                <w:rFonts w:cs="Arial"/>
                <w:color w:val="000000"/>
                <w:sz w:val="22"/>
                <w:szCs w:val="22"/>
                <w:lang w:eastAsia="en-GB"/>
              </w:rPr>
              <w:t xml:space="preserve">he implementation of this offence relies on police officers being able to identify coercive and controlling behaviour. They need to be able to gather information from the victim that demonstrates a series of abusive events and correctly assess such behaviour as coercive and controlling to </w:t>
            </w:r>
            <w:r w:rsidR="00461A4B">
              <w:rPr>
                <w:rFonts w:cs="Arial"/>
                <w:color w:val="000000"/>
                <w:sz w:val="22"/>
                <w:szCs w:val="22"/>
                <w:lang w:eastAsia="en-GB"/>
              </w:rPr>
              <w:t xml:space="preserve">be able to </w:t>
            </w:r>
            <w:r w:rsidR="00461A4B" w:rsidRPr="00461A4B">
              <w:rPr>
                <w:rFonts w:cs="Arial"/>
                <w:color w:val="000000"/>
                <w:sz w:val="22"/>
                <w:szCs w:val="22"/>
                <w:lang w:eastAsia="en-GB"/>
              </w:rPr>
              <w:t>lay charges. This can be difficult in that it is a completely different approach, moving away from the typical responding and analysing criminal incidents as immediate, isolated events. Instead, police officers will be asked to consider such offences as a series of interrelated offences that are extremely harmful.</w:t>
            </w:r>
            <w:r w:rsidR="00461A4B">
              <w:rPr>
                <w:rFonts w:cs="Arial"/>
                <w:color w:val="000000"/>
                <w:sz w:val="22"/>
                <w:szCs w:val="22"/>
                <w:lang w:eastAsia="en-GB"/>
              </w:rPr>
              <w:t xml:space="preserve"> Walklate’s analysis captures the difficulties in implementing the offence of coercive and controlling behaviour, as it challenges the typical approach of police officers, and the role of the use of discretion (Myhill and Johnson, 2016). </w:t>
            </w:r>
          </w:p>
          <w:p w14:paraId="20E4DC9F" w14:textId="40D1C1A9" w:rsidR="00621350" w:rsidRDefault="00621350" w:rsidP="00461A4B">
            <w:pPr>
              <w:autoSpaceDE w:val="0"/>
              <w:autoSpaceDN w:val="0"/>
              <w:adjustRightInd w:val="0"/>
              <w:jc w:val="both"/>
              <w:rPr>
                <w:rFonts w:cs="Arial"/>
                <w:color w:val="000000"/>
                <w:sz w:val="22"/>
                <w:szCs w:val="22"/>
                <w:lang w:eastAsia="en-GB"/>
              </w:rPr>
            </w:pPr>
          </w:p>
          <w:p w14:paraId="49FF3BEC" w14:textId="5FAAAA2B" w:rsidR="00684371" w:rsidRDefault="00684371" w:rsidP="00461A4B">
            <w:pPr>
              <w:autoSpaceDE w:val="0"/>
              <w:autoSpaceDN w:val="0"/>
              <w:adjustRightInd w:val="0"/>
              <w:jc w:val="both"/>
              <w:rPr>
                <w:rFonts w:cs="Arial"/>
                <w:color w:val="000000"/>
                <w:sz w:val="22"/>
                <w:szCs w:val="22"/>
                <w:lang w:eastAsia="en-GB"/>
              </w:rPr>
            </w:pPr>
          </w:p>
          <w:p w14:paraId="314F20DE" w14:textId="43ACB80B" w:rsidR="00684371" w:rsidRDefault="00684371" w:rsidP="00461A4B">
            <w:pPr>
              <w:autoSpaceDE w:val="0"/>
              <w:autoSpaceDN w:val="0"/>
              <w:adjustRightInd w:val="0"/>
              <w:jc w:val="both"/>
              <w:rPr>
                <w:rFonts w:cs="Arial"/>
                <w:color w:val="000000"/>
                <w:sz w:val="22"/>
                <w:szCs w:val="22"/>
                <w:lang w:eastAsia="en-GB"/>
              </w:rPr>
            </w:pPr>
          </w:p>
          <w:p w14:paraId="0517DC5A" w14:textId="2CB9066D" w:rsidR="004B1E57" w:rsidRPr="000D0980" w:rsidRDefault="004B1E57" w:rsidP="004B1E57">
            <w:pPr>
              <w:autoSpaceDE w:val="0"/>
              <w:autoSpaceDN w:val="0"/>
              <w:adjustRightInd w:val="0"/>
              <w:jc w:val="both"/>
              <w:rPr>
                <w:rFonts w:cs="Arial"/>
                <w:sz w:val="22"/>
                <w:szCs w:val="22"/>
                <w:lang w:eastAsia="en-GB"/>
              </w:rPr>
            </w:pPr>
            <w:r w:rsidRPr="000D0980">
              <w:rPr>
                <w:rFonts w:cs="Arial"/>
                <w:sz w:val="22"/>
                <w:szCs w:val="22"/>
                <w:lang w:eastAsia="en-GB"/>
              </w:rPr>
              <w:t>Issues relating to police understanding of coercive control, and how this impacts the response and therefore the victim are clear. Myhill and Johnson’s (2016) research incorporated data analysis of frontline calls and field observations relating to domestic abuse and found that frontline police officers had difficulties correctly interpreting and applying the broad national definition of domestic abuse. The research also found that officers often had a lack of understanding of coercive control and therefore failed to recognise signs of abuse. Some officers also failed to situate individual incidents in the context of coercive and controlling behaviour, and they also failed to understand that victims may minimise the abuse they were experiencing. As a result, some calls were not categorised as domestic abuse, having significant impact on victim safety. Brennan et al’s (2016) research in Humberside</w:t>
            </w:r>
            <w:r w:rsidR="000D0980">
              <w:rPr>
                <w:rFonts w:cs="Arial"/>
                <w:sz w:val="22"/>
                <w:szCs w:val="22"/>
                <w:lang w:eastAsia="en-GB"/>
              </w:rPr>
              <w:t xml:space="preserve"> similarly</w:t>
            </w:r>
            <w:r w:rsidRPr="000D0980">
              <w:rPr>
                <w:rFonts w:cs="Arial"/>
                <w:sz w:val="22"/>
                <w:szCs w:val="22"/>
                <w:lang w:eastAsia="en-GB"/>
              </w:rPr>
              <w:t xml:space="preserve"> found that frontline practitioners were concerned that understanding of coercive control was limited and that victims were being missed</w:t>
            </w:r>
            <w:r w:rsidR="000D0980" w:rsidRPr="000D0980">
              <w:rPr>
                <w:rFonts w:cs="Arial"/>
                <w:sz w:val="22"/>
                <w:szCs w:val="22"/>
                <w:lang w:eastAsia="en-GB"/>
              </w:rPr>
              <w:t xml:space="preserve">, </w:t>
            </w:r>
            <w:r w:rsidR="000D0980" w:rsidRPr="000D0980">
              <w:rPr>
                <w:sz w:val="22"/>
                <w:szCs w:val="22"/>
              </w:rPr>
              <w:t>with the police having a tendency to see incidents in isolation from one another as opposed to considering the bigger picture.</w:t>
            </w:r>
            <w:r w:rsidR="000D0980">
              <w:rPr>
                <w:sz w:val="22"/>
                <w:szCs w:val="22"/>
              </w:rPr>
              <w:t xml:space="preserve"> </w:t>
            </w:r>
          </w:p>
          <w:p w14:paraId="1A261B68" w14:textId="77777777" w:rsidR="004B1E57" w:rsidRDefault="004B1E57" w:rsidP="004B1E57">
            <w:pPr>
              <w:autoSpaceDE w:val="0"/>
              <w:autoSpaceDN w:val="0"/>
              <w:adjustRightInd w:val="0"/>
              <w:rPr>
                <w:rFonts w:ascii="Times New Roman" w:hAnsi="Times New Roman"/>
                <w:i/>
                <w:iCs/>
                <w:sz w:val="20"/>
                <w:lang w:eastAsia="en-GB"/>
              </w:rPr>
            </w:pPr>
          </w:p>
          <w:p w14:paraId="335C3CE4" w14:textId="022D12E4" w:rsidR="000D0980" w:rsidRPr="0083245B" w:rsidRDefault="000D0980" w:rsidP="0083245B">
            <w:pPr>
              <w:autoSpaceDE w:val="0"/>
              <w:autoSpaceDN w:val="0"/>
              <w:adjustRightInd w:val="0"/>
              <w:jc w:val="both"/>
              <w:rPr>
                <w:rFonts w:cs="Arial"/>
                <w:sz w:val="22"/>
                <w:szCs w:val="22"/>
                <w:lang w:eastAsia="en-GB"/>
              </w:rPr>
            </w:pPr>
            <w:r w:rsidRPr="0083245B">
              <w:rPr>
                <w:rFonts w:cs="Arial"/>
                <w:sz w:val="22"/>
                <w:szCs w:val="22"/>
                <w:lang w:eastAsia="en-GB"/>
              </w:rPr>
              <w:t xml:space="preserve">It is clear then that coercive controlling behaviour often goes under the radar (Brennan et al, 2016; </w:t>
            </w:r>
            <w:r w:rsidR="0083245B" w:rsidRPr="0083245B">
              <w:rPr>
                <w:rFonts w:cs="Arial"/>
                <w:sz w:val="22"/>
                <w:szCs w:val="22"/>
                <w:lang w:eastAsia="en-GB"/>
              </w:rPr>
              <w:t xml:space="preserve">Myhill and Johnson, 2016; </w:t>
            </w:r>
            <w:r w:rsidRPr="0083245B">
              <w:rPr>
                <w:rFonts w:cs="Arial"/>
                <w:sz w:val="22"/>
                <w:szCs w:val="22"/>
                <w:lang w:eastAsia="en-GB"/>
              </w:rPr>
              <w:t>Robinson et al., 2018)</w:t>
            </w:r>
            <w:r w:rsidR="0083245B" w:rsidRPr="0083245B">
              <w:rPr>
                <w:rFonts w:cs="Arial"/>
                <w:sz w:val="22"/>
                <w:szCs w:val="22"/>
                <w:lang w:eastAsia="en-GB"/>
              </w:rPr>
              <w:t xml:space="preserve"> with the subtle behaviours being more difficult to recognise than physical injuries. The limited research in Wales (Robinson et al, 2018) demonstrates that </w:t>
            </w:r>
            <w:r w:rsidR="0083245B">
              <w:rPr>
                <w:rFonts w:cs="Arial"/>
                <w:sz w:val="22"/>
                <w:szCs w:val="22"/>
                <w:lang w:eastAsia="en-GB"/>
              </w:rPr>
              <w:t xml:space="preserve">those who work in </w:t>
            </w:r>
            <w:r w:rsidR="0083245B" w:rsidRPr="0083245B">
              <w:rPr>
                <w:rFonts w:cs="Arial"/>
                <w:sz w:val="22"/>
                <w:szCs w:val="22"/>
                <w:lang w:eastAsia="en-GB"/>
              </w:rPr>
              <w:t>partner agencies, p</w:t>
            </w:r>
            <w:r w:rsidR="0083245B">
              <w:rPr>
                <w:rFonts w:cs="Arial"/>
                <w:sz w:val="22"/>
                <w:szCs w:val="22"/>
                <w:lang w:eastAsia="en-GB"/>
              </w:rPr>
              <w:t>articularly</w:t>
            </w:r>
            <w:r w:rsidR="0083245B" w:rsidRPr="0083245B">
              <w:rPr>
                <w:rFonts w:cs="Arial"/>
                <w:sz w:val="22"/>
                <w:szCs w:val="22"/>
                <w:lang w:eastAsia="en-GB"/>
              </w:rPr>
              <w:t xml:space="preserve"> those </w:t>
            </w:r>
            <w:r w:rsidR="0083245B">
              <w:rPr>
                <w:rFonts w:cs="Arial"/>
                <w:sz w:val="22"/>
                <w:szCs w:val="22"/>
                <w:lang w:eastAsia="en-GB"/>
              </w:rPr>
              <w:t>who provide</w:t>
            </w:r>
            <w:r w:rsidR="0083245B" w:rsidRPr="0083245B">
              <w:rPr>
                <w:rFonts w:cs="Arial"/>
                <w:sz w:val="22"/>
                <w:szCs w:val="22"/>
                <w:lang w:eastAsia="en-GB"/>
              </w:rPr>
              <w:t xml:space="preserve"> specialist domestic abuse advocates, had a greater understanding of coercive control than police officers. However, there is currently no specific research, particularly quantitative research that seeks to uncover levels of police understanding</w:t>
            </w:r>
            <w:r w:rsidR="0083245B">
              <w:rPr>
                <w:rFonts w:cs="Arial"/>
                <w:sz w:val="22"/>
                <w:szCs w:val="22"/>
                <w:lang w:eastAsia="en-GB"/>
              </w:rPr>
              <w:t xml:space="preserve"> of coercive control</w:t>
            </w:r>
            <w:r w:rsidR="0083245B" w:rsidRPr="0083245B">
              <w:rPr>
                <w:rFonts w:cs="Arial"/>
                <w:sz w:val="22"/>
                <w:szCs w:val="22"/>
                <w:lang w:eastAsia="en-GB"/>
              </w:rPr>
              <w:t xml:space="preserve"> and</w:t>
            </w:r>
            <w:r w:rsidR="0083245B">
              <w:rPr>
                <w:rFonts w:cs="Arial"/>
                <w:sz w:val="22"/>
                <w:szCs w:val="22"/>
                <w:lang w:eastAsia="en-GB"/>
              </w:rPr>
              <w:t xml:space="preserve"> the subsequent</w:t>
            </w:r>
            <w:r w:rsidR="0083245B" w:rsidRPr="0083245B">
              <w:rPr>
                <w:rFonts w:cs="Arial"/>
                <w:sz w:val="22"/>
                <w:szCs w:val="22"/>
                <w:lang w:eastAsia="en-GB"/>
              </w:rPr>
              <w:t xml:space="preserve"> impact on response. </w:t>
            </w:r>
          </w:p>
          <w:p w14:paraId="4964BE3B" w14:textId="77777777" w:rsidR="005C6CD8" w:rsidRPr="00D012E7" w:rsidRDefault="005C6CD8" w:rsidP="00461A4B">
            <w:pPr>
              <w:autoSpaceDE w:val="0"/>
              <w:autoSpaceDN w:val="0"/>
              <w:adjustRightInd w:val="0"/>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1669C86E" w14:textId="5B785E10" w:rsidR="00E75F06" w:rsidRPr="00791DDC"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36BA90C9" w14:textId="145ACCDE" w:rsidR="00791DDC" w:rsidRPr="00791DDC" w:rsidRDefault="000B17D9" w:rsidP="00791DDC">
            <w:pPr>
              <w:jc w:val="both"/>
              <w:rPr>
                <w:sz w:val="22"/>
                <w:szCs w:val="22"/>
              </w:rPr>
            </w:pPr>
            <w:r w:rsidRPr="00C91990">
              <w:rPr>
                <w:rFonts w:cs="Arial"/>
                <w:sz w:val="22"/>
                <w:szCs w:val="22"/>
              </w:rPr>
              <w:t xml:space="preserve">This research will utilise a self-report, online, anonymised survey, and data analysis will be conducted to examine </w:t>
            </w:r>
            <w:r w:rsidRPr="00C91990">
              <w:rPr>
                <w:rFonts w:cs="Arial"/>
                <w:color w:val="000000" w:themeColor="text1"/>
                <w:sz w:val="22"/>
                <w:szCs w:val="22"/>
              </w:rPr>
              <w:t xml:space="preserve">participants </w:t>
            </w:r>
            <w:r>
              <w:rPr>
                <w:rFonts w:cs="Arial"/>
                <w:color w:val="000000" w:themeColor="text1"/>
                <w:sz w:val="22"/>
                <w:szCs w:val="22"/>
              </w:rPr>
              <w:t xml:space="preserve">interpretations and responses to coercive control during their practice. </w:t>
            </w:r>
            <w:r w:rsidR="00791DDC" w:rsidRPr="00791DDC">
              <w:rPr>
                <w:rFonts w:cs="Arial"/>
                <w:color w:val="000000" w:themeColor="text1"/>
                <w:sz w:val="22"/>
                <w:szCs w:val="22"/>
              </w:rPr>
              <w:t>T</w:t>
            </w:r>
            <w:r w:rsidR="00791DDC" w:rsidRPr="00791DDC">
              <w:rPr>
                <w:sz w:val="22"/>
                <w:szCs w:val="22"/>
              </w:rPr>
              <w:t>he use of an online survey has advantages for both the participants and the researcher. Firstly, it can be said to allow the participants to maintain autonomy, as they are able to participate in a way in which they feel comfortable, allowing them the choice of being able to dictate how and where they participate and for how long</w:t>
            </w:r>
            <w:r>
              <w:rPr>
                <w:sz w:val="22"/>
                <w:szCs w:val="22"/>
              </w:rPr>
              <w:t xml:space="preserve"> </w:t>
            </w:r>
            <w:r w:rsidR="00791DDC" w:rsidRPr="00791DDC">
              <w:rPr>
                <w:sz w:val="22"/>
                <w:szCs w:val="22"/>
              </w:rPr>
              <w:t xml:space="preserve">(Ward et al, 2014). Using such a survey can also be argued to provide greater validity as it </w:t>
            </w:r>
            <w:r w:rsidR="00791DDC" w:rsidRPr="00791DDC">
              <w:rPr>
                <w:color w:val="000000"/>
                <w:sz w:val="22"/>
                <w:szCs w:val="22"/>
              </w:rPr>
              <w:t xml:space="preserve">improves the perception of anonymity and lower social desirability forces, with </w:t>
            </w:r>
            <w:r w:rsidR="00791DDC" w:rsidRPr="00791DDC">
              <w:rPr>
                <w:sz w:val="22"/>
                <w:szCs w:val="22"/>
              </w:rPr>
              <w:t>participants not being subject to visual cues from the researcher. This can be said to lead to allow participants to fully engage with the research without fear of judgement, which is particularly useful when exploring policing practice (Bowker and Tuffin, 2004; Touvier et al, 2010).</w:t>
            </w: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F719510" w:rsidR="005C6CD8" w:rsidRPr="00540A97" w:rsidRDefault="00791DDC" w:rsidP="00D4485A">
            <w:pPr>
              <w:jc w:val="both"/>
              <w:rPr>
                <w:rFonts w:cs="Arial"/>
                <w:sz w:val="22"/>
                <w:szCs w:val="22"/>
              </w:rPr>
            </w:pPr>
            <w:r w:rsidRPr="00540A97">
              <w:rPr>
                <w:rFonts w:cs="Arial"/>
                <w:sz w:val="22"/>
                <w:szCs w:val="22"/>
              </w:rPr>
              <w:t xml:space="preserve">The target sample will be current serving response police officers who work in the Gwent police force.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66AAFEFA" w14:textId="77777777" w:rsidR="003D2DD6" w:rsidRPr="003D2DD6" w:rsidRDefault="003D2DD6" w:rsidP="003D2DD6">
            <w:pPr>
              <w:pStyle w:val="ListParagraph"/>
              <w:numPr>
                <w:ilvl w:val="0"/>
                <w:numId w:val="40"/>
              </w:numPr>
              <w:rPr>
                <w:rFonts w:cs="Arial"/>
                <w:sz w:val="22"/>
                <w:szCs w:val="22"/>
              </w:rPr>
            </w:pPr>
            <w:r w:rsidRPr="003D2DD6">
              <w:rPr>
                <w:rFonts w:cs="Arial"/>
                <w:sz w:val="22"/>
                <w:szCs w:val="22"/>
              </w:rPr>
              <w:t>Participants will be aged 18+ and are being asked to state how they interpret and apply the legislation around coercive control using of Likert-type questions. It must be considered that participants themselves may have subjected to such behaviours and as a result such questioning may trigger memories which are painful.</w:t>
            </w:r>
          </w:p>
          <w:p w14:paraId="49049CF4" w14:textId="1C8DFB47" w:rsidR="003D2DD6" w:rsidRPr="003D2DD6" w:rsidRDefault="003D2DD6" w:rsidP="003D2DD6">
            <w:pPr>
              <w:pStyle w:val="ListParagraph"/>
              <w:numPr>
                <w:ilvl w:val="0"/>
                <w:numId w:val="40"/>
              </w:numPr>
              <w:rPr>
                <w:rFonts w:cs="Arial"/>
                <w:sz w:val="22"/>
                <w:szCs w:val="22"/>
              </w:rPr>
            </w:pPr>
            <w:r w:rsidRPr="003D2DD6">
              <w:rPr>
                <w:rFonts w:cs="Arial"/>
                <w:sz w:val="22"/>
                <w:szCs w:val="22"/>
              </w:rPr>
              <w:t xml:space="preserve">Coercive control and domestic abuse are sensitive topics and asking police officers about how they deal with such incidents must be done with caution and skill. </w:t>
            </w:r>
          </w:p>
          <w:p w14:paraId="3A8D2F69" w14:textId="16F2885F" w:rsidR="00D4485A" w:rsidRPr="003D2DD6" w:rsidRDefault="003D2DD6" w:rsidP="003D2DD6">
            <w:pPr>
              <w:pStyle w:val="ListParagraph"/>
              <w:numPr>
                <w:ilvl w:val="0"/>
                <w:numId w:val="40"/>
              </w:numPr>
              <w:rPr>
                <w:rFonts w:cs="Arial"/>
                <w:sz w:val="22"/>
                <w:szCs w:val="22"/>
              </w:rPr>
            </w:pPr>
            <w:r w:rsidRPr="003D2DD6">
              <w:rPr>
                <w:rFonts w:cs="Arial"/>
                <w:sz w:val="22"/>
                <w:szCs w:val="22"/>
                <w:lang w:eastAsia="en-GB"/>
              </w:rPr>
              <w:t>Distress could also occur if participants are worried that figures of authority will become aware of the responses as this research will take place within their workplace.</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4B515334" w14:textId="77777777" w:rsidR="00D4485A" w:rsidRPr="00540A97" w:rsidRDefault="00540A97" w:rsidP="00D4485A">
            <w:pPr>
              <w:jc w:val="both"/>
              <w:rPr>
                <w:rFonts w:cs="Arial"/>
                <w:color w:val="000000" w:themeColor="text1"/>
                <w:sz w:val="22"/>
                <w:szCs w:val="22"/>
              </w:rPr>
            </w:pPr>
            <w:r w:rsidRPr="00540A97">
              <w:rPr>
                <w:rFonts w:cs="Arial"/>
                <w:color w:val="000000" w:themeColor="text1"/>
                <w:sz w:val="22"/>
                <w:szCs w:val="22"/>
              </w:rPr>
              <w:t>December 2022 – Literature Review</w:t>
            </w:r>
          </w:p>
          <w:p w14:paraId="612069AD" w14:textId="77777777" w:rsidR="00540A97" w:rsidRPr="00540A97" w:rsidRDefault="00540A97" w:rsidP="00D4485A">
            <w:pPr>
              <w:jc w:val="both"/>
              <w:rPr>
                <w:rFonts w:cs="Arial"/>
                <w:color w:val="000000" w:themeColor="text1"/>
                <w:sz w:val="22"/>
                <w:szCs w:val="22"/>
              </w:rPr>
            </w:pPr>
            <w:r w:rsidRPr="00540A97">
              <w:rPr>
                <w:rFonts w:cs="Arial"/>
                <w:color w:val="000000" w:themeColor="text1"/>
                <w:sz w:val="22"/>
                <w:szCs w:val="22"/>
              </w:rPr>
              <w:t>Jan-March 2023 – Methodology and Data Collection</w:t>
            </w:r>
          </w:p>
          <w:p w14:paraId="4BD49EA5" w14:textId="77777777" w:rsidR="00540A97" w:rsidRPr="00540A97" w:rsidRDefault="00540A97" w:rsidP="00D4485A">
            <w:pPr>
              <w:jc w:val="both"/>
              <w:rPr>
                <w:rFonts w:cs="Arial"/>
                <w:color w:val="000000" w:themeColor="text1"/>
                <w:sz w:val="22"/>
                <w:szCs w:val="22"/>
              </w:rPr>
            </w:pPr>
            <w:r w:rsidRPr="00540A97">
              <w:rPr>
                <w:rFonts w:cs="Arial"/>
                <w:color w:val="000000" w:themeColor="text1"/>
                <w:sz w:val="22"/>
                <w:szCs w:val="22"/>
              </w:rPr>
              <w:t>April 2023 – Data Analysis</w:t>
            </w:r>
          </w:p>
          <w:p w14:paraId="5652837C" w14:textId="767D361D" w:rsidR="00540A97" w:rsidRPr="00D4485A" w:rsidRDefault="00540A97" w:rsidP="00D4485A">
            <w:pPr>
              <w:jc w:val="both"/>
              <w:rPr>
                <w:rFonts w:cs="Arial"/>
                <w:sz w:val="22"/>
                <w:szCs w:val="22"/>
              </w:rPr>
            </w:pPr>
            <w:r w:rsidRPr="00540A97">
              <w:rPr>
                <w:rFonts w:cs="Arial"/>
                <w:color w:val="000000" w:themeColor="text1"/>
                <w:sz w:val="22"/>
                <w:szCs w:val="22"/>
              </w:rPr>
              <w:t>May- July 2023 – Findings and Conclusions</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791DDC" w:rsidRDefault="00D4485A" w:rsidP="00791DDC">
            <w:pPr>
              <w:spacing w:line="276" w:lineRule="auto"/>
              <w:jc w:val="both"/>
              <w:rPr>
                <w:rFonts w:cs="Arial"/>
                <w:b/>
                <w:bCs/>
                <w:sz w:val="22"/>
                <w:szCs w:val="22"/>
              </w:rPr>
            </w:pPr>
            <w:r w:rsidRPr="00791DDC">
              <w:rPr>
                <w:rFonts w:cs="Arial"/>
                <w:b/>
                <w:bCs/>
                <w:sz w:val="22"/>
                <w:szCs w:val="22"/>
              </w:rPr>
              <w:t>REFERENCE LIST:</w:t>
            </w:r>
          </w:p>
          <w:p w14:paraId="0D897D32" w14:textId="57728B5E" w:rsidR="00D4485A" w:rsidRPr="00791DDC" w:rsidRDefault="00D4485A" w:rsidP="00791DDC">
            <w:pPr>
              <w:spacing w:line="276" w:lineRule="auto"/>
              <w:jc w:val="both"/>
              <w:rPr>
                <w:rFonts w:asciiTheme="minorHAnsi" w:hAnsiTheme="minorHAnsi" w:cstheme="minorHAnsi"/>
                <w:b/>
                <w:bCs/>
                <w:sz w:val="22"/>
                <w:szCs w:val="22"/>
              </w:rPr>
            </w:pPr>
          </w:p>
          <w:p w14:paraId="79549A70" w14:textId="2892386D" w:rsidR="00E75F06" w:rsidRPr="00791DDC" w:rsidRDefault="00E75F06" w:rsidP="00791DDC">
            <w:pPr>
              <w:spacing w:line="276" w:lineRule="auto"/>
              <w:jc w:val="both"/>
              <w:rPr>
                <w:rFonts w:cs="Arial"/>
                <w:sz w:val="22"/>
                <w:szCs w:val="22"/>
              </w:rPr>
            </w:pPr>
            <w:r w:rsidRPr="00791DDC">
              <w:rPr>
                <w:rFonts w:cs="Arial"/>
                <w:sz w:val="22"/>
                <w:szCs w:val="22"/>
              </w:rPr>
              <w:t>Barlow, C., Johnson, K., Walklate, S and Humphreys, L (2019) ‘Putting Coercive Control into Practice: Problems and Possibilities’, British Journal of Criminology, Vol 60, 160–79.</w:t>
            </w:r>
          </w:p>
          <w:p w14:paraId="7F11D71B" w14:textId="3A9C9539" w:rsidR="00E75F06" w:rsidRPr="00791DDC" w:rsidRDefault="00E75F06" w:rsidP="00791DDC">
            <w:pPr>
              <w:spacing w:line="276" w:lineRule="auto"/>
              <w:jc w:val="both"/>
              <w:rPr>
                <w:rFonts w:cs="Arial"/>
                <w:sz w:val="22"/>
                <w:szCs w:val="22"/>
              </w:rPr>
            </w:pPr>
          </w:p>
          <w:p w14:paraId="685DC148" w14:textId="51384815" w:rsidR="00791DDC" w:rsidRDefault="00791DDC" w:rsidP="00791DDC">
            <w:pPr>
              <w:spacing w:line="276" w:lineRule="auto"/>
              <w:jc w:val="both"/>
              <w:rPr>
                <w:sz w:val="22"/>
                <w:szCs w:val="22"/>
              </w:rPr>
            </w:pPr>
            <w:r w:rsidRPr="00791DDC">
              <w:rPr>
                <w:sz w:val="22"/>
                <w:szCs w:val="22"/>
              </w:rPr>
              <w:t>Bowker, N and Tuffin, K (2004) ‘Using the online medium for discursive research about people with disabilities’, Social Science Computer Review, Vol 22(2), 228-241.</w:t>
            </w:r>
          </w:p>
          <w:p w14:paraId="77322837" w14:textId="5A3DB6F9" w:rsidR="000D0980" w:rsidRDefault="000D0980" w:rsidP="00791DDC">
            <w:pPr>
              <w:spacing w:line="276" w:lineRule="auto"/>
              <w:jc w:val="both"/>
              <w:rPr>
                <w:sz w:val="22"/>
                <w:szCs w:val="22"/>
              </w:rPr>
            </w:pPr>
          </w:p>
          <w:p w14:paraId="0CA14501" w14:textId="36B6382C" w:rsidR="000D0980" w:rsidRPr="000D0980" w:rsidRDefault="000D0980" w:rsidP="000D0980">
            <w:pPr>
              <w:autoSpaceDE w:val="0"/>
              <w:autoSpaceDN w:val="0"/>
              <w:adjustRightInd w:val="0"/>
              <w:rPr>
                <w:rFonts w:cs="Arial"/>
                <w:sz w:val="22"/>
                <w:szCs w:val="22"/>
                <w:lang w:eastAsia="en-GB"/>
              </w:rPr>
            </w:pPr>
            <w:r w:rsidRPr="000D0980">
              <w:rPr>
                <w:rFonts w:cs="Arial"/>
                <w:sz w:val="22"/>
                <w:szCs w:val="22"/>
                <w:lang w:eastAsia="en-GB"/>
              </w:rPr>
              <w:t xml:space="preserve">Brennan IR, Burton V, Gormally S, et al. (2016) An exploration of domestic abuse patterns and service provision in Humberside. Hull, England: University of Hull. Available at: </w:t>
            </w:r>
            <w:hyperlink r:id="rId12" w:history="1">
              <w:r w:rsidRPr="000D0980">
                <w:rPr>
                  <w:rStyle w:val="Hyperlink"/>
                  <w:rFonts w:cs="Arial"/>
                  <w:sz w:val="22"/>
                  <w:szCs w:val="22"/>
                  <w:lang w:eastAsia="en-GB"/>
                </w:rPr>
                <w:t>https://hydra.hull.ac.uk/assets/hull:14106/content</w:t>
              </w:r>
            </w:hyperlink>
            <w:r w:rsidRPr="000D0980">
              <w:rPr>
                <w:rFonts w:cs="Arial"/>
                <w:sz w:val="22"/>
                <w:szCs w:val="22"/>
                <w:lang w:eastAsia="en-GB"/>
              </w:rPr>
              <w:t xml:space="preserve"> [Accessed on: 10/11/2022]</w:t>
            </w:r>
          </w:p>
          <w:p w14:paraId="24158360" w14:textId="77777777" w:rsidR="00791DDC" w:rsidRPr="00791DDC" w:rsidRDefault="00791DDC" w:rsidP="00791DDC">
            <w:pPr>
              <w:spacing w:line="276" w:lineRule="auto"/>
              <w:jc w:val="both"/>
              <w:rPr>
                <w:rFonts w:cs="Arial"/>
                <w:sz w:val="22"/>
                <w:szCs w:val="22"/>
              </w:rPr>
            </w:pPr>
          </w:p>
          <w:p w14:paraId="60597E7F" w14:textId="3DB5B5F2" w:rsidR="00E75F06" w:rsidRPr="00791DDC" w:rsidRDefault="00E75F06" w:rsidP="00791DDC">
            <w:pPr>
              <w:spacing w:line="276" w:lineRule="auto"/>
              <w:jc w:val="both"/>
              <w:rPr>
                <w:rFonts w:cs="Arial"/>
                <w:sz w:val="22"/>
                <w:szCs w:val="22"/>
              </w:rPr>
            </w:pPr>
            <w:r w:rsidRPr="00791DDC">
              <w:rPr>
                <w:rFonts w:cs="Arial"/>
                <w:sz w:val="22"/>
                <w:szCs w:val="22"/>
              </w:rPr>
              <w:t>Burman, M and Brooks-Hay, O (2018) ‘Aligning Policy and Law? The Creation of a Domestic Abuse Offence Incorporating Coercive Control’, Criminology and Criminal Justice, Vol 18, 67–83.</w:t>
            </w:r>
          </w:p>
          <w:p w14:paraId="09D22D1A" w14:textId="77777777" w:rsidR="00E75F06" w:rsidRPr="00791DDC" w:rsidRDefault="00E75F06" w:rsidP="00791DDC">
            <w:pPr>
              <w:spacing w:line="276" w:lineRule="auto"/>
              <w:jc w:val="both"/>
              <w:rPr>
                <w:rFonts w:cs="Arial"/>
                <w:b/>
                <w:bCs/>
                <w:sz w:val="22"/>
                <w:szCs w:val="22"/>
              </w:rPr>
            </w:pPr>
          </w:p>
          <w:p w14:paraId="288581E6" w14:textId="77777777" w:rsidR="00A2276A" w:rsidRPr="00791DDC" w:rsidRDefault="00A2276A" w:rsidP="00791DDC">
            <w:pPr>
              <w:spacing w:line="276" w:lineRule="auto"/>
              <w:jc w:val="both"/>
              <w:rPr>
                <w:rFonts w:cs="Arial"/>
                <w:sz w:val="22"/>
                <w:szCs w:val="22"/>
              </w:rPr>
            </w:pPr>
            <w:r w:rsidRPr="00791DDC">
              <w:rPr>
                <w:rFonts w:cs="Arial"/>
                <w:sz w:val="22"/>
                <w:szCs w:val="22"/>
              </w:rPr>
              <w:t>Gwent Police (2022) FOI Request 2022-25303.</w:t>
            </w:r>
            <w:r w:rsidR="00E75F06" w:rsidRPr="00791DDC">
              <w:rPr>
                <w:rFonts w:cs="Arial"/>
                <w:sz w:val="22"/>
                <w:szCs w:val="22"/>
              </w:rPr>
              <w:t xml:space="preserve"> Available at:</w:t>
            </w:r>
            <w:r w:rsidRPr="00791DDC">
              <w:rPr>
                <w:rFonts w:cs="Arial"/>
                <w:sz w:val="22"/>
                <w:szCs w:val="22"/>
              </w:rPr>
              <w:t xml:space="preserve"> </w:t>
            </w:r>
            <w:hyperlink r:id="rId13" w:history="1">
              <w:r w:rsidRPr="00791DDC">
                <w:rPr>
                  <w:rStyle w:val="Hyperlink"/>
                  <w:rFonts w:cs="Arial"/>
                  <w:sz w:val="22"/>
                  <w:szCs w:val="22"/>
                </w:rPr>
                <w:t>https://www.gwent.police.uk/foi-ai/gwent-police/disclosure2/2022/08---august/202225303---domestic-violence-incidents-in-newport/</w:t>
              </w:r>
            </w:hyperlink>
            <w:r w:rsidRPr="00791DDC">
              <w:rPr>
                <w:rFonts w:cs="Arial"/>
                <w:sz w:val="22"/>
                <w:szCs w:val="22"/>
              </w:rPr>
              <w:t xml:space="preserve"> </w:t>
            </w:r>
            <w:r w:rsidR="00E75F06" w:rsidRPr="00791DDC">
              <w:rPr>
                <w:rFonts w:cs="Arial"/>
                <w:sz w:val="22"/>
                <w:szCs w:val="22"/>
              </w:rPr>
              <w:t>[</w:t>
            </w:r>
            <w:r w:rsidRPr="00791DDC">
              <w:rPr>
                <w:rFonts w:cs="Arial"/>
                <w:sz w:val="22"/>
                <w:szCs w:val="22"/>
              </w:rPr>
              <w:t xml:space="preserve">Accessed on: </w:t>
            </w:r>
            <w:r w:rsidR="00E75F06" w:rsidRPr="00791DDC">
              <w:rPr>
                <w:rFonts w:cs="Arial"/>
                <w:sz w:val="22"/>
                <w:szCs w:val="22"/>
              </w:rPr>
              <w:t>15/11/2022]</w:t>
            </w:r>
          </w:p>
          <w:p w14:paraId="1E00714B" w14:textId="69E982B8" w:rsidR="00E75F06" w:rsidRDefault="00E75F06" w:rsidP="00791DDC">
            <w:pPr>
              <w:spacing w:line="276" w:lineRule="auto"/>
              <w:jc w:val="both"/>
              <w:rPr>
                <w:rFonts w:cs="Arial"/>
                <w:sz w:val="22"/>
                <w:szCs w:val="22"/>
              </w:rPr>
            </w:pPr>
          </w:p>
          <w:p w14:paraId="3E48B6DE" w14:textId="6775CA07" w:rsidR="00684371" w:rsidRDefault="00684371" w:rsidP="00791DDC">
            <w:pPr>
              <w:spacing w:line="276" w:lineRule="auto"/>
              <w:jc w:val="both"/>
              <w:rPr>
                <w:sz w:val="22"/>
                <w:szCs w:val="22"/>
              </w:rPr>
            </w:pPr>
            <w:r w:rsidRPr="00684371">
              <w:rPr>
                <w:rFonts w:cs="Arial"/>
                <w:sz w:val="22"/>
                <w:szCs w:val="22"/>
              </w:rPr>
              <w:t xml:space="preserve">HMICFRS (2019) </w:t>
            </w:r>
            <w:r w:rsidRPr="00684371">
              <w:rPr>
                <w:sz w:val="22"/>
                <w:szCs w:val="22"/>
              </w:rPr>
              <w:t xml:space="preserve">The police response to domestic abuse An update report, Available at: </w:t>
            </w:r>
            <w:hyperlink r:id="rId14" w:history="1">
              <w:r w:rsidRPr="00B43F06">
                <w:rPr>
                  <w:rStyle w:val="Hyperlink"/>
                  <w:sz w:val="22"/>
                  <w:szCs w:val="22"/>
                </w:rPr>
                <w:t>https://www.justiceinspectorates.gov.uk/hmicfrs/wp-content/uploads/the-police-response-to-domestic-abuse-an-update-report.pdf</w:t>
              </w:r>
            </w:hyperlink>
            <w:r>
              <w:rPr>
                <w:sz w:val="22"/>
                <w:szCs w:val="22"/>
              </w:rPr>
              <w:t xml:space="preserve"> [Accessed on: 12/11/2022]</w:t>
            </w:r>
          </w:p>
          <w:p w14:paraId="2CD45F29" w14:textId="77777777" w:rsidR="00684371" w:rsidRPr="00684371" w:rsidRDefault="00684371" w:rsidP="00791DDC">
            <w:pPr>
              <w:spacing w:line="276" w:lineRule="auto"/>
              <w:jc w:val="both"/>
              <w:rPr>
                <w:rFonts w:cs="Arial"/>
                <w:sz w:val="22"/>
                <w:szCs w:val="22"/>
              </w:rPr>
            </w:pPr>
          </w:p>
          <w:p w14:paraId="4FEDE9B0" w14:textId="7BDB3E35" w:rsidR="008E4CEA" w:rsidRPr="008E4CEA" w:rsidRDefault="008E4CEA" w:rsidP="008E4CEA">
            <w:pPr>
              <w:autoSpaceDE w:val="0"/>
              <w:autoSpaceDN w:val="0"/>
              <w:adjustRightInd w:val="0"/>
              <w:rPr>
                <w:rFonts w:cs="Arial"/>
                <w:color w:val="000000"/>
                <w:sz w:val="22"/>
                <w:szCs w:val="22"/>
                <w:lang w:eastAsia="en-GB"/>
              </w:rPr>
            </w:pPr>
            <w:r w:rsidRPr="008E4CEA">
              <w:rPr>
                <w:rFonts w:cs="Arial"/>
                <w:color w:val="000000"/>
                <w:sz w:val="22"/>
                <w:szCs w:val="22"/>
                <w:lang w:eastAsia="en-GB"/>
              </w:rPr>
              <w:t>Home Office (2015) Statutory Guidance Framework: Controlling and Coercive Behaviour</w:t>
            </w:r>
          </w:p>
          <w:p w14:paraId="02DC71CC" w14:textId="02E3765A" w:rsidR="008E4CEA" w:rsidRDefault="008E4CEA" w:rsidP="008E4CEA">
            <w:pPr>
              <w:spacing w:line="276" w:lineRule="auto"/>
              <w:jc w:val="both"/>
              <w:rPr>
                <w:rFonts w:cs="Arial"/>
                <w:color w:val="000000"/>
                <w:sz w:val="22"/>
                <w:szCs w:val="22"/>
                <w:lang w:eastAsia="en-GB"/>
              </w:rPr>
            </w:pPr>
            <w:r w:rsidRPr="008E4CEA">
              <w:rPr>
                <w:rFonts w:cs="Arial"/>
                <w:color w:val="000000"/>
                <w:sz w:val="22"/>
                <w:szCs w:val="22"/>
                <w:lang w:eastAsia="en-GB"/>
              </w:rPr>
              <w:t xml:space="preserve">in Intimate or Family Relationship, </w:t>
            </w:r>
            <w:r w:rsidRPr="008E4CEA">
              <w:rPr>
                <w:rFonts w:cs="Arial"/>
                <w:sz w:val="22"/>
                <w:szCs w:val="22"/>
              </w:rPr>
              <w:t xml:space="preserve"> </w:t>
            </w:r>
            <w:r>
              <w:rPr>
                <w:rFonts w:cs="Arial"/>
                <w:sz w:val="22"/>
                <w:szCs w:val="22"/>
              </w:rPr>
              <w:t xml:space="preserve">Available at : </w:t>
            </w:r>
            <w:hyperlink r:id="rId15" w:history="1">
              <w:r w:rsidRPr="00B43F06">
                <w:rPr>
                  <w:rStyle w:val="Hyperlink"/>
                  <w:rFonts w:cs="Arial"/>
                  <w:sz w:val="22"/>
                  <w:szCs w:val="22"/>
                  <w:lang w:eastAsia="en-GB"/>
                </w:rPr>
                <w:t>https://assets.publishing.service.gov.uk/government/uploads/system/uploads/attachment_data/file/482528/Controlling_or_coercive_behaviour_-_statutory_guidance.pdf</w:t>
              </w:r>
            </w:hyperlink>
            <w:r>
              <w:rPr>
                <w:rFonts w:cs="Arial"/>
                <w:color w:val="000000"/>
                <w:sz w:val="22"/>
                <w:szCs w:val="22"/>
                <w:lang w:eastAsia="en-GB"/>
              </w:rPr>
              <w:t xml:space="preserve"> [Accessed on: 15/11/2022]</w:t>
            </w:r>
          </w:p>
          <w:p w14:paraId="33B4F96E" w14:textId="77777777" w:rsidR="00684371" w:rsidRDefault="00684371" w:rsidP="00684371">
            <w:pPr>
              <w:autoSpaceDE w:val="0"/>
              <w:autoSpaceDN w:val="0"/>
              <w:adjustRightInd w:val="0"/>
              <w:rPr>
                <w:rFonts w:cs="Arial"/>
                <w:sz w:val="22"/>
                <w:szCs w:val="22"/>
                <w:lang w:eastAsia="en-GB"/>
              </w:rPr>
            </w:pPr>
          </w:p>
          <w:p w14:paraId="6B400208" w14:textId="11C124E6" w:rsidR="008E4CEA" w:rsidRDefault="00684371" w:rsidP="00684371">
            <w:pPr>
              <w:autoSpaceDE w:val="0"/>
              <w:autoSpaceDN w:val="0"/>
              <w:adjustRightInd w:val="0"/>
              <w:rPr>
                <w:rFonts w:cs="Arial"/>
                <w:sz w:val="22"/>
                <w:szCs w:val="22"/>
                <w:lang w:eastAsia="en-GB"/>
              </w:rPr>
            </w:pPr>
            <w:r w:rsidRPr="00684371">
              <w:rPr>
                <w:rFonts w:cs="Arial"/>
                <w:sz w:val="22"/>
                <w:szCs w:val="22"/>
                <w:lang w:eastAsia="en-GB"/>
              </w:rPr>
              <w:t>Myhill, A. and Johnson, K (2016) ‘Police Use of Discretion in Response to Domestic Violence’, Criminology &amp; Criminal Justice, Vol 16, 3–20.</w:t>
            </w:r>
          </w:p>
          <w:p w14:paraId="39B13B23" w14:textId="5F366E4D" w:rsidR="000D0980" w:rsidRDefault="000D0980" w:rsidP="00684371">
            <w:pPr>
              <w:autoSpaceDE w:val="0"/>
              <w:autoSpaceDN w:val="0"/>
              <w:adjustRightInd w:val="0"/>
              <w:rPr>
                <w:rFonts w:cs="Arial"/>
                <w:sz w:val="22"/>
                <w:szCs w:val="22"/>
                <w:lang w:eastAsia="en-GB"/>
              </w:rPr>
            </w:pPr>
          </w:p>
          <w:p w14:paraId="46326FD7" w14:textId="4E18D6F6" w:rsidR="000D0980" w:rsidRPr="000D0980" w:rsidRDefault="000D0980" w:rsidP="000D0980">
            <w:pPr>
              <w:autoSpaceDE w:val="0"/>
              <w:autoSpaceDN w:val="0"/>
              <w:adjustRightInd w:val="0"/>
              <w:rPr>
                <w:rFonts w:cs="Arial"/>
                <w:sz w:val="22"/>
                <w:szCs w:val="22"/>
                <w:lang w:eastAsia="en-GB"/>
              </w:rPr>
            </w:pPr>
            <w:r w:rsidRPr="000D0980">
              <w:rPr>
                <w:rFonts w:cs="Arial"/>
                <w:sz w:val="22"/>
                <w:szCs w:val="22"/>
                <w:lang w:eastAsia="en-GB"/>
              </w:rPr>
              <w:t>Robinson AL</w:t>
            </w:r>
            <w:r>
              <w:rPr>
                <w:rFonts w:cs="Arial"/>
                <w:sz w:val="22"/>
                <w:szCs w:val="22"/>
                <w:lang w:eastAsia="en-GB"/>
              </w:rPr>
              <w:t>; Myhill, A and Wire, J (2018) ‘Practitioner (mis) understandings of coercive control in England and Wales</w:t>
            </w:r>
            <w:r w:rsidR="0083245B">
              <w:rPr>
                <w:rFonts w:cs="Arial"/>
                <w:sz w:val="22"/>
                <w:szCs w:val="22"/>
                <w:lang w:eastAsia="en-GB"/>
              </w:rPr>
              <w:t xml:space="preserve">, Criminology and Criminal Justice, Vol 18(1), 29-49. </w:t>
            </w:r>
          </w:p>
          <w:p w14:paraId="5067735B" w14:textId="77777777" w:rsidR="00684371" w:rsidRPr="00684371" w:rsidRDefault="00684371" w:rsidP="00684371">
            <w:pPr>
              <w:autoSpaceDE w:val="0"/>
              <w:autoSpaceDN w:val="0"/>
              <w:adjustRightInd w:val="0"/>
              <w:rPr>
                <w:rFonts w:cs="Arial"/>
                <w:sz w:val="22"/>
                <w:szCs w:val="22"/>
                <w:lang w:eastAsia="en-GB"/>
              </w:rPr>
            </w:pPr>
          </w:p>
          <w:p w14:paraId="331ABE8B" w14:textId="2C7796AF" w:rsidR="00E75F06" w:rsidRPr="00791DDC" w:rsidRDefault="00E75F06" w:rsidP="008E4CEA">
            <w:pPr>
              <w:spacing w:line="276" w:lineRule="auto"/>
              <w:jc w:val="both"/>
              <w:rPr>
                <w:rFonts w:cs="Arial"/>
                <w:sz w:val="22"/>
                <w:szCs w:val="22"/>
              </w:rPr>
            </w:pPr>
            <w:r w:rsidRPr="00791DDC">
              <w:rPr>
                <w:rFonts w:cs="Arial"/>
                <w:sz w:val="22"/>
                <w:szCs w:val="22"/>
              </w:rPr>
              <w:t>Stark, E (2007), Coercive Control: How Men Entrap Women in Personal Life. Oxford University Press: Oxford.</w:t>
            </w:r>
          </w:p>
          <w:p w14:paraId="123369AC" w14:textId="77777777" w:rsidR="00E75F06" w:rsidRPr="00791DDC" w:rsidRDefault="00E75F06" w:rsidP="00791DDC">
            <w:pPr>
              <w:spacing w:line="276" w:lineRule="auto"/>
              <w:jc w:val="both"/>
              <w:rPr>
                <w:rFonts w:cs="Arial"/>
                <w:sz w:val="22"/>
                <w:szCs w:val="22"/>
              </w:rPr>
            </w:pPr>
          </w:p>
          <w:p w14:paraId="46CFD4D6" w14:textId="0C8B6460" w:rsidR="00E75F06" w:rsidRPr="00791DDC" w:rsidRDefault="00E75F06" w:rsidP="00791DDC">
            <w:pPr>
              <w:spacing w:line="276" w:lineRule="auto"/>
              <w:jc w:val="both"/>
              <w:rPr>
                <w:rFonts w:cs="Arial"/>
                <w:sz w:val="22"/>
                <w:szCs w:val="22"/>
              </w:rPr>
            </w:pPr>
            <w:r w:rsidRPr="00791DDC">
              <w:rPr>
                <w:rFonts w:cs="Arial"/>
                <w:sz w:val="22"/>
                <w:szCs w:val="22"/>
              </w:rPr>
              <w:t>Tolmie, J (2018) ‘Coercive Control: To Criminalise or Not to Criminalise?’, Criminology and Criminal Justice, Vol 18, 50–66.</w:t>
            </w:r>
          </w:p>
          <w:p w14:paraId="5A9661E2" w14:textId="379DB350" w:rsidR="00E75F06" w:rsidRPr="00791DDC" w:rsidRDefault="00E75F06" w:rsidP="00791DDC">
            <w:pPr>
              <w:spacing w:line="276" w:lineRule="auto"/>
              <w:jc w:val="both"/>
              <w:rPr>
                <w:rFonts w:cs="Arial"/>
                <w:sz w:val="22"/>
                <w:szCs w:val="22"/>
              </w:rPr>
            </w:pPr>
          </w:p>
          <w:p w14:paraId="45179970" w14:textId="33E7426A" w:rsidR="00791DDC" w:rsidRPr="00791DDC" w:rsidRDefault="00791DDC" w:rsidP="00791DDC">
            <w:pPr>
              <w:spacing w:line="276" w:lineRule="auto"/>
              <w:jc w:val="both"/>
              <w:rPr>
                <w:sz w:val="22"/>
                <w:szCs w:val="22"/>
              </w:rPr>
            </w:pPr>
            <w:r w:rsidRPr="00791DDC">
              <w:rPr>
                <w:sz w:val="22"/>
                <w:szCs w:val="22"/>
              </w:rPr>
              <w:t>Touvier, M; Mejean, C; Kesse-Guyot, E; Pollet, C; Malon, A; Castetbon, K and Hercberg, S (2010) ‘Comparison between web-based and paper versions of a self-administered anthropometric questionnaire,’ European Journal of Epidemiology, Vol 25, 287–296.</w:t>
            </w:r>
          </w:p>
          <w:p w14:paraId="49EB9D9F" w14:textId="20AD7A95" w:rsidR="00791DDC" w:rsidRDefault="00791DDC" w:rsidP="00791DDC">
            <w:pPr>
              <w:spacing w:line="276" w:lineRule="auto"/>
              <w:jc w:val="both"/>
              <w:rPr>
                <w:sz w:val="22"/>
                <w:szCs w:val="22"/>
              </w:rPr>
            </w:pPr>
          </w:p>
          <w:p w14:paraId="3A447328" w14:textId="23D480FB" w:rsidR="00684371" w:rsidRDefault="00684371" w:rsidP="00684371">
            <w:pPr>
              <w:autoSpaceDE w:val="0"/>
              <w:autoSpaceDN w:val="0"/>
              <w:adjustRightInd w:val="0"/>
              <w:rPr>
                <w:rFonts w:cs="Arial"/>
                <w:sz w:val="22"/>
                <w:szCs w:val="22"/>
                <w:lang w:eastAsia="en-GB"/>
              </w:rPr>
            </w:pPr>
            <w:r w:rsidRPr="00684371">
              <w:rPr>
                <w:rFonts w:cs="Arial"/>
                <w:sz w:val="22"/>
                <w:szCs w:val="22"/>
                <w:lang w:eastAsia="en-GB"/>
              </w:rPr>
              <w:t>Walklate, S., Fitz-Gibbon, K. and McCulloch, J (2018) ‘Is More Law the Answer? Seeking Justice for Victims of Intimate Partner Violence Through the Reform of Legal Categories’, Criminology and Criminal Justice, Vol18(2).</w:t>
            </w:r>
          </w:p>
          <w:p w14:paraId="7E7A9603" w14:textId="77777777" w:rsidR="00684371" w:rsidRPr="00684371" w:rsidRDefault="00684371" w:rsidP="00684371">
            <w:pPr>
              <w:autoSpaceDE w:val="0"/>
              <w:autoSpaceDN w:val="0"/>
              <w:adjustRightInd w:val="0"/>
              <w:rPr>
                <w:rFonts w:cs="Arial"/>
                <w:sz w:val="22"/>
                <w:szCs w:val="22"/>
                <w:lang w:eastAsia="en-GB"/>
              </w:rPr>
            </w:pPr>
          </w:p>
          <w:p w14:paraId="2538F081" w14:textId="4951A01D" w:rsidR="00791DDC" w:rsidRPr="00791DDC" w:rsidRDefault="00791DDC" w:rsidP="00791DDC">
            <w:pPr>
              <w:spacing w:line="276" w:lineRule="auto"/>
              <w:jc w:val="both"/>
              <w:rPr>
                <w:sz w:val="22"/>
                <w:szCs w:val="22"/>
              </w:rPr>
            </w:pPr>
            <w:r w:rsidRPr="00791DDC">
              <w:rPr>
                <w:sz w:val="22"/>
                <w:szCs w:val="22"/>
              </w:rPr>
              <w:t>Ward, P; Clark, T and Zabriskie, R (2014) ‘Paper/Pencil Versus Online Data Collection An Exploratory Study’, Journal of Leisure Research, Vol 66(1), 84-105.</w:t>
            </w:r>
          </w:p>
          <w:p w14:paraId="37F4CADF" w14:textId="77777777" w:rsidR="00791DDC" w:rsidRPr="00791DDC" w:rsidRDefault="00791DDC" w:rsidP="00791DDC">
            <w:pPr>
              <w:spacing w:line="276" w:lineRule="auto"/>
              <w:jc w:val="both"/>
              <w:rPr>
                <w:rFonts w:cs="Arial"/>
                <w:sz w:val="22"/>
                <w:szCs w:val="22"/>
              </w:rPr>
            </w:pPr>
          </w:p>
          <w:p w14:paraId="7083C1E4" w14:textId="3A15FC9C" w:rsidR="00E75F06" w:rsidRPr="00791DDC" w:rsidRDefault="00E75F06" w:rsidP="00791DDC">
            <w:pPr>
              <w:autoSpaceDE w:val="0"/>
              <w:autoSpaceDN w:val="0"/>
              <w:adjustRightInd w:val="0"/>
              <w:spacing w:line="276" w:lineRule="auto"/>
              <w:jc w:val="both"/>
              <w:rPr>
                <w:rFonts w:cs="Arial"/>
                <w:sz w:val="22"/>
                <w:szCs w:val="22"/>
                <w:lang w:eastAsia="en-GB"/>
              </w:rPr>
            </w:pPr>
            <w:r w:rsidRPr="00791DDC">
              <w:rPr>
                <w:rFonts w:cs="Arial"/>
                <w:sz w:val="22"/>
                <w:szCs w:val="22"/>
              </w:rPr>
              <w:t>Weiner, C (2017) ‘</w:t>
            </w:r>
            <w:r w:rsidRPr="00791DDC">
              <w:rPr>
                <w:rFonts w:cs="Arial"/>
                <w:sz w:val="22"/>
                <w:szCs w:val="22"/>
                <w:lang w:eastAsia="en-GB"/>
              </w:rPr>
              <w:t>Seeing What is ‘Invisible in Plain Sight’: Policing Coercive Control’, The Howard Journal of Crime and Justice, Vol 56</w:t>
            </w:r>
            <w:r w:rsidR="00791DDC" w:rsidRPr="00791DDC">
              <w:rPr>
                <w:rFonts w:cs="Arial"/>
                <w:sz w:val="22"/>
                <w:szCs w:val="22"/>
                <w:lang w:eastAsia="en-GB"/>
              </w:rPr>
              <w:t>(</w:t>
            </w:r>
            <w:r w:rsidRPr="00791DDC">
              <w:rPr>
                <w:rFonts w:cs="Arial"/>
                <w:sz w:val="22"/>
                <w:szCs w:val="22"/>
                <w:lang w:eastAsia="en-GB"/>
              </w:rPr>
              <w:t>4</w:t>
            </w:r>
            <w:r w:rsidR="00791DDC" w:rsidRPr="00791DDC">
              <w:rPr>
                <w:rFonts w:cs="Arial"/>
                <w:sz w:val="22"/>
                <w:szCs w:val="22"/>
                <w:lang w:eastAsia="en-GB"/>
              </w:rPr>
              <w:t>)</w:t>
            </w:r>
            <w:r w:rsidRPr="00791DDC">
              <w:rPr>
                <w:rFonts w:cs="Arial"/>
                <w:sz w:val="22"/>
                <w:szCs w:val="22"/>
                <w:lang w:eastAsia="en-GB"/>
              </w:rPr>
              <w:t>, 500-515.</w:t>
            </w:r>
          </w:p>
          <w:p w14:paraId="5B6988E4" w14:textId="77777777" w:rsidR="00E75F06" w:rsidRPr="00791DDC" w:rsidRDefault="00E75F06" w:rsidP="00791DDC">
            <w:pPr>
              <w:spacing w:line="276" w:lineRule="auto"/>
              <w:jc w:val="both"/>
              <w:rPr>
                <w:rFonts w:cs="Arial"/>
                <w:sz w:val="22"/>
                <w:szCs w:val="22"/>
              </w:rPr>
            </w:pPr>
          </w:p>
          <w:p w14:paraId="74269233" w14:textId="2E24F8CC" w:rsidR="00E75F06" w:rsidRPr="00791DDC" w:rsidRDefault="00E75F06" w:rsidP="00791DDC">
            <w:pPr>
              <w:spacing w:line="276" w:lineRule="auto"/>
              <w:jc w:val="both"/>
              <w:rPr>
                <w:rFonts w:cs="Arial"/>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402FC45" w14:textId="77777777" w:rsidR="00664FA1" w:rsidRDefault="00664FA1">
      <w:r>
        <w:separator/>
      </w:r>
    </w:p>
  </w:endnote>
  <w:endnote w:type="continuationSeparator" w:id="0">
    <w:p w14:paraId="2430CA29" w14:textId="77777777" w:rsidR="00664FA1" w:rsidRDefault="00664F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Open Sans">
    <w:altName w:val="Arial"/>
    <w:charset w:val="00"/>
    <w:family w:val="swiss"/>
    <w:pitch w:val="variable"/>
    <w:sig w:usb0="00000001"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E7C180" w14:textId="77777777" w:rsidR="00664FA1" w:rsidRDefault="00664FA1">
      <w:r>
        <w:separator/>
      </w:r>
    </w:p>
  </w:footnote>
  <w:footnote w:type="continuationSeparator" w:id="0">
    <w:p w14:paraId="21BA164F" w14:textId="77777777" w:rsidR="00664FA1" w:rsidRDefault="00664F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230785"/>
    <w:multiLevelType w:val="hybridMultilevel"/>
    <w:tmpl w:val="9B9AD4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2"/>
  </w:num>
  <w:num w:numId="2">
    <w:abstractNumId w:val="18"/>
  </w:num>
  <w:num w:numId="3">
    <w:abstractNumId w:val="14"/>
  </w:num>
  <w:num w:numId="4">
    <w:abstractNumId w:val="3"/>
  </w:num>
  <w:num w:numId="5">
    <w:abstractNumId w:val="8"/>
  </w:num>
  <w:num w:numId="6">
    <w:abstractNumId w:val="21"/>
  </w:num>
  <w:num w:numId="7">
    <w:abstractNumId w:val="39"/>
  </w:num>
  <w:num w:numId="8">
    <w:abstractNumId w:val="20"/>
  </w:num>
  <w:num w:numId="9">
    <w:abstractNumId w:val="6"/>
  </w:num>
  <w:num w:numId="10">
    <w:abstractNumId w:val="31"/>
  </w:num>
  <w:num w:numId="11">
    <w:abstractNumId w:val="38"/>
  </w:num>
  <w:num w:numId="12">
    <w:abstractNumId w:val="2"/>
  </w:num>
  <w:num w:numId="13">
    <w:abstractNumId w:val="17"/>
  </w:num>
  <w:num w:numId="14">
    <w:abstractNumId w:val="29"/>
  </w:num>
  <w:num w:numId="15">
    <w:abstractNumId w:val="16"/>
  </w:num>
  <w:num w:numId="16">
    <w:abstractNumId w:val="25"/>
  </w:num>
  <w:num w:numId="17">
    <w:abstractNumId w:val="12"/>
  </w:num>
  <w:num w:numId="18">
    <w:abstractNumId w:val="33"/>
  </w:num>
  <w:num w:numId="19">
    <w:abstractNumId w:val="11"/>
  </w:num>
  <w:num w:numId="20">
    <w:abstractNumId w:val="9"/>
  </w:num>
  <w:num w:numId="21">
    <w:abstractNumId w:val="24"/>
  </w:num>
  <w:num w:numId="22">
    <w:abstractNumId w:val="7"/>
  </w:num>
  <w:num w:numId="23">
    <w:abstractNumId w:val="28"/>
  </w:num>
  <w:num w:numId="24">
    <w:abstractNumId w:val="19"/>
  </w:num>
  <w:num w:numId="25">
    <w:abstractNumId w:val="37"/>
  </w:num>
  <w:num w:numId="26">
    <w:abstractNumId w:val="1"/>
  </w:num>
  <w:num w:numId="27">
    <w:abstractNumId w:val="26"/>
  </w:num>
  <w:num w:numId="28">
    <w:abstractNumId w:val="5"/>
  </w:num>
  <w:num w:numId="29">
    <w:abstractNumId w:val="22"/>
  </w:num>
  <w:num w:numId="30">
    <w:abstractNumId w:val="34"/>
  </w:num>
  <w:num w:numId="31">
    <w:abstractNumId w:val="0"/>
  </w:num>
  <w:num w:numId="32">
    <w:abstractNumId w:val="30"/>
  </w:num>
  <w:num w:numId="33">
    <w:abstractNumId w:val="10"/>
  </w:num>
  <w:num w:numId="34">
    <w:abstractNumId w:val="4"/>
  </w:num>
  <w:num w:numId="35">
    <w:abstractNumId w:val="13"/>
  </w:num>
  <w:num w:numId="36">
    <w:abstractNumId w:val="35"/>
  </w:num>
  <w:num w:numId="37">
    <w:abstractNumId w:val="15"/>
  </w:num>
  <w:num w:numId="38">
    <w:abstractNumId w:val="36"/>
  </w:num>
  <w:num w:numId="39">
    <w:abstractNumId w:val="23"/>
  </w:num>
  <w:num w:numId="40">
    <w:abstractNumId w:val="2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7D9"/>
    <w:rsid w:val="000B1B06"/>
    <w:rsid w:val="000B609B"/>
    <w:rsid w:val="000C1321"/>
    <w:rsid w:val="000C17DA"/>
    <w:rsid w:val="000C2A48"/>
    <w:rsid w:val="000C3E29"/>
    <w:rsid w:val="000D0980"/>
    <w:rsid w:val="000D4DBC"/>
    <w:rsid w:val="000E61B9"/>
    <w:rsid w:val="000E6CD4"/>
    <w:rsid w:val="000F26DE"/>
    <w:rsid w:val="000F5C12"/>
    <w:rsid w:val="000F7929"/>
    <w:rsid w:val="00104514"/>
    <w:rsid w:val="00107BED"/>
    <w:rsid w:val="001113AE"/>
    <w:rsid w:val="00112EA7"/>
    <w:rsid w:val="00116CE1"/>
    <w:rsid w:val="00122ACA"/>
    <w:rsid w:val="00122C14"/>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46D82"/>
    <w:rsid w:val="00251DC4"/>
    <w:rsid w:val="00253464"/>
    <w:rsid w:val="0025429D"/>
    <w:rsid w:val="00254FCA"/>
    <w:rsid w:val="00255EEC"/>
    <w:rsid w:val="00260406"/>
    <w:rsid w:val="0026522F"/>
    <w:rsid w:val="002657BA"/>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01B00"/>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D2DD6"/>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61A4B"/>
    <w:rsid w:val="00471220"/>
    <w:rsid w:val="004727FE"/>
    <w:rsid w:val="004763DA"/>
    <w:rsid w:val="00485CD3"/>
    <w:rsid w:val="0049337D"/>
    <w:rsid w:val="00494764"/>
    <w:rsid w:val="004B0295"/>
    <w:rsid w:val="004B1E57"/>
    <w:rsid w:val="004C14DE"/>
    <w:rsid w:val="004C179C"/>
    <w:rsid w:val="004C5456"/>
    <w:rsid w:val="004C71C5"/>
    <w:rsid w:val="004D445F"/>
    <w:rsid w:val="004E1EAD"/>
    <w:rsid w:val="004E5E28"/>
    <w:rsid w:val="00507638"/>
    <w:rsid w:val="00515963"/>
    <w:rsid w:val="00516F07"/>
    <w:rsid w:val="005237D2"/>
    <w:rsid w:val="00533528"/>
    <w:rsid w:val="00540A97"/>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1350"/>
    <w:rsid w:val="006221DF"/>
    <w:rsid w:val="00626726"/>
    <w:rsid w:val="006269FA"/>
    <w:rsid w:val="0063031D"/>
    <w:rsid w:val="0063339C"/>
    <w:rsid w:val="006333E5"/>
    <w:rsid w:val="00640044"/>
    <w:rsid w:val="006433AE"/>
    <w:rsid w:val="006525C8"/>
    <w:rsid w:val="006618F4"/>
    <w:rsid w:val="00663786"/>
    <w:rsid w:val="00664FA1"/>
    <w:rsid w:val="00667E16"/>
    <w:rsid w:val="00670DF8"/>
    <w:rsid w:val="00680B0E"/>
    <w:rsid w:val="00684371"/>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5605"/>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91DDC"/>
    <w:rsid w:val="00797A13"/>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245B"/>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E4CEA"/>
    <w:rsid w:val="008F0D87"/>
    <w:rsid w:val="008F4E4E"/>
    <w:rsid w:val="008F66F9"/>
    <w:rsid w:val="00902808"/>
    <w:rsid w:val="009132F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AE2"/>
    <w:rsid w:val="00A05E7B"/>
    <w:rsid w:val="00A078D8"/>
    <w:rsid w:val="00A117E2"/>
    <w:rsid w:val="00A14EB6"/>
    <w:rsid w:val="00A1613D"/>
    <w:rsid w:val="00A2276A"/>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27E17"/>
    <w:rsid w:val="00B406C8"/>
    <w:rsid w:val="00B421FD"/>
    <w:rsid w:val="00B43F60"/>
    <w:rsid w:val="00B4505E"/>
    <w:rsid w:val="00B522CC"/>
    <w:rsid w:val="00B54498"/>
    <w:rsid w:val="00B5610A"/>
    <w:rsid w:val="00B61956"/>
    <w:rsid w:val="00B639CF"/>
    <w:rsid w:val="00B644D7"/>
    <w:rsid w:val="00B66B21"/>
    <w:rsid w:val="00B72A35"/>
    <w:rsid w:val="00B73AF6"/>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85C86"/>
    <w:rsid w:val="00D908A9"/>
    <w:rsid w:val="00D93A90"/>
    <w:rsid w:val="00D977FF"/>
    <w:rsid w:val="00DA741D"/>
    <w:rsid w:val="00DA7C8E"/>
    <w:rsid w:val="00DB0362"/>
    <w:rsid w:val="00DB3C2D"/>
    <w:rsid w:val="00DB4B8A"/>
    <w:rsid w:val="00DC01B1"/>
    <w:rsid w:val="00DC07A1"/>
    <w:rsid w:val="00DC1869"/>
    <w:rsid w:val="00DC3446"/>
    <w:rsid w:val="00DD2DF5"/>
    <w:rsid w:val="00DD3093"/>
    <w:rsid w:val="00DE57BF"/>
    <w:rsid w:val="00DE6E77"/>
    <w:rsid w:val="00DF15A5"/>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75F0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HTML Keyboard"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098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1">
    <w:name w:val="Unresolved Mention1"/>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A227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went.police.uk/foi-ai/gwent-police/disclosure2/2022/08---august/202225303---domestic-violence-incidents-in-newport/"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hydra.hull.ac.uk/assets/hull:14106/content"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assets.publishing.service.gov.uk/government/uploads/system/uploads/attachment_data/file/482528/Controlling_or_coercive_behaviour_-_statutory_guidance.pd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justiceinspectorates.gov.uk/hmicfrs/wp-content/uploads/the-police-response-to-domestic-abuse-an-update-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E4AF2A07-B428-45D0-9DD2-4625828C9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5</Pages>
  <Words>1928</Words>
  <Characters>10995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12898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Elias, Nathan</cp:lastModifiedBy>
  <cp:revision>7</cp:revision>
  <cp:lastPrinted>2022-03-21T13:46:00Z</cp:lastPrinted>
  <dcterms:created xsi:type="dcterms:W3CDTF">2022-10-27T09:29:00Z</dcterms:created>
  <dcterms:modified xsi:type="dcterms:W3CDTF">2022-11-21T14:43:00Z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2022-10-27T09:28:30Z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8bcc623f-3538-4f94-8089-5c8a3c657e5f</vt:lpwstr>
  </property>
  <property fmtid="{D5CDD505-2E9C-101B-9397-08002B2CF9AE}" pid="9" name="MSIP_Label_f2acd28b-79a3-4a0f-b0ff-4b75658b1549_ContentBits">
    <vt:lpwstr>0</vt:lpwstr>
  </property>
  <property fmtid="{D5CDD505-2E9C-101B-9397-08002B2CF9AE}" pid="10" name="Protective Marking Classification">
    <vt:lpwstr>OFFICIAL - NO MARKING SWYDDOGOL-DIM ANGEN MARC</vt:lpwstr>
  </property>
  <property fmtid="{D5CDD505-2E9C-101B-9397-08002B2CF9AE}" pid="11" name="Additional Descriptor">
    <vt:lpwstr/>
  </property>
  <property fmtid="{D5CDD505-2E9C-101B-9397-08002B2CF9AE}" pid="12" name="Impact Level">
    <vt:i4>0</vt:i4>
  </property>
</Properties>
</file>