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78328769"/>
        <w:docPartObj>
          <w:docPartGallery w:val="Cover Pages"/>
          <w:docPartUnique/>
        </w:docPartObj>
      </w:sdtPr>
      <w:sdtEndPr>
        <w:rPr>
          <w:color w:val="auto"/>
        </w:rPr>
      </w:sdtEndPr>
      <w:sdtContent>
        <w:p w14:paraId="4D7BD2FB" w14:textId="1F0980A7" w:rsidR="00B263EC" w:rsidRPr="00B0089B" w:rsidRDefault="00B0089B" w:rsidP="00B0089B">
          <w:pPr>
            <w:pStyle w:val="NoSpacing"/>
            <w:spacing w:before="1540" w:after="240" w:line="360" w:lineRule="auto"/>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5E8F5653" wp14:editId="588C6E47">
                    <wp:simplePos x="0" y="0"/>
                    <wp:positionH relativeFrom="margin">
                      <wp:align>left</wp:align>
                    </wp:positionH>
                    <wp:positionV relativeFrom="page">
                      <wp:posOffset>3362325</wp:posOffset>
                    </wp:positionV>
                    <wp:extent cx="5610225" cy="3295650"/>
                    <wp:effectExtent l="0" t="0" r="9525" b="0"/>
                    <wp:wrapNone/>
                    <wp:docPr id="142" name="Text Box 44"/>
                    <wp:cNvGraphicFramePr/>
                    <a:graphic xmlns:a="http://schemas.openxmlformats.org/drawingml/2006/main">
                      <a:graphicData uri="http://schemas.microsoft.com/office/word/2010/wordprocessingShape">
                        <wps:wsp>
                          <wps:cNvSpPr txBox="1"/>
                          <wps:spPr>
                            <a:xfrm>
                              <a:off x="0" y="0"/>
                              <a:ext cx="5610225" cy="3295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9AFBC" w14:textId="6D4B13F1" w:rsidR="00D165F5" w:rsidRDefault="00D165F5" w:rsidP="00B263EC">
                                <w:pPr>
                                  <w:pStyle w:val="NoSpacing"/>
                                  <w:spacing w:line="360" w:lineRule="auto"/>
                                  <w:jc w:val="center"/>
                                  <w:rPr>
                                    <w:rFonts w:ascii="Times New Roman" w:hAnsi="Times New Roman" w:cs="Times New Roman"/>
                                    <w:b/>
                                    <w:bCs/>
                                    <w:color w:val="4472C4" w:themeColor="accent1"/>
                                    <w:sz w:val="44"/>
                                    <w:szCs w:val="44"/>
                                    <w:lang w:val="en-IN"/>
                                  </w:rPr>
                                </w:pPr>
                                <w:r>
                                  <w:rPr>
                                    <w:rFonts w:ascii="Times New Roman" w:hAnsi="Times New Roman" w:cs="Times New Roman"/>
                                    <w:b/>
                                    <w:bCs/>
                                    <w:color w:val="4472C4" w:themeColor="accent1"/>
                                    <w:sz w:val="44"/>
                                    <w:szCs w:val="44"/>
                                    <w:lang w:val="en-IN"/>
                                  </w:rPr>
                                  <w:t xml:space="preserve">Module </w:t>
                                </w:r>
                                <w:proofErr w:type="gramStart"/>
                                <w:r>
                                  <w:rPr>
                                    <w:rFonts w:ascii="Times New Roman" w:hAnsi="Times New Roman" w:cs="Times New Roman"/>
                                    <w:b/>
                                    <w:bCs/>
                                    <w:color w:val="4472C4" w:themeColor="accent1"/>
                                    <w:sz w:val="44"/>
                                    <w:szCs w:val="44"/>
                                    <w:lang w:val="en-IN"/>
                                  </w:rPr>
                                  <w:t>Name :</w:t>
                                </w:r>
                                <w:proofErr w:type="gramEnd"/>
                                <w:r>
                                  <w:rPr>
                                    <w:rFonts w:ascii="Times New Roman" w:hAnsi="Times New Roman" w:cs="Times New Roman"/>
                                    <w:b/>
                                    <w:bCs/>
                                    <w:color w:val="4472C4" w:themeColor="accent1"/>
                                    <w:sz w:val="44"/>
                                    <w:szCs w:val="44"/>
                                    <w:lang w:val="en-IN"/>
                                  </w:rPr>
                                  <w:t xml:space="preserve"> International Business </w:t>
                                </w:r>
                                <w:proofErr w:type="spellStart"/>
                                <w:r>
                                  <w:rPr>
                                    <w:rFonts w:ascii="Times New Roman" w:hAnsi="Times New Roman" w:cs="Times New Roman"/>
                                    <w:b/>
                                    <w:bCs/>
                                    <w:color w:val="4472C4" w:themeColor="accent1"/>
                                    <w:sz w:val="44"/>
                                    <w:szCs w:val="44"/>
                                    <w:lang w:val="en-IN"/>
                                  </w:rPr>
                                  <w:t>comunicatons</w:t>
                                </w:r>
                                <w:proofErr w:type="spellEnd"/>
                                <w:r>
                                  <w:rPr>
                                    <w:rFonts w:ascii="Times New Roman" w:hAnsi="Times New Roman" w:cs="Times New Roman"/>
                                    <w:b/>
                                    <w:bCs/>
                                    <w:color w:val="4472C4" w:themeColor="accent1"/>
                                    <w:sz w:val="44"/>
                                    <w:szCs w:val="44"/>
                                    <w:lang w:val="en-IN"/>
                                  </w:rPr>
                                  <w:t xml:space="preserve"> LCBB6001</w:t>
                                </w:r>
                              </w:p>
                              <w:p w14:paraId="4D63A99D" w14:textId="3E9FED26" w:rsidR="00B263EC" w:rsidRPr="00B0089B" w:rsidRDefault="00B263EC" w:rsidP="00B263EC">
                                <w:pPr>
                                  <w:pStyle w:val="NoSpacing"/>
                                  <w:spacing w:line="360" w:lineRule="auto"/>
                                  <w:jc w:val="center"/>
                                  <w:rPr>
                                    <w:rFonts w:ascii="Times New Roman" w:hAnsi="Times New Roman" w:cs="Times New Roman"/>
                                    <w:b/>
                                    <w:bCs/>
                                    <w:color w:val="4472C4" w:themeColor="accent1"/>
                                    <w:sz w:val="44"/>
                                    <w:szCs w:val="44"/>
                                    <w:lang w:val="en-IN"/>
                                  </w:rPr>
                                </w:pPr>
                                <w:r w:rsidRPr="00B0089B">
                                  <w:rPr>
                                    <w:rFonts w:ascii="Times New Roman" w:hAnsi="Times New Roman" w:cs="Times New Roman"/>
                                    <w:b/>
                                    <w:bCs/>
                                    <w:color w:val="4472C4" w:themeColor="accent1"/>
                                    <w:sz w:val="44"/>
                                    <w:szCs w:val="44"/>
                                    <w:lang w:val="en-IN"/>
                                  </w:rPr>
                                  <w:t xml:space="preserve">Student </w:t>
                                </w:r>
                                <w:proofErr w:type="gramStart"/>
                                <w:r w:rsidRPr="00B0089B">
                                  <w:rPr>
                                    <w:rFonts w:ascii="Times New Roman" w:hAnsi="Times New Roman" w:cs="Times New Roman"/>
                                    <w:b/>
                                    <w:bCs/>
                                    <w:color w:val="4472C4" w:themeColor="accent1"/>
                                    <w:sz w:val="44"/>
                                    <w:szCs w:val="44"/>
                                    <w:lang w:val="en-IN"/>
                                  </w:rPr>
                                  <w:t>Name</w:t>
                                </w:r>
                                <w:r w:rsidR="0099030C" w:rsidRPr="00B0089B">
                                  <w:rPr>
                                    <w:rFonts w:ascii="Times New Roman" w:hAnsi="Times New Roman" w:cs="Times New Roman"/>
                                    <w:b/>
                                    <w:bCs/>
                                    <w:color w:val="4472C4" w:themeColor="accent1"/>
                                    <w:sz w:val="44"/>
                                    <w:szCs w:val="44"/>
                                    <w:lang w:val="en-IN"/>
                                  </w:rPr>
                                  <w:t xml:space="preserve"> :Viktoriya</w:t>
                                </w:r>
                                <w:proofErr w:type="gramEnd"/>
                                <w:r w:rsidR="0099030C" w:rsidRPr="00B0089B">
                                  <w:rPr>
                                    <w:rFonts w:ascii="Times New Roman" w:hAnsi="Times New Roman" w:cs="Times New Roman"/>
                                    <w:b/>
                                    <w:bCs/>
                                    <w:color w:val="4472C4" w:themeColor="accent1"/>
                                    <w:sz w:val="44"/>
                                    <w:szCs w:val="44"/>
                                    <w:lang w:val="en-IN"/>
                                  </w:rPr>
                                  <w:t xml:space="preserve"> Koleva </w:t>
                                </w:r>
                              </w:p>
                              <w:p w14:paraId="26D7F5F5" w14:textId="04D3AE31" w:rsidR="00B263EC" w:rsidRPr="00B0089B" w:rsidRDefault="00B263EC" w:rsidP="00B263EC">
                                <w:pPr>
                                  <w:pStyle w:val="NoSpacing"/>
                                  <w:spacing w:line="360" w:lineRule="auto"/>
                                  <w:jc w:val="center"/>
                                  <w:rPr>
                                    <w:rFonts w:ascii="Times New Roman" w:hAnsi="Times New Roman" w:cs="Times New Roman"/>
                                    <w:b/>
                                    <w:bCs/>
                                    <w:color w:val="4472C4" w:themeColor="accent1"/>
                                    <w:sz w:val="44"/>
                                    <w:szCs w:val="44"/>
                                    <w:lang w:val="en-IN"/>
                                  </w:rPr>
                                </w:pPr>
                                <w:r w:rsidRPr="00B0089B">
                                  <w:rPr>
                                    <w:rFonts w:ascii="Times New Roman" w:hAnsi="Times New Roman" w:cs="Times New Roman"/>
                                    <w:b/>
                                    <w:bCs/>
                                    <w:color w:val="4472C4" w:themeColor="accent1"/>
                                    <w:sz w:val="44"/>
                                    <w:szCs w:val="44"/>
                                    <w:lang w:val="en-IN"/>
                                  </w:rPr>
                                  <w:t xml:space="preserve">Student </w:t>
                                </w:r>
                                <w:r w:rsidR="0099030C" w:rsidRPr="00B0089B">
                                  <w:rPr>
                                    <w:rFonts w:ascii="Times New Roman" w:hAnsi="Times New Roman" w:cs="Times New Roman"/>
                                    <w:b/>
                                    <w:bCs/>
                                    <w:color w:val="4472C4" w:themeColor="accent1"/>
                                    <w:sz w:val="44"/>
                                    <w:szCs w:val="44"/>
                                    <w:lang w:val="en-IN"/>
                                  </w:rPr>
                                  <w:t>ID :2111874</w:t>
                                </w:r>
                              </w:p>
                              <w:p w14:paraId="47F2566C" w14:textId="7448E548" w:rsidR="00B263EC" w:rsidRPr="00B0089B" w:rsidRDefault="00B263EC" w:rsidP="00B263EC">
                                <w:pPr>
                                  <w:pStyle w:val="NoSpacing"/>
                                  <w:spacing w:line="360" w:lineRule="auto"/>
                                  <w:jc w:val="center"/>
                                  <w:rPr>
                                    <w:rFonts w:ascii="Times New Roman" w:hAnsi="Times New Roman" w:cs="Times New Roman"/>
                                    <w:b/>
                                    <w:bCs/>
                                    <w:color w:val="4472C4" w:themeColor="accent1"/>
                                    <w:sz w:val="44"/>
                                    <w:szCs w:val="44"/>
                                    <w:lang w:val="en-IN"/>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F5653" id="_x0000_t202" coordsize="21600,21600" o:spt="202" path="m,l,21600r21600,l21600,xe">
                    <v:stroke joinstyle="miter"/>
                    <v:path gradientshapeok="t" o:connecttype="rect"/>
                  </v:shapetype>
                  <v:shape id="Text Box 44" o:spid="_x0000_s1026" type="#_x0000_t202" style="position:absolute;left:0;text-align:left;margin-left:0;margin-top:264.75pt;width:441.75pt;height:259.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" filled="f" stroked="f" strokeweight=".5pt">
                    <v:textbox inset="0,0,0,0">
                      <w:txbxContent>
                        <w:p w14:paraId="1859AFBC" w14:textId="6D4B13F1" w:rsidR="00D165F5" w:rsidRDefault="00D165F5" w:rsidP="00B263EC">
                          <w:pPr>
                            <w:pStyle w:val="NoSpacing"/>
                            <w:spacing w:line="360" w:lineRule="auto"/>
                            <w:jc w:val="center"/>
                            <w:rPr>
                              <w:rFonts w:ascii="Times New Roman" w:hAnsi="Times New Roman" w:cs="Times New Roman"/>
                              <w:b/>
                              <w:bCs/>
                              <w:color w:val="4472C4" w:themeColor="accent1"/>
                              <w:sz w:val="44"/>
                              <w:szCs w:val="44"/>
                              <w:lang w:val="en-IN"/>
                            </w:rPr>
                          </w:pPr>
                          <w:r>
                            <w:rPr>
                              <w:rFonts w:ascii="Times New Roman" w:hAnsi="Times New Roman" w:cs="Times New Roman"/>
                              <w:b/>
                              <w:bCs/>
                              <w:color w:val="4472C4" w:themeColor="accent1"/>
                              <w:sz w:val="44"/>
                              <w:szCs w:val="44"/>
                              <w:lang w:val="en-IN"/>
                            </w:rPr>
                            <w:t xml:space="preserve">Module </w:t>
                          </w:r>
                          <w:proofErr w:type="gramStart"/>
                          <w:r>
                            <w:rPr>
                              <w:rFonts w:ascii="Times New Roman" w:hAnsi="Times New Roman" w:cs="Times New Roman"/>
                              <w:b/>
                              <w:bCs/>
                              <w:color w:val="4472C4" w:themeColor="accent1"/>
                              <w:sz w:val="44"/>
                              <w:szCs w:val="44"/>
                              <w:lang w:val="en-IN"/>
                            </w:rPr>
                            <w:t>Name :</w:t>
                          </w:r>
                          <w:proofErr w:type="gramEnd"/>
                          <w:r>
                            <w:rPr>
                              <w:rFonts w:ascii="Times New Roman" w:hAnsi="Times New Roman" w:cs="Times New Roman"/>
                              <w:b/>
                              <w:bCs/>
                              <w:color w:val="4472C4" w:themeColor="accent1"/>
                              <w:sz w:val="44"/>
                              <w:szCs w:val="44"/>
                              <w:lang w:val="en-IN"/>
                            </w:rPr>
                            <w:t xml:space="preserve"> International Business </w:t>
                          </w:r>
                          <w:proofErr w:type="spellStart"/>
                          <w:r>
                            <w:rPr>
                              <w:rFonts w:ascii="Times New Roman" w:hAnsi="Times New Roman" w:cs="Times New Roman"/>
                              <w:b/>
                              <w:bCs/>
                              <w:color w:val="4472C4" w:themeColor="accent1"/>
                              <w:sz w:val="44"/>
                              <w:szCs w:val="44"/>
                              <w:lang w:val="en-IN"/>
                            </w:rPr>
                            <w:t>comunicatons</w:t>
                          </w:r>
                          <w:proofErr w:type="spellEnd"/>
                          <w:r>
                            <w:rPr>
                              <w:rFonts w:ascii="Times New Roman" w:hAnsi="Times New Roman" w:cs="Times New Roman"/>
                              <w:b/>
                              <w:bCs/>
                              <w:color w:val="4472C4" w:themeColor="accent1"/>
                              <w:sz w:val="44"/>
                              <w:szCs w:val="44"/>
                              <w:lang w:val="en-IN"/>
                            </w:rPr>
                            <w:t xml:space="preserve"> LCBB6001</w:t>
                          </w:r>
                        </w:p>
                        <w:p w14:paraId="4D63A99D" w14:textId="3E9FED26" w:rsidR="00B263EC" w:rsidRPr="00B0089B" w:rsidRDefault="00B263EC" w:rsidP="00B263EC">
                          <w:pPr>
                            <w:pStyle w:val="NoSpacing"/>
                            <w:spacing w:line="360" w:lineRule="auto"/>
                            <w:jc w:val="center"/>
                            <w:rPr>
                              <w:rFonts w:ascii="Times New Roman" w:hAnsi="Times New Roman" w:cs="Times New Roman"/>
                              <w:b/>
                              <w:bCs/>
                              <w:color w:val="4472C4" w:themeColor="accent1"/>
                              <w:sz w:val="44"/>
                              <w:szCs w:val="44"/>
                              <w:lang w:val="en-IN"/>
                            </w:rPr>
                          </w:pPr>
                          <w:r w:rsidRPr="00B0089B">
                            <w:rPr>
                              <w:rFonts w:ascii="Times New Roman" w:hAnsi="Times New Roman" w:cs="Times New Roman"/>
                              <w:b/>
                              <w:bCs/>
                              <w:color w:val="4472C4" w:themeColor="accent1"/>
                              <w:sz w:val="44"/>
                              <w:szCs w:val="44"/>
                              <w:lang w:val="en-IN"/>
                            </w:rPr>
                            <w:t xml:space="preserve">Student </w:t>
                          </w:r>
                          <w:proofErr w:type="gramStart"/>
                          <w:r w:rsidRPr="00B0089B">
                            <w:rPr>
                              <w:rFonts w:ascii="Times New Roman" w:hAnsi="Times New Roman" w:cs="Times New Roman"/>
                              <w:b/>
                              <w:bCs/>
                              <w:color w:val="4472C4" w:themeColor="accent1"/>
                              <w:sz w:val="44"/>
                              <w:szCs w:val="44"/>
                              <w:lang w:val="en-IN"/>
                            </w:rPr>
                            <w:t>Name</w:t>
                          </w:r>
                          <w:r w:rsidR="0099030C" w:rsidRPr="00B0089B">
                            <w:rPr>
                              <w:rFonts w:ascii="Times New Roman" w:hAnsi="Times New Roman" w:cs="Times New Roman"/>
                              <w:b/>
                              <w:bCs/>
                              <w:color w:val="4472C4" w:themeColor="accent1"/>
                              <w:sz w:val="44"/>
                              <w:szCs w:val="44"/>
                              <w:lang w:val="en-IN"/>
                            </w:rPr>
                            <w:t xml:space="preserve"> :Viktoriya</w:t>
                          </w:r>
                          <w:proofErr w:type="gramEnd"/>
                          <w:r w:rsidR="0099030C" w:rsidRPr="00B0089B">
                            <w:rPr>
                              <w:rFonts w:ascii="Times New Roman" w:hAnsi="Times New Roman" w:cs="Times New Roman"/>
                              <w:b/>
                              <w:bCs/>
                              <w:color w:val="4472C4" w:themeColor="accent1"/>
                              <w:sz w:val="44"/>
                              <w:szCs w:val="44"/>
                              <w:lang w:val="en-IN"/>
                            </w:rPr>
                            <w:t xml:space="preserve"> Koleva </w:t>
                          </w:r>
                        </w:p>
                        <w:p w14:paraId="26D7F5F5" w14:textId="04D3AE31" w:rsidR="00B263EC" w:rsidRPr="00B0089B" w:rsidRDefault="00B263EC" w:rsidP="00B263EC">
                          <w:pPr>
                            <w:pStyle w:val="NoSpacing"/>
                            <w:spacing w:line="360" w:lineRule="auto"/>
                            <w:jc w:val="center"/>
                            <w:rPr>
                              <w:rFonts w:ascii="Times New Roman" w:hAnsi="Times New Roman" w:cs="Times New Roman"/>
                              <w:b/>
                              <w:bCs/>
                              <w:color w:val="4472C4" w:themeColor="accent1"/>
                              <w:sz w:val="44"/>
                              <w:szCs w:val="44"/>
                              <w:lang w:val="en-IN"/>
                            </w:rPr>
                          </w:pPr>
                          <w:r w:rsidRPr="00B0089B">
                            <w:rPr>
                              <w:rFonts w:ascii="Times New Roman" w:hAnsi="Times New Roman" w:cs="Times New Roman"/>
                              <w:b/>
                              <w:bCs/>
                              <w:color w:val="4472C4" w:themeColor="accent1"/>
                              <w:sz w:val="44"/>
                              <w:szCs w:val="44"/>
                              <w:lang w:val="en-IN"/>
                            </w:rPr>
                            <w:t xml:space="preserve">Student </w:t>
                          </w:r>
                          <w:r w:rsidR="0099030C" w:rsidRPr="00B0089B">
                            <w:rPr>
                              <w:rFonts w:ascii="Times New Roman" w:hAnsi="Times New Roman" w:cs="Times New Roman"/>
                              <w:b/>
                              <w:bCs/>
                              <w:color w:val="4472C4" w:themeColor="accent1"/>
                              <w:sz w:val="44"/>
                              <w:szCs w:val="44"/>
                              <w:lang w:val="en-IN"/>
                            </w:rPr>
                            <w:t>ID :2111874</w:t>
                          </w:r>
                        </w:p>
                        <w:p w14:paraId="47F2566C" w14:textId="7448E548" w:rsidR="00B263EC" w:rsidRPr="00B0089B" w:rsidRDefault="00B263EC" w:rsidP="00B263EC">
                          <w:pPr>
                            <w:pStyle w:val="NoSpacing"/>
                            <w:spacing w:line="360" w:lineRule="auto"/>
                            <w:jc w:val="center"/>
                            <w:rPr>
                              <w:rFonts w:ascii="Times New Roman" w:hAnsi="Times New Roman" w:cs="Times New Roman"/>
                              <w:b/>
                              <w:bCs/>
                              <w:color w:val="4472C4" w:themeColor="accent1"/>
                              <w:sz w:val="44"/>
                              <w:szCs w:val="44"/>
                              <w:lang w:val="en-IN"/>
                            </w:rPr>
                          </w:pPr>
                        </w:p>
                      </w:txbxContent>
                    </v:textbox>
                    <w10:wrap anchorx="margin" anchory="page"/>
                  </v:shape>
                </w:pict>
              </mc:Fallback>
            </mc:AlternateContent>
          </w:r>
          <w:r w:rsidR="008914ED">
            <w:rPr>
              <w:rFonts w:cs="Times New Roman"/>
              <w:noProof/>
            </w:rPr>
            <w:drawing>
              <wp:inline distT="0" distB="0" distL="0" distR="0" wp14:anchorId="1F6C070F" wp14:editId="498791E9">
                <wp:extent cx="5731510" cy="1642298"/>
                <wp:effectExtent l="0" t="0" r="2540" b="0"/>
                <wp:docPr id="1490455729" name="Picture 14904557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642298"/>
                        </a:xfrm>
                        <a:prstGeom prst="rect">
                          <a:avLst/>
                        </a:prstGeom>
                      </pic:spPr>
                    </pic:pic>
                  </a:graphicData>
                </a:graphic>
              </wp:inline>
            </w:drawing>
          </w:r>
        </w:p>
        <w:p w14:paraId="1B362F25" w14:textId="0BC0851B" w:rsidR="00B263EC" w:rsidRDefault="000C21D3" w:rsidP="00CB0AFA">
          <w:pPr>
            <w:pStyle w:val="NoSpacing"/>
            <w:spacing w:before="480" w:line="360" w:lineRule="auto"/>
            <w:jc w:val="both"/>
          </w:pPr>
        </w:p>
      </w:sdtContent>
    </w:sdt>
    <w:p w14:paraId="6B63B4A8" w14:textId="475B9254" w:rsidR="00E23EFF" w:rsidRDefault="00E23EFF" w:rsidP="00CB0AFA">
      <w:pPr>
        <w:spacing w:line="360" w:lineRule="auto"/>
        <w:jc w:val="both"/>
      </w:pPr>
    </w:p>
    <w:p w14:paraId="343468C7" w14:textId="77777777" w:rsidR="004A3BD2" w:rsidRPr="004A3BD2" w:rsidRDefault="004A3BD2" w:rsidP="00CB0AFA">
      <w:pPr>
        <w:spacing w:line="360" w:lineRule="auto"/>
        <w:jc w:val="both"/>
      </w:pPr>
    </w:p>
    <w:p w14:paraId="132803A0" w14:textId="77777777" w:rsidR="004A3BD2" w:rsidRPr="004A3BD2" w:rsidRDefault="004A3BD2" w:rsidP="00CB0AFA">
      <w:pPr>
        <w:spacing w:line="360" w:lineRule="auto"/>
        <w:jc w:val="both"/>
      </w:pPr>
    </w:p>
    <w:p w14:paraId="3A5BBE67" w14:textId="77777777" w:rsidR="004A3BD2" w:rsidRPr="004A3BD2" w:rsidRDefault="004A3BD2" w:rsidP="00CB0AFA">
      <w:pPr>
        <w:spacing w:line="360" w:lineRule="auto"/>
        <w:jc w:val="both"/>
      </w:pPr>
    </w:p>
    <w:p w14:paraId="764AD691" w14:textId="77777777" w:rsidR="004A3BD2" w:rsidRPr="004A3BD2" w:rsidRDefault="004A3BD2" w:rsidP="00CB0AFA">
      <w:pPr>
        <w:spacing w:line="360" w:lineRule="auto"/>
        <w:jc w:val="both"/>
      </w:pPr>
    </w:p>
    <w:p w14:paraId="681FAD62" w14:textId="77777777" w:rsidR="004A3BD2" w:rsidRPr="004A3BD2" w:rsidRDefault="004A3BD2" w:rsidP="00CB0AFA">
      <w:pPr>
        <w:spacing w:line="360" w:lineRule="auto"/>
        <w:jc w:val="both"/>
      </w:pPr>
    </w:p>
    <w:p w14:paraId="4159F73B" w14:textId="77777777" w:rsidR="004A3BD2" w:rsidRDefault="004A3BD2" w:rsidP="00CB0AFA">
      <w:pPr>
        <w:spacing w:line="360" w:lineRule="auto"/>
        <w:jc w:val="both"/>
      </w:pPr>
    </w:p>
    <w:p w14:paraId="2EBDE549" w14:textId="77777777" w:rsidR="004A3BD2" w:rsidRDefault="004A3BD2" w:rsidP="00CB0AFA">
      <w:pPr>
        <w:spacing w:line="360" w:lineRule="auto"/>
        <w:jc w:val="both"/>
      </w:pPr>
    </w:p>
    <w:p w14:paraId="36082218" w14:textId="77777777" w:rsidR="004A3BD2" w:rsidRDefault="004A3BD2" w:rsidP="00CB0AFA">
      <w:pPr>
        <w:spacing w:line="360" w:lineRule="auto"/>
        <w:jc w:val="both"/>
      </w:pPr>
    </w:p>
    <w:p w14:paraId="29A75C9A" w14:textId="77777777" w:rsidR="004A3BD2" w:rsidRDefault="004A3BD2" w:rsidP="00CB0AFA">
      <w:pPr>
        <w:spacing w:line="360" w:lineRule="auto"/>
        <w:jc w:val="both"/>
      </w:pPr>
    </w:p>
    <w:p w14:paraId="302CEE8F" w14:textId="77777777" w:rsidR="004A3BD2" w:rsidRDefault="004A3BD2" w:rsidP="00CB0AFA">
      <w:pPr>
        <w:spacing w:line="360" w:lineRule="auto"/>
        <w:jc w:val="both"/>
      </w:pPr>
    </w:p>
    <w:p w14:paraId="1DC40474" w14:textId="77777777" w:rsidR="004A3BD2" w:rsidRDefault="004A3BD2" w:rsidP="00CB0AFA">
      <w:pPr>
        <w:spacing w:line="360" w:lineRule="auto"/>
        <w:jc w:val="both"/>
      </w:pPr>
    </w:p>
    <w:p w14:paraId="01BA19A8" w14:textId="77777777" w:rsidR="004A3BD2" w:rsidRDefault="004A3BD2" w:rsidP="00CB0AFA">
      <w:pPr>
        <w:spacing w:line="360" w:lineRule="auto"/>
        <w:jc w:val="both"/>
      </w:pPr>
    </w:p>
    <w:p w14:paraId="6368A06D" w14:textId="76DA37A1" w:rsidR="00572439" w:rsidRDefault="00572439" w:rsidP="00CB0AFA">
      <w:pPr>
        <w:spacing w:line="360" w:lineRule="auto"/>
        <w:jc w:val="both"/>
      </w:pPr>
    </w:p>
    <w:p w14:paraId="6EFDEAED" w14:textId="77777777" w:rsidR="00572439" w:rsidRDefault="00572439" w:rsidP="00CB0AFA">
      <w:pPr>
        <w:spacing w:line="360" w:lineRule="auto"/>
        <w:jc w:val="both"/>
      </w:pPr>
    </w:p>
    <w:sdt>
      <w:sdtPr>
        <w:rPr>
          <w:rFonts w:ascii="Times New Roman" w:eastAsiaTheme="minorHAnsi" w:hAnsi="Times New Roman" w:cstheme="minorBidi"/>
          <w:color w:val="auto"/>
          <w:sz w:val="24"/>
          <w:szCs w:val="22"/>
          <w:lang w:val="en-GB"/>
        </w:rPr>
        <w:id w:val="70014305"/>
        <w:docPartObj>
          <w:docPartGallery w:val="Table of Contents"/>
          <w:docPartUnique/>
        </w:docPartObj>
      </w:sdtPr>
      <w:sdtEndPr>
        <w:rPr>
          <w:b/>
          <w:bCs/>
          <w:noProof/>
        </w:rPr>
      </w:sdtEndPr>
      <w:sdtContent>
        <w:p w14:paraId="0BEFA524" w14:textId="4BDD4113" w:rsidR="001159C1" w:rsidRPr="00A503FC" w:rsidRDefault="001159C1" w:rsidP="00A503FC">
          <w:pPr>
            <w:pStyle w:val="TOCHeading"/>
            <w:spacing w:line="360" w:lineRule="auto"/>
            <w:rPr>
              <w:rFonts w:ascii="Times New Roman" w:hAnsi="Times New Roman" w:cs="Times New Roman"/>
              <w:b/>
              <w:bCs/>
              <w:color w:val="000000" w:themeColor="text1"/>
              <w:sz w:val="24"/>
              <w:szCs w:val="24"/>
            </w:rPr>
          </w:pPr>
          <w:r w:rsidRPr="00A503FC">
            <w:rPr>
              <w:rFonts w:ascii="Times New Roman" w:hAnsi="Times New Roman" w:cs="Times New Roman"/>
              <w:b/>
              <w:bCs/>
              <w:color w:val="000000" w:themeColor="text1"/>
              <w:sz w:val="24"/>
              <w:szCs w:val="24"/>
            </w:rPr>
            <w:t>Table of Contents</w:t>
          </w:r>
        </w:p>
        <w:p w14:paraId="01EDB8C2" w14:textId="73360D61" w:rsidR="000919C1" w:rsidRDefault="001159C1"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52145184" w:history="1">
            <w:r w:rsidR="000919C1" w:rsidRPr="002B39DE">
              <w:rPr>
                <w:rStyle w:val="Hyperlink"/>
                <w:noProof/>
              </w:rPr>
              <w:t>Context of British business communications</w:t>
            </w:r>
            <w:r w:rsidR="000919C1">
              <w:rPr>
                <w:noProof/>
                <w:webHidden/>
              </w:rPr>
              <w:tab/>
            </w:r>
            <w:r w:rsidR="000919C1">
              <w:rPr>
                <w:noProof/>
                <w:webHidden/>
              </w:rPr>
              <w:fldChar w:fldCharType="begin"/>
            </w:r>
            <w:r w:rsidR="000919C1">
              <w:rPr>
                <w:noProof/>
                <w:webHidden/>
              </w:rPr>
              <w:instrText xml:space="preserve"> PAGEREF _Toc152145184 \h </w:instrText>
            </w:r>
            <w:r w:rsidR="000919C1">
              <w:rPr>
                <w:noProof/>
                <w:webHidden/>
              </w:rPr>
            </w:r>
            <w:r w:rsidR="000919C1">
              <w:rPr>
                <w:noProof/>
                <w:webHidden/>
              </w:rPr>
              <w:fldChar w:fldCharType="separate"/>
            </w:r>
            <w:r w:rsidR="000919C1">
              <w:rPr>
                <w:noProof/>
                <w:webHidden/>
              </w:rPr>
              <w:t>2</w:t>
            </w:r>
            <w:r w:rsidR="000919C1">
              <w:rPr>
                <w:noProof/>
                <w:webHidden/>
              </w:rPr>
              <w:fldChar w:fldCharType="end"/>
            </w:r>
          </w:hyperlink>
        </w:p>
        <w:p w14:paraId="17D58B99" w14:textId="337261AA" w:rsidR="000919C1" w:rsidRDefault="000C21D3"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52145185" w:history="1">
            <w:r w:rsidR="000919C1" w:rsidRPr="002B39DE">
              <w:rPr>
                <w:rStyle w:val="Hyperlink"/>
                <w:noProof/>
              </w:rPr>
              <w:t>Diageo plc Brief introduction</w:t>
            </w:r>
            <w:r w:rsidR="000919C1">
              <w:rPr>
                <w:noProof/>
                <w:webHidden/>
              </w:rPr>
              <w:tab/>
            </w:r>
            <w:r w:rsidR="000919C1">
              <w:rPr>
                <w:noProof/>
                <w:webHidden/>
              </w:rPr>
              <w:fldChar w:fldCharType="begin"/>
            </w:r>
            <w:r w:rsidR="000919C1">
              <w:rPr>
                <w:noProof/>
                <w:webHidden/>
              </w:rPr>
              <w:instrText xml:space="preserve"> PAGEREF _Toc152145185 \h </w:instrText>
            </w:r>
            <w:r w:rsidR="000919C1">
              <w:rPr>
                <w:noProof/>
                <w:webHidden/>
              </w:rPr>
            </w:r>
            <w:r w:rsidR="000919C1">
              <w:rPr>
                <w:noProof/>
                <w:webHidden/>
              </w:rPr>
              <w:fldChar w:fldCharType="separate"/>
            </w:r>
            <w:r w:rsidR="000919C1">
              <w:rPr>
                <w:noProof/>
                <w:webHidden/>
              </w:rPr>
              <w:t>2</w:t>
            </w:r>
            <w:r w:rsidR="000919C1">
              <w:rPr>
                <w:noProof/>
                <w:webHidden/>
              </w:rPr>
              <w:fldChar w:fldCharType="end"/>
            </w:r>
          </w:hyperlink>
        </w:p>
        <w:p w14:paraId="76592AFF" w14:textId="506C3E6B" w:rsidR="000919C1" w:rsidRDefault="000C21D3"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52145186" w:history="1">
            <w:r w:rsidR="000919C1" w:rsidRPr="002B39DE">
              <w:rPr>
                <w:rStyle w:val="Hyperlink"/>
                <w:noProof/>
              </w:rPr>
              <w:t>Evaluation of two EU countries (Malta and Luxembourg)</w:t>
            </w:r>
            <w:r w:rsidR="000919C1">
              <w:rPr>
                <w:noProof/>
                <w:webHidden/>
              </w:rPr>
              <w:tab/>
            </w:r>
            <w:r w:rsidR="000919C1">
              <w:rPr>
                <w:noProof/>
                <w:webHidden/>
              </w:rPr>
              <w:fldChar w:fldCharType="begin"/>
            </w:r>
            <w:r w:rsidR="000919C1">
              <w:rPr>
                <w:noProof/>
                <w:webHidden/>
              </w:rPr>
              <w:instrText xml:space="preserve"> PAGEREF _Toc152145186 \h </w:instrText>
            </w:r>
            <w:r w:rsidR="000919C1">
              <w:rPr>
                <w:noProof/>
                <w:webHidden/>
              </w:rPr>
            </w:r>
            <w:r w:rsidR="000919C1">
              <w:rPr>
                <w:noProof/>
                <w:webHidden/>
              </w:rPr>
              <w:fldChar w:fldCharType="separate"/>
            </w:r>
            <w:r w:rsidR="000919C1">
              <w:rPr>
                <w:noProof/>
                <w:webHidden/>
              </w:rPr>
              <w:t>3</w:t>
            </w:r>
            <w:r w:rsidR="000919C1">
              <w:rPr>
                <w:noProof/>
                <w:webHidden/>
              </w:rPr>
              <w:fldChar w:fldCharType="end"/>
            </w:r>
          </w:hyperlink>
        </w:p>
        <w:p w14:paraId="55D3753E" w14:textId="30519AD5" w:rsidR="000919C1" w:rsidRDefault="000C21D3"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52145187" w:history="1">
            <w:r w:rsidR="000919C1" w:rsidRPr="002B39DE">
              <w:rPr>
                <w:rStyle w:val="Hyperlink"/>
                <w:noProof/>
              </w:rPr>
              <w:t>Communication barriers for Diageo plc in Malta and Luxembourg</w:t>
            </w:r>
            <w:r w:rsidR="000919C1">
              <w:rPr>
                <w:noProof/>
                <w:webHidden/>
              </w:rPr>
              <w:tab/>
            </w:r>
            <w:r w:rsidR="000919C1">
              <w:rPr>
                <w:noProof/>
                <w:webHidden/>
              </w:rPr>
              <w:fldChar w:fldCharType="begin"/>
            </w:r>
            <w:r w:rsidR="000919C1">
              <w:rPr>
                <w:noProof/>
                <w:webHidden/>
              </w:rPr>
              <w:instrText xml:space="preserve"> PAGEREF _Toc152145187 \h </w:instrText>
            </w:r>
            <w:r w:rsidR="000919C1">
              <w:rPr>
                <w:noProof/>
                <w:webHidden/>
              </w:rPr>
            </w:r>
            <w:r w:rsidR="000919C1">
              <w:rPr>
                <w:noProof/>
                <w:webHidden/>
              </w:rPr>
              <w:fldChar w:fldCharType="separate"/>
            </w:r>
            <w:r w:rsidR="000919C1">
              <w:rPr>
                <w:noProof/>
                <w:webHidden/>
              </w:rPr>
              <w:t>5</w:t>
            </w:r>
            <w:r w:rsidR="000919C1">
              <w:rPr>
                <w:noProof/>
                <w:webHidden/>
              </w:rPr>
              <w:fldChar w:fldCharType="end"/>
            </w:r>
          </w:hyperlink>
        </w:p>
        <w:p w14:paraId="2C45A810" w14:textId="5FECC817" w:rsidR="000919C1" w:rsidRDefault="000C21D3"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52145188" w:history="1">
            <w:r w:rsidR="000919C1" w:rsidRPr="002B39DE">
              <w:rPr>
                <w:rStyle w:val="Hyperlink"/>
                <w:noProof/>
              </w:rPr>
              <w:t>Recommendation for Diageo plc for Best country</w:t>
            </w:r>
            <w:r w:rsidR="000919C1">
              <w:rPr>
                <w:noProof/>
                <w:webHidden/>
              </w:rPr>
              <w:tab/>
            </w:r>
            <w:r w:rsidR="000919C1">
              <w:rPr>
                <w:noProof/>
                <w:webHidden/>
              </w:rPr>
              <w:fldChar w:fldCharType="begin"/>
            </w:r>
            <w:r w:rsidR="000919C1">
              <w:rPr>
                <w:noProof/>
                <w:webHidden/>
              </w:rPr>
              <w:instrText xml:space="preserve"> PAGEREF _Toc152145188 \h </w:instrText>
            </w:r>
            <w:r w:rsidR="000919C1">
              <w:rPr>
                <w:noProof/>
                <w:webHidden/>
              </w:rPr>
            </w:r>
            <w:r w:rsidR="000919C1">
              <w:rPr>
                <w:noProof/>
                <w:webHidden/>
              </w:rPr>
              <w:fldChar w:fldCharType="separate"/>
            </w:r>
            <w:r w:rsidR="000919C1">
              <w:rPr>
                <w:noProof/>
                <w:webHidden/>
              </w:rPr>
              <w:t>8</w:t>
            </w:r>
            <w:r w:rsidR="000919C1">
              <w:rPr>
                <w:noProof/>
                <w:webHidden/>
              </w:rPr>
              <w:fldChar w:fldCharType="end"/>
            </w:r>
          </w:hyperlink>
        </w:p>
        <w:p w14:paraId="074D2DCE" w14:textId="10D3266D" w:rsidR="000919C1" w:rsidRDefault="000C21D3"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52145189" w:history="1">
            <w:r w:rsidR="000919C1" w:rsidRPr="002B39DE">
              <w:rPr>
                <w:rStyle w:val="Hyperlink"/>
                <w:noProof/>
              </w:rPr>
              <w:t>Conclusion</w:t>
            </w:r>
            <w:r w:rsidR="000919C1">
              <w:rPr>
                <w:noProof/>
                <w:webHidden/>
              </w:rPr>
              <w:tab/>
            </w:r>
            <w:r w:rsidR="000919C1">
              <w:rPr>
                <w:noProof/>
                <w:webHidden/>
              </w:rPr>
              <w:fldChar w:fldCharType="begin"/>
            </w:r>
            <w:r w:rsidR="000919C1">
              <w:rPr>
                <w:noProof/>
                <w:webHidden/>
              </w:rPr>
              <w:instrText xml:space="preserve"> PAGEREF _Toc152145189 \h </w:instrText>
            </w:r>
            <w:r w:rsidR="000919C1">
              <w:rPr>
                <w:noProof/>
                <w:webHidden/>
              </w:rPr>
            </w:r>
            <w:r w:rsidR="000919C1">
              <w:rPr>
                <w:noProof/>
                <w:webHidden/>
              </w:rPr>
              <w:fldChar w:fldCharType="separate"/>
            </w:r>
            <w:r w:rsidR="000919C1">
              <w:rPr>
                <w:noProof/>
                <w:webHidden/>
              </w:rPr>
              <w:t>10</w:t>
            </w:r>
            <w:r w:rsidR="000919C1">
              <w:rPr>
                <w:noProof/>
                <w:webHidden/>
              </w:rPr>
              <w:fldChar w:fldCharType="end"/>
            </w:r>
          </w:hyperlink>
        </w:p>
        <w:p w14:paraId="36E2EFF5" w14:textId="0BDA8A2A" w:rsidR="000919C1" w:rsidRDefault="000C21D3" w:rsidP="000919C1">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52145190" w:history="1">
            <w:r w:rsidR="000919C1" w:rsidRPr="002B39DE">
              <w:rPr>
                <w:rStyle w:val="Hyperlink"/>
                <w:noProof/>
              </w:rPr>
              <w:t>References</w:t>
            </w:r>
            <w:r w:rsidR="000919C1">
              <w:rPr>
                <w:noProof/>
                <w:webHidden/>
              </w:rPr>
              <w:tab/>
            </w:r>
            <w:r w:rsidR="000919C1">
              <w:rPr>
                <w:noProof/>
                <w:webHidden/>
              </w:rPr>
              <w:fldChar w:fldCharType="begin"/>
            </w:r>
            <w:r w:rsidR="000919C1">
              <w:rPr>
                <w:noProof/>
                <w:webHidden/>
              </w:rPr>
              <w:instrText xml:space="preserve"> PAGEREF _Toc152145190 \h </w:instrText>
            </w:r>
            <w:r w:rsidR="000919C1">
              <w:rPr>
                <w:noProof/>
                <w:webHidden/>
              </w:rPr>
            </w:r>
            <w:r w:rsidR="000919C1">
              <w:rPr>
                <w:noProof/>
                <w:webHidden/>
              </w:rPr>
              <w:fldChar w:fldCharType="separate"/>
            </w:r>
            <w:r w:rsidR="000919C1">
              <w:rPr>
                <w:noProof/>
                <w:webHidden/>
              </w:rPr>
              <w:t>11</w:t>
            </w:r>
            <w:r w:rsidR="000919C1">
              <w:rPr>
                <w:noProof/>
                <w:webHidden/>
              </w:rPr>
              <w:fldChar w:fldCharType="end"/>
            </w:r>
          </w:hyperlink>
        </w:p>
        <w:p w14:paraId="039F0669" w14:textId="3B1C65B7" w:rsidR="001159C1" w:rsidRDefault="001159C1" w:rsidP="000919C1">
          <w:pPr>
            <w:spacing w:line="360" w:lineRule="auto"/>
          </w:pPr>
          <w:r>
            <w:rPr>
              <w:b/>
              <w:bCs/>
              <w:noProof/>
            </w:rPr>
            <w:fldChar w:fldCharType="end"/>
          </w:r>
        </w:p>
      </w:sdtContent>
    </w:sdt>
    <w:p w14:paraId="19962216" w14:textId="77777777" w:rsidR="001159C1" w:rsidRDefault="001159C1" w:rsidP="00CB0AFA">
      <w:pPr>
        <w:spacing w:line="360" w:lineRule="auto"/>
        <w:jc w:val="both"/>
      </w:pPr>
    </w:p>
    <w:p w14:paraId="4C6717BF" w14:textId="77777777" w:rsidR="001159C1" w:rsidRDefault="001159C1" w:rsidP="00CB0AFA">
      <w:pPr>
        <w:spacing w:line="360" w:lineRule="auto"/>
        <w:jc w:val="both"/>
      </w:pPr>
    </w:p>
    <w:p w14:paraId="6444B884" w14:textId="77777777" w:rsidR="001159C1" w:rsidRDefault="001159C1" w:rsidP="00CB0AFA">
      <w:pPr>
        <w:spacing w:line="360" w:lineRule="auto"/>
        <w:jc w:val="both"/>
      </w:pPr>
    </w:p>
    <w:p w14:paraId="2FF972E7" w14:textId="77777777" w:rsidR="001159C1" w:rsidRDefault="001159C1" w:rsidP="00CB0AFA">
      <w:pPr>
        <w:spacing w:line="360" w:lineRule="auto"/>
        <w:jc w:val="both"/>
      </w:pPr>
    </w:p>
    <w:p w14:paraId="3A7C9EA2" w14:textId="77777777" w:rsidR="001159C1" w:rsidRDefault="001159C1" w:rsidP="00CB0AFA">
      <w:pPr>
        <w:spacing w:line="360" w:lineRule="auto"/>
        <w:jc w:val="both"/>
      </w:pPr>
    </w:p>
    <w:p w14:paraId="7A275BCB" w14:textId="77777777" w:rsidR="001159C1" w:rsidRDefault="001159C1" w:rsidP="00CB0AFA">
      <w:pPr>
        <w:spacing w:line="360" w:lineRule="auto"/>
        <w:jc w:val="both"/>
      </w:pPr>
    </w:p>
    <w:p w14:paraId="0B6CF577" w14:textId="77777777" w:rsidR="001159C1" w:rsidRDefault="001159C1" w:rsidP="00CB0AFA">
      <w:pPr>
        <w:spacing w:line="360" w:lineRule="auto"/>
        <w:jc w:val="both"/>
      </w:pPr>
    </w:p>
    <w:p w14:paraId="64CB15B7" w14:textId="77777777" w:rsidR="001159C1" w:rsidRDefault="001159C1" w:rsidP="00CB0AFA">
      <w:pPr>
        <w:spacing w:line="360" w:lineRule="auto"/>
        <w:jc w:val="both"/>
      </w:pPr>
    </w:p>
    <w:p w14:paraId="03C5C5AD" w14:textId="77777777" w:rsidR="001159C1" w:rsidRDefault="001159C1" w:rsidP="00CB0AFA">
      <w:pPr>
        <w:spacing w:line="360" w:lineRule="auto"/>
        <w:jc w:val="both"/>
      </w:pPr>
    </w:p>
    <w:p w14:paraId="33D996C0" w14:textId="77777777" w:rsidR="001159C1" w:rsidRDefault="001159C1" w:rsidP="00CB0AFA">
      <w:pPr>
        <w:spacing w:line="360" w:lineRule="auto"/>
        <w:jc w:val="both"/>
      </w:pPr>
    </w:p>
    <w:p w14:paraId="00E35B63" w14:textId="77777777" w:rsidR="001159C1" w:rsidRDefault="001159C1" w:rsidP="00CB0AFA">
      <w:pPr>
        <w:spacing w:line="360" w:lineRule="auto"/>
        <w:jc w:val="both"/>
      </w:pPr>
    </w:p>
    <w:p w14:paraId="36CD043C" w14:textId="77777777" w:rsidR="001159C1" w:rsidRDefault="001159C1" w:rsidP="00CB0AFA">
      <w:pPr>
        <w:spacing w:line="360" w:lineRule="auto"/>
        <w:jc w:val="both"/>
      </w:pPr>
    </w:p>
    <w:p w14:paraId="1554AAC4" w14:textId="77777777" w:rsidR="001159C1" w:rsidRDefault="001159C1" w:rsidP="00CB0AFA">
      <w:pPr>
        <w:spacing w:line="360" w:lineRule="auto"/>
        <w:jc w:val="both"/>
      </w:pPr>
    </w:p>
    <w:p w14:paraId="6D3DD349" w14:textId="77777777" w:rsidR="001159C1" w:rsidRDefault="001159C1" w:rsidP="00CB0AFA">
      <w:pPr>
        <w:spacing w:line="360" w:lineRule="auto"/>
        <w:jc w:val="both"/>
      </w:pPr>
    </w:p>
    <w:p w14:paraId="782B51E8" w14:textId="77777777" w:rsidR="001159C1" w:rsidRDefault="001159C1" w:rsidP="00CB0AFA">
      <w:pPr>
        <w:spacing w:line="360" w:lineRule="auto"/>
        <w:jc w:val="both"/>
      </w:pPr>
    </w:p>
    <w:p w14:paraId="72E05A21" w14:textId="77777777" w:rsidR="001159C1" w:rsidRDefault="001159C1" w:rsidP="00CB0AFA">
      <w:pPr>
        <w:spacing w:line="360" w:lineRule="auto"/>
        <w:jc w:val="both"/>
      </w:pPr>
    </w:p>
    <w:p w14:paraId="50538B79" w14:textId="48F684D8" w:rsidR="00CB0AFA" w:rsidRDefault="00F54E6F" w:rsidP="00311D23">
      <w:pPr>
        <w:pStyle w:val="Heading1"/>
      </w:pPr>
      <w:bookmarkStart w:id="0" w:name="_Toc152145184"/>
      <w:r>
        <w:lastRenderedPageBreak/>
        <w:t>C</w:t>
      </w:r>
      <w:r w:rsidR="00CB0AFA" w:rsidRPr="00CF3B19">
        <w:t>ontext of British business communications</w:t>
      </w:r>
      <w:bookmarkEnd w:id="0"/>
    </w:p>
    <w:p w14:paraId="68754CAF" w14:textId="47F748C8" w:rsidR="00D50609" w:rsidRDefault="00B252E5" w:rsidP="00D50609">
      <w:pPr>
        <w:spacing w:line="360" w:lineRule="auto"/>
        <w:jc w:val="both"/>
      </w:pPr>
      <w:r w:rsidRPr="00B252E5">
        <w:t>The UK is a global commercial powerhouse with a robust economy and lengthy trade history. The UK is the world's 6th largest economy, growing 0.5% in 2023 (up from 0.4% in its prior prediction) and 0.6% in 2024 (down from 1.0%) with some of the biggest and most powerful firms.</w:t>
      </w:r>
      <w:sdt>
        <w:sdtPr>
          <w:id w:val="-1034580897"/>
          <w:citation/>
        </w:sdtPr>
        <w:sdtEndPr/>
        <w:sdtContent>
          <w:r w:rsidR="00F41AA3">
            <w:fldChar w:fldCharType="begin"/>
          </w:r>
          <w:r w:rsidR="00F41AA3">
            <w:rPr>
              <w:lang w:val="en-IN"/>
            </w:rPr>
            <w:instrText xml:space="preserve"> CITATION Com2314 \l 16393 </w:instrText>
          </w:r>
          <w:r w:rsidR="00F41AA3">
            <w:fldChar w:fldCharType="separate"/>
          </w:r>
          <w:r w:rsidR="00F41AA3">
            <w:rPr>
              <w:noProof/>
              <w:lang w:val="en-IN"/>
            </w:rPr>
            <w:t xml:space="preserve"> </w:t>
          </w:r>
          <w:r w:rsidR="00F41AA3" w:rsidRPr="00F41AA3">
            <w:rPr>
              <w:noProof/>
              <w:lang w:val="en-IN"/>
            </w:rPr>
            <w:t>(Commonslibrary.parliament.uk, 2023)</w:t>
          </w:r>
          <w:r w:rsidR="00F41AA3">
            <w:fldChar w:fldCharType="end"/>
          </w:r>
        </w:sdtContent>
      </w:sdt>
      <w:r w:rsidR="00D50609">
        <w:t>. The UK's favourable position, rich maritime culture, and stable governmental system have allowed it to trade and do business with other regions for generations.</w:t>
      </w:r>
    </w:p>
    <w:p w14:paraId="672EA4A1" w14:textId="1F06E599" w:rsidR="00CF3B19" w:rsidRPr="00CF3B19" w:rsidRDefault="00D50609" w:rsidP="00681489">
      <w:pPr>
        <w:spacing w:line="360" w:lineRule="auto"/>
        <w:jc w:val="both"/>
      </w:pPr>
      <w:r>
        <w:t>Worldwide investment, talent, and trade flow to the UK, a key international commercial hub</w:t>
      </w:r>
      <w:r w:rsidR="004F7E29">
        <w:t xml:space="preserve">, which </w:t>
      </w:r>
      <w:r>
        <w:t>has significant commercial and financial cities including London, Manchester, and Birmingham</w:t>
      </w:r>
      <w:r w:rsidR="00DB6C29">
        <w:t xml:space="preserve"> (Fothergill and Houston, 2016)</w:t>
      </w:r>
      <w:r>
        <w:t>. Business in the UK is diversified, with several industries vital to the economy. Finance, manufacturing, healthcare, technology, and creativity are important areas. Business communication in the UK is efficient and professional. Business communication in the UK emphasises relationships, clarity, and courtesy. Strong business relationships with partners and clients worldwide have relied on this cultural emphasis on good communication. Multiculturalism also shapes UK corporate communications. Due to its diverse population of over 6</w:t>
      </w:r>
      <w:r w:rsidR="004F7E29">
        <w:t xml:space="preserve">7,829,242 with </w:t>
      </w:r>
      <w:r>
        <w:t>speak</w:t>
      </w:r>
      <w:r w:rsidR="004F7E29">
        <w:t>ing</w:t>
      </w:r>
      <w:r>
        <w:t xml:space="preserve"> </w:t>
      </w:r>
      <w:r w:rsidR="004F7E29">
        <w:t>more than</w:t>
      </w:r>
      <w:r>
        <w:t xml:space="preserve"> 300 languages</w:t>
      </w:r>
      <w:sdt>
        <w:sdtPr>
          <w:id w:val="-401829215"/>
          <w:citation/>
        </w:sdtPr>
        <w:sdtEndPr/>
        <w:sdtContent>
          <w:r w:rsidR="004F7E29">
            <w:fldChar w:fldCharType="begin"/>
          </w:r>
          <w:r w:rsidR="004F7E29">
            <w:rPr>
              <w:lang w:val="en-IN"/>
            </w:rPr>
            <w:instrText xml:space="preserve"> CITATION Wor2314 \l 16393 </w:instrText>
          </w:r>
          <w:r w:rsidR="004F7E29">
            <w:fldChar w:fldCharType="separate"/>
          </w:r>
          <w:r w:rsidR="004F7E29">
            <w:rPr>
              <w:noProof/>
              <w:lang w:val="en-IN"/>
            </w:rPr>
            <w:t xml:space="preserve"> </w:t>
          </w:r>
          <w:r w:rsidR="004F7E29" w:rsidRPr="004F7E29">
            <w:rPr>
              <w:noProof/>
              <w:lang w:val="en-IN"/>
            </w:rPr>
            <w:t>(Worldometers.info, 2023)</w:t>
          </w:r>
          <w:r w:rsidR="004F7E29">
            <w:fldChar w:fldCharType="end"/>
          </w:r>
        </w:sdtContent>
      </w:sdt>
      <w:r>
        <w:t>. Diversity has led to different communication techniques, notably the widespread use of English in business. Technology has shaped UK corporate communication with language</w:t>
      </w:r>
      <w:r w:rsidR="00142D92">
        <w:t xml:space="preserve"> w</w:t>
      </w:r>
      <w:r>
        <w:t>ith a strong digital infrastructure</w:t>
      </w:r>
      <w:r w:rsidR="00F54E6F">
        <w:t xml:space="preserve"> across the world. </w:t>
      </w:r>
    </w:p>
    <w:p w14:paraId="06A2EAB8" w14:textId="25E6CA95" w:rsidR="00CB0AFA" w:rsidRDefault="004D1959" w:rsidP="00311D23">
      <w:pPr>
        <w:pStyle w:val="Heading1"/>
      </w:pPr>
      <w:bookmarkStart w:id="1" w:name="_Toc152145185"/>
      <w:r>
        <w:t xml:space="preserve">Diageo plc </w:t>
      </w:r>
      <w:r w:rsidR="00CB0AFA" w:rsidRPr="00CF3B19">
        <w:t>Brief introduction</w:t>
      </w:r>
      <w:bookmarkEnd w:id="1"/>
    </w:p>
    <w:p w14:paraId="6C0CAC9F" w14:textId="62006DE3" w:rsidR="00B4744D" w:rsidRDefault="00B4744D" w:rsidP="00B4744D">
      <w:pPr>
        <w:spacing w:line="360" w:lineRule="auto"/>
        <w:jc w:val="both"/>
      </w:pPr>
      <w:r>
        <w:t>Diageo plc was formed in 1997 when Guinness plc and Grand Metropolitan plc merged</w:t>
      </w:r>
      <w:sdt>
        <w:sdtPr>
          <w:id w:val="-1195776585"/>
          <w:citation/>
        </w:sdtPr>
        <w:sdtEndPr/>
        <w:sdtContent>
          <w:r w:rsidR="001F578D">
            <w:fldChar w:fldCharType="begin"/>
          </w:r>
          <w:r w:rsidR="001F578D">
            <w:rPr>
              <w:lang w:val="en-IN"/>
            </w:rPr>
            <w:instrText xml:space="preserve"> CITATION Tef22 \l 16393 </w:instrText>
          </w:r>
          <w:r w:rsidR="001F578D">
            <w:fldChar w:fldCharType="separate"/>
          </w:r>
          <w:r w:rsidR="001F578D">
            <w:rPr>
              <w:noProof/>
              <w:lang w:val="en-IN"/>
            </w:rPr>
            <w:t xml:space="preserve"> </w:t>
          </w:r>
          <w:r w:rsidR="001F578D" w:rsidRPr="001F578D">
            <w:rPr>
              <w:noProof/>
              <w:lang w:val="en-IN"/>
            </w:rPr>
            <w:t>(Alonso, 2022)</w:t>
          </w:r>
          <w:r w:rsidR="001F578D">
            <w:fldChar w:fldCharType="end"/>
          </w:r>
        </w:sdtContent>
      </w:sdt>
      <w:r>
        <w:t xml:space="preserve">. Company headquarters are in London, UK, and it operates in 180 countries. </w:t>
      </w:r>
      <w:r w:rsidR="0061332C" w:rsidRPr="0061332C">
        <w:t xml:space="preserve">Diageo represents our global presence and expansion with the Latin word "dies" for day and the Greek word "geo" for world. Diageo produces and distributes approximately 200 liquor, beer, and wine brands, including Johnnie Walker, Smirnoff, Guinness, Captain Morgan, Baileys, and Tanqueray. </w:t>
      </w:r>
      <w:r>
        <w:t xml:space="preserve">With </w:t>
      </w:r>
      <w:r w:rsidR="00B07238">
        <w:t>approximately 30,419</w:t>
      </w:r>
      <w:r>
        <w:t xml:space="preserve"> </w:t>
      </w:r>
      <w:r w:rsidR="009C75FE">
        <w:t>employees</w:t>
      </w:r>
      <w:r>
        <w:t>, Diageo is the world's largest alcohol manufacturer and second-largest beer maker</w:t>
      </w:r>
      <w:sdt>
        <w:sdtPr>
          <w:id w:val="-1860032664"/>
          <w:citation/>
        </w:sdtPr>
        <w:sdtEndPr/>
        <w:sdtContent>
          <w:r w:rsidR="00B07238">
            <w:fldChar w:fldCharType="begin"/>
          </w:r>
          <w:r w:rsidR="00B07238">
            <w:rPr>
              <w:lang w:val="en-IN"/>
            </w:rPr>
            <w:instrText xml:space="preserve"> CITATION Mac2321 \l 16393 </w:instrText>
          </w:r>
          <w:r w:rsidR="00B07238">
            <w:fldChar w:fldCharType="separate"/>
          </w:r>
          <w:r w:rsidR="00B07238">
            <w:rPr>
              <w:noProof/>
              <w:lang w:val="en-IN"/>
            </w:rPr>
            <w:t xml:space="preserve"> </w:t>
          </w:r>
          <w:r w:rsidR="00B07238" w:rsidRPr="00B07238">
            <w:rPr>
              <w:noProof/>
              <w:lang w:val="en-IN"/>
            </w:rPr>
            <w:t>(Macrotrends.net, 2023)</w:t>
          </w:r>
          <w:r w:rsidR="00B07238">
            <w:fldChar w:fldCharType="end"/>
          </w:r>
        </w:sdtContent>
      </w:sdt>
      <w:r>
        <w:t>. The company sells its products online, in bars and restaurants, and retail. The 202</w:t>
      </w:r>
      <w:r w:rsidR="00DF4EEB">
        <w:t xml:space="preserve">3 </w:t>
      </w:r>
      <w:r>
        <w:t xml:space="preserve">fiscal year had </w:t>
      </w:r>
      <w:r w:rsidR="00DF4EEB" w:rsidRPr="00DF4EEB">
        <w:t>net sales amounted to approximately 17.11 billion GBP</w:t>
      </w:r>
      <w:r w:rsidR="00DF4EEB">
        <w:t>, which has 11% increase in comparison of previous year</w:t>
      </w:r>
      <w:sdt>
        <w:sdtPr>
          <w:id w:val="395641515"/>
          <w:citation/>
        </w:sdtPr>
        <w:sdtEndPr/>
        <w:sdtContent>
          <w:r w:rsidR="006451DB">
            <w:fldChar w:fldCharType="begin"/>
          </w:r>
          <w:r w:rsidR="006451DB">
            <w:rPr>
              <w:lang w:val="en-IN"/>
            </w:rPr>
            <w:instrText xml:space="preserve"> CITATION Jan231 \l 16393 </w:instrText>
          </w:r>
          <w:r w:rsidR="006451DB">
            <w:fldChar w:fldCharType="separate"/>
          </w:r>
          <w:r w:rsidR="006451DB">
            <w:rPr>
              <w:noProof/>
              <w:lang w:val="en-IN"/>
            </w:rPr>
            <w:t xml:space="preserve"> </w:t>
          </w:r>
          <w:r w:rsidR="006451DB" w:rsidRPr="006451DB">
            <w:rPr>
              <w:noProof/>
              <w:lang w:val="en-IN"/>
            </w:rPr>
            <w:t>(Conway, 2023)</w:t>
          </w:r>
          <w:r w:rsidR="006451DB">
            <w:fldChar w:fldCharType="end"/>
          </w:r>
        </w:sdtContent>
      </w:sdt>
      <w:r w:rsidR="00DF4EEB">
        <w:t xml:space="preserve">. </w:t>
      </w:r>
      <w:r>
        <w:t>Due to its global presence and varied portfolio, the company has consistently grown sales and profitability.</w:t>
      </w:r>
    </w:p>
    <w:p w14:paraId="0CA00037" w14:textId="2C9FDC12" w:rsidR="00F9456F" w:rsidRDefault="00B4744D" w:rsidP="00B4744D">
      <w:pPr>
        <w:spacing w:line="360" w:lineRule="auto"/>
        <w:jc w:val="both"/>
      </w:pPr>
      <w:r>
        <w:lastRenderedPageBreak/>
        <w:t>Diageo's brand portfolio and heritage help it succeed</w:t>
      </w:r>
      <w:r w:rsidR="00C2205B">
        <w:t>, where t</w:t>
      </w:r>
      <w:r>
        <w:t xml:space="preserve">heir brands have been around for almost a century, and they invest in innovation and marketing to stay relevant. Sustainability and social responsibility are Diageo's priorities in addition to luxury brands. To limit their environmental effect and promote responsible drinking, they have ambitious goals and partnerships. </w:t>
      </w:r>
    </w:p>
    <w:p w14:paraId="46B5947A" w14:textId="1BB26BA4" w:rsidR="00075548" w:rsidRPr="00F9456F" w:rsidRDefault="00075548" w:rsidP="00075548">
      <w:pPr>
        <w:pStyle w:val="Heading1"/>
      </w:pPr>
      <w:bookmarkStart w:id="2" w:name="_Toc152145186"/>
      <w:r>
        <w:t>Evaluation of two EU countries (Malta and Luxembourg)</w:t>
      </w:r>
      <w:bookmarkEnd w:id="2"/>
    </w:p>
    <w:p w14:paraId="0098F445" w14:textId="3390DC0A" w:rsidR="00682DF4" w:rsidRPr="00682DF4" w:rsidRDefault="00682DF4" w:rsidP="00682DF4">
      <w:pPr>
        <w:spacing w:line="360" w:lineRule="auto"/>
        <w:jc w:val="both"/>
        <w:rPr>
          <w:b/>
          <w:bCs/>
        </w:rPr>
      </w:pPr>
      <w:r w:rsidRPr="00682DF4">
        <w:rPr>
          <w:b/>
          <w:bCs/>
        </w:rPr>
        <w:t>Country Facts:</w:t>
      </w:r>
    </w:p>
    <w:p w14:paraId="4E6E79B6" w14:textId="6DBD97CC" w:rsidR="00682DF4" w:rsidRDefault="00D40848" w:rsidP="00682DF4">
      <w:pPr>
        <w:spacing w:line="360" w:lineRule="auto"/>
        <w:jc w:val="both"/>
      </w:pPr>
      <w:r w:rsidRPr="00D40848">
        <w:t xml:space="preserve">Malta and Luxembourg, EU members in the Mediterranean and Western Europe, respectively. Malta has </w:t>
      </w:r>
      <w:r w:rsidR="00A90B29">
        <w:t xml:space="preserve">population of </w:t>
      </w:r>
      <w:r w:rsidRPr="00D40848">
        <w:t>almost 5</w:t>
      </w:r>
      <w:r w:rsidR="001E5876">
        <w:t>35</w:t>
      </w:r>
      <w:r w:rsidRPr="00D40848">
        <w:t>,</w:t>
      </w:r>
      <w:r w:rsidR="001E5876">
        <w:t>747</w:t>
      </w:r>
      <w:r w:rsidRPr="00D40848">
        <w:t xml:space="preserve"> people, while Luxembourg has </w:t>
      </w:r>
      <w:r w:rsidR="00A90B29">
        <w:t xml:space="preserve">population of </w:t>
      </w:r>
      <w:r w:rsidRPr="00D40848">
        <w:t>6</w:t>
      </w:r>
      <w:r w:rsidR="004F1948">
        <w:t>57</w:t>
      </w:r>
      <w:r w:rsidRPr="00D40848">
        <w:t>,</w:t>
      </w:r>
      <w:r w:rsidR="004F1948">
        <w:t xml:space="preserve">571 </w:t>
      </w:r>
      <w:r w:rsidR="00A90B29">
        <w:t>people</w:t>
      </w:r>
      <w:sdt>
        <w:sdtPr>
          <w:id w:val="-333068533"/>
          <w:citation/>
        </w:sdtPr>
        <w:sdtEndPr/>
        <w:sdtContent>
          <w:r w:rsidR="001E5876">
            <w:fldChar w:fldCharType="begin"/>
          </w:r>
          <w:r w:rsidR="001E5876">
            <w:rPr>
              <w:lang w:val="en-IN"/>
            </w:rPr>
            <w:instrText xml:space="preserve"> CITATION Wor2315 \l 16393 </w:instrText>
          </w:r>
          <w:r w:rsidR="001E5876">
            <w:fldChar w:fldCharType="separate"/>
          </w:r>
          <w:r w:rsidR="001E5876">
            <w:rPr>
              <w:noProof/>
              <w:lang w:val="en-IN"/>
            </w:rPr>
            <w:t xml:space="preserve"> </w:t>
          </w:r>
          <w:r w:rsidR="001E5876" w:rsidRPr="001E5876">
            <w:rPr>
              <w:noProof/>
              <w:lang w:val="en-IN"/>
            </w:rPr>
            <w:t>(Worldometers.info, 2023)</w:t>
          </w:r>
          <w:r w:rsidR="001E5876">
            <w:fldChar w:fldCharType="end"/>
          </w:r>
        </w:sdtContent>
      </w:sdt>
      <w:r w:rsidRPr="00D40848">
        <w:t>. Both countries have developed economies with high GDP per capita and large service industries. Both countries also have favourable tax systems, attracting investors.</w:t>
      </w:r>
    </w:p>
    <w:p w14:paraId="59DC6C47" w14:textId="51642B63" w:rsidR="00682DF4" w:rsidRPr="00682DF4" w:rsidRDefault="00682DF4" w:rsidP="00682DF4">
      <w:pPr>
        <w:spacing w:line="360" w:lineRule="auto"/>
        <w:jc w:val="both"/>
        <w:rPr>
          <w:b/>
          <w:bCs/>
        </w:rPr>
      </w:pPr>
      <w:r w:rsidRPr="00682DF4">
        <w:rPr>
          <w:b/>
          <w:bCs/>
        </w:rPr>
        <w:t>Social Context and Profile:</w:t>
      </w:r>
    </w:p>
    <w:p w14:paraId="4ED438D5" w14:textId="418ABBBD" w:rsidR="00682DF4" w:rsidRDefault="002B165C" w:rsidP="00682DF4">
      <w:pPr>
        <w:spacing w:line="360" w:lineRule="auto"/>
        <w:jc w:val="both"/>
      </w:pPr>
      <w:r w:rsidRPr="002B165C">
        <w:t>Both Malta and Luxembourg are contemporary, progressive nations, yet their societal settings and profiles may impact Diageo plc's business. Malta has a strict, Catholic culture</w:t>
      </w:r>
      <w:r w:rsidR="00F733CF">
        <w:t>, d</w:t>
      </w:r>
      <w:r w:rsidRPr="002B165C">
        <w:t>ue to its Mediterranean position, the country is open to other cultures and has a diverse population</w:t>
      </w:r>
      <w:r w:rsidR="00353DC9">
        <w:t xml:space="preserve"> (Aquilina, 2018)</w:t>
      </w:r>
      <w:r w:rsidRPr="002B165C">
        <w:t>. However, Luxembourg's more cosmopolitan culture and openness to different cultures and lifestyles could help Diageo plc market and promote their products to a diverse client base.</w:t>
      </w:r>
    </w:p>
    <w:p w14:paraId="786F4BF2" w14:textId="00DB238A" w:rsidR="00682DF4" w:rsidRPr="00682DF4" w:rsidRDefault="00682DF4" w:rsidP="00682DF4">
      <w:pPr>
        <w:spacing w:line="360" w:lineRule="auto"/>
        <w:jc w:val="both"/>
        <w:rPr>
          <w:b/>
          <w:bCs/>
        </w:rPr>
      </w:pPr>
      <w:r w:rsidRPr="00682DF4">
        <w:rPr>
          <w:b/>
          <w:bCs/>
        </w:rPr>
        <w:t>Language:</w:t>
      </w:r>
    </w:p>
    <w:p w14:paraId="60C178C6" w14:textId="3B48FCE3" w:rsidR="00682DF4" w:rsidRDefault="002B165C" w:rsidP="00682DF4">
      <w:pPr>
        <w:spacing w:line="360" w:lineRule="auto"/>
        <w:jc w:val="both"/>
      </w:pPr>
      <w:r w:rsidRPr="002B165C">
        <w:t>Malta's official language is Maltese, but English is commonly spoken. The official languages of Luxembourg are Luxembourgish, French, and German</w:t>
      </w:r>
      <w:r w:rsidR="00040D09">
        <w:t xml:space="preserve">, through which </w:t>
      </w:r>
      <w:r w:rsidRPr="002B165C">
        <w:t>Diageo plc may face language diversity issues in the workforce and with customers</w:t>
      </w:r>
      <w:r w:rsidR="00334FA9">
        <w:t xml:space="preserve"> (Horner and Webber, 2016)</w:t>
      </w:r>
      <w:r w:rsidRPr="002B165C">
        <w:t>. However, Diageo plc may benefit by recruiting and targeting English-speaking consumers in both nations due to their strong English proficiency.</w:t>
      </w:r>
    </w:p>
    <w:p w14:paraId="23017064" w14:textId="77777777" w:rsidR="00682DF4" w:rsidRPr="00682DF4" w:rsidRDefault="00682DF4" w:rsidP="00682DF4">
      <w:pPr>
        <w:spacing w:line="360" w:lineRule="auto"/>
        <w:jc w:val="both"/>
        <w:rPr>
          <w:b/>
          <w:bCs/>
        </w:rPr>
      </w:pPr>
      <w:r w:rsidRPr="00682DF4">
        <w:rPr>
          <w:b/>
          <w:bCs/>
        </w:rPr>
        <w:t>Possible Risks:</w:t>
      </w:r>
    </w:p>
    <w:p w14:paraId="2D69A379" w14:textId="295F12F3" w:rsidR="00682DF4" w:rsidRDefault="002B165C" w:rsidP="00682DF4">
      <w:pPr>
        <w:spacing w:line="360" w:lineRule="auto"/>
        <w:jc w:val="both"/>
      </w:pPr>
      <w:r w:rsidRPr="002B165C">
        <w:t xml:space="preserve">Malta and Luxembourg offer stable political regimes and </w:t>
      </w:r>
      <w:r w:rsidR="00255570" w:rsidRPr="002B165C">
        <w:t>favourable</w:t>
      </w:r>
      <w:r w:rsidRPr="002B165C">
        <w:t xml:space="preserve"> corporate surroundings. However, Diageo plc must assess the risks before expanding in these countries. Malta's tourism dependence could be harmed by economic downturns or natural calamities</w:t>
      </w:r>
      <w:r w:rsidR="00A262F4">
        <w:t xml:space="preserve">, where </w:t>
      </w:r>
      <w:r w:rsidRPr="002B165C">
        <w:t xml:space="preserve">Malta's </w:t>
      </w:r>
      <w:r w:rsidRPr="002B165C">
        <w:lastRenderedPageBreak/>
        <w:t xml:space="preserve">small size and limited natural resources make it extremely dependent on imports. Competition from established beverage companies and rising </w:t>
      </w:r>
      <w:r w:rsidR="00255570" w:rsidRPr="002B165C">
        <w:t>labour</w:t>
      </w:r>
      <w:r w:rsidRPr="002B165C">
        <w:t xml:space="preserve"> costs are issues in Luxembourg.</w:t>
      </w:r>
    </w:p>
    <w:p w14:paraId="62E7B9A2" w14:textId="2427E8D3" w:rsidR="00682DF4" w:rsidRPr="0090400E" w:rsidRDefault="00682DF4" w:rsidP="00682DF4">
      <w:pPr>
        <w:spacing w:line="360" w:lineRule="auto"/>
        <w:jc w:val="both"/>
        <w:rPr>
          <w:b/>
          <w:bCs/>
        </w:rPr>
      </w:pPr>
      <w:r w:rsidRPr="0090400E">
        <w:rPr>
          <w:b/>
          <w:bCs/>
        </w:rPr>
        <w:t>Labour Outlooks:</w:t>
      </w:r>
    </w:p>
    <w:p w14:paraId="3D1FD684" w14:textId="129C2024" w:rsidR="00682DF4" w:rsidRDefault="00DB6C9A" w:rsidP="00682DF4">
      <w:pPr>
        <w:spacing w:line="360" w:lineRule="auto"/>
        <w:jc w:val="both"/>
      </w:pPr>
      <w:r w:rsidRPr="00DB6C9A">
        <w:t>Malta and Luxembourg have educated and talented workers</w:t>
      </w:r>
      <w:r w:rsidR="00A77313">
        <w:t xml:space="preserve">, where both countries have the </w:t>
      </w:r>
      <w:r w:rsidRPr="00DB6C9A">
        <w:t>considerable variances in worker diversity. Malta's workforce is largely Maltese. Luxembourg has more expats and immigrants, making its workforce more varied</w:t>
      </w:r>
      <w:r w:rsidR="00A77313">
        <w:t xml:space="preserve">, through which </w:t>
      </w:r>
      <w:r w:rsidRPr="00DB6C9A">
        <w:t>Diageo plc can benefit from a wide pool of talent and viewpoints, but language and cultural boundaries may cause obstacles</w:t>
      </w:r>
      <w:r w:rsidR="00A77313">
        <w:t xml:space="preserve"> (</w:t>
      </w:r>
      <w:proofErr w:type="spellStart"/>
      <w:r w:rsidR="00A77313">
        <w:t>Langinier</w:t>
      </w:r>
      <w:proofErr w:type="spellEnd"/>
      <w:r w:rsidR="00A77313">
        <w:t xml:space="preserve"> </w:t>
      </w:r>
      <w:r w:rsidR="00D83019">
        <w:t>and</w:t>
      </w:r>
      <w:r w:rsidR="00A77313">
        <w:t xml:space="preserve"> </w:t>
      </w:r>
      <w:proofErr w:type="spellStart"/>
      <w:r w:rsidR="00A77313">
        <w:t>Froehlicher</w:t>
      </w:r>
      <w:proofErr w:type="spellEnd"/>
      <w:r w:rsidR="00A77313">
        <w:t>, 2018)</w:t>
      </w:r>
      <w:r w:rsidRPr="00DB6C9A">
        <w:t>.</w:t>
      </w:r>
    </w:p>
    <w:p w14:paraId="09755DD9" w14:textId="77777777" w:rsidR="00682DF4" w:rsidRPr="00682DF4" w:rsidRDefault="00682DF4" w:rsidP="00682DF4">
      <w:pPr>
        <w:spacing w:line="360" w:lineRule="auto"/>
        <w:jc w:val="both"/>
        <w:rPr>
          <w:b/>
          <w:bCs/>
        </w:rPr>
      </w:pPr>
      <w:r w:rsidRPr="00682DF4">
        <w:rPr>
          <w:b/>
          <w:bCs/>
        </w:rPr>
        <w:t>Hofstede Model:</w:t>
      </w:r>
    </w:p>
    <w:p w14:paraId="2703E11B" w14:textId="06E631A5" w:rsidR="00682DF4" w:rsidRDefault="00ED4CB6" w:rsidP="00682DF4">
      <w:pPr>
        <w:spacing w:line="360" w:lineRule="auto"/>
        <w:jc w:val="both"/>
      </w:pPr>
      <w:r>
        <w:t>Hofstede</w:t>
      </w:r>
      <w:r w:rsidR="00DB6C9A" w:rsidRPr="00DB6C9A">
        <w:t xml:space="preserve"> model is commonly used to interpret cultural variations between countries</w:t>
      </w:r>
      <w:r>
        <w:t xml:space="preserve">, which </w:t>
      </w:r>
      <w:r w:rsidR="00DB6C9A" w:rsidRPr="00DB6C9A">
        <w:t>lists power distance, individualism, masculinity, uncertainty avoidance, long-term orientation, and indulgence as cultural dimensions</w:t>
      </w:r>
      <w:r w:rsidR="00D83019">
        <w:t xml:space="preserve"> (Minkov and Kaasa, 2021)</w:t>
      </w:r>
      <w:r w:rsidR="00DB6C9A" w:rsidRPr="00DB6C9A">
        <w:t xml:space="preserve">. </w:t>
      </w:r>
    </w:p>
    <w:p w14:paraId="7D952E88" w14:textId="78B33382" w:rsidR="00D3475A" w:rsidRDefault="00D3475A" w:rsidP="00D3475A">
      <w:pPr>
        <w:spacing w:line="360" w:lineRule="auto"/>
        <w:jc w:val="center"/>
      </w:pPr>
      <w:r w:rsidRPr="00D3475A">
        <w:rPr>
          <w:noProof/>
        </w:rPr>
        <w:drawing>
          <wp:inline distT="0" distB="0" distL="0" distR="0" wp14:anchorId="0DCBF060" wp14:editId="62DB2000">
            <wp:extent cx="5762625" cy="3060332"/>
            <wp:effectExtent l="0" t="0" r="0" b="6985"/>
            <wp:docPr id="1101865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65392" name=""/>
                    <pic:cNvPicPr/>
                  </pic:nvPicPr>
                  <pic:blipFill>
                    <a:blip r:embed="rId9"/>
                    <a:stretch>
                      <a:fillRect/>
                    </a:stretch>
                  </pic:blipFill>
                  <pic:spPr>
                    <a:xfrm>
                      <a:off x="0" y="0"/>
                      <a:ext cx="5773054" cy="3065870"/>
                    </a:xfrm>
                    <a:prstGeom prst="rect">
                      <a:avLst/>
                    </a:prstGeom>
                  </pic:spPr>
                </pic:pic>
              </a:graphicData>
            </a:graphic>
          </wp:inline>
        </w:drawing>
      </w:r>
    </w:p>
    <w:p w14:paraId="5268AF77" w14:textId="710D766A" w:rsidR="00D3475A" w:rsidRPr="00D3475A" w:rsidRDefault="00D3475A" w:rsidP="00D3475A">
      <w:pPr>
        <w:spacing w:line="360" w:lineRule="auto"/>
        <w:jc w:val="center"/>
      </w:pPr>
      <w:r>
        <w:rPr>
          <w:b/>
          <w:bCs/>
        </w:rPr>
        <w:t>Source:</w:t>
      </w:r>
      <w:r>
        <w:t xml:space="preserve"> </w:t>
      </w:r>
      <w:sdt>
        <w:sdtPr>
          <w:id w:val="828555224"/>
          <w:citation/>
        </w:sdtPr>
        <w:sdtEndPr/>
        <w:sdtContent>
          <w:r w:rsidR="002C3F98">
            <w:fldChar w:fldCharType="begin"/>
          </w:r>
          <w:r w:rsidR="002C3F98">
            <w:rPr>
              <w:lang w:val="en-IN"/>
            </w:rPr>
            <w:instrText xml:space="preserve"> CITATION Hof236 \l 16393 </w:instrText>
          </w:r>
          <w:r w:rsidR="002C3F98">
            <w:fldChar w:fldCharType="separate"/>
          </w:r>
          <w:r w:rsidR="002C3F98" w:rsidRPr="002C3F98">
            <w:rPr>
              <w:noProof/>
              <w:lang w:val="en-IN"/>
            </w:rPr>
            <w:t>(Hofstede-insights.com, 2023)</w:t>
          </w:r>
          <w:r w:rsidR="002C3F98">
            <w:fldChar w:fldCharType="end"/>
          </w:r>
        </w:sdtContent>
      </w:sdt>
    </w:p>
    <w:p w14:paraId="0C3C5644" w14:textId="0A7C0AF8" w:rsidR="00682DF4" w:rsidRDefault="00682DF4" w:rsidP="00CE339A">
      <w:pPr>
        <w:pStyle w:val="ListParagraph"/>
        <w:numPr>
          <w:ilvl w:val="0"/>
          <w:numId w:val="2"/>
        </w:numPr>
        <w:spacing w:line="360" w:lineRule="auto"/>
        <w:jc w:val="both"/>
      </w:pPr>
      <w:r w:rsidRPr="00CE339A">
        <w:rPr>
          <w:b/>
          <w:bCs/>
        </w:rPr>
        <w:t>Power Distance:</w:t>
      </w:r>
      <w:r>
        <w:t xml:space="preserve"> </w:t>
      </w:r>
      <w:r w:rsidR="00A93606" w:rsidRPr="00A93606">
        <w:t xml:space="preserve">Based on the Hofstede tool, </w:t>
      </w:r>
      <w:r w:rsidR="00FB1026" w:rsidRPr="00FB1026">
        <w:t>Luxembourg's power distance index is 40 and Malta's is 56, showing a propensity for decentralized decision-making and flattening organizational structures</w:t>
      </w:r>
      <w:sdt>
        <w:sdtPr>
          <w:id w:val="-355041387"/>
          <w:citation/>
        </w:sdtPr>
        <w:sdtEndPr/>
        <w:sdtContent>
          <w:r w:rsidR="002C3F98">
            <w:fldChar w:fldCharType="begin"/>
          </w:r>
          <w:r w:rsidR="002C3F98">
            <w:rPr>
              <w:lang w:val="en-IN"/>
            </w:rPr>
            <w:instrText xml:space="preserve"> CITATION Hof236 \l 16393 </w:instrText>
          </w:r>
          <w:r w:rsidR="002C3F98">
            <w:fldChar w:fldCharType="separate"/>
          </w:r>
          <w:r w:rsidR="002C3F98">
            <w:rPr>
              <w:noProof/>
              <w:lang w:val="en-IN"/>
            </w:rPr>
            <w:t xml:space="preserve"> </w:t>
          </w:r>
          <w:r w:rsidR="002C3F98" w:rsidRPr="002C3F98">
            <w:rPr>
              <w:noProof/>
              <w:lang w:val="en-IN"/>
            </w:rPr>
            <w:t>(Hofstede-insights.com, 2023)</w:t>
          </w:r>
          <w:r w:rsidR="002C3F98">
            <w:fldChar w:fldCharType="end"/>
          </w:r>
        </w:sdtContent>
      </w:sdt>
      <w:r w:rsidR="00FB1026" w:rsidRPr="00FB1026">
        <w:t xml:space="preserve">. This element may help Diageo plc expand by encouraging employee-management collaboration and communication, which can improve decision-making and employee happiness. Both Malta and Luxembourg have low Power Distance scores, showing a propensity for </w:t>
      </w:r>
      <w:r w:rsidR="00FB1026" w:rsidRPr="00FB1026">
        <w:lastRenderedPageBreak/>
        <w:t>equality and decentralized decision-making. Diageo plc's leadership style should be consultative rather than authoritarian, as employees in both nations may expect to participate in decision-making.</w:t>
      </w:r>
    </w:p>
    <w:p w14:paraId="28A9F56E" w14:textId="4CF607C3" w:rsidR="00682DF4" w:rsidRDefault="00682DF4" w:rsidP="00CE339A">
      <w:pPr>
        <w:pStyle w:val="ListParagraph"/>
        <w:numPr>
          <w:ilvl w:val="0"/>
          <w:numId w:val="2"/>
        </w:numPr>
        <w:spacing w:line="360" w:lineRule="auto"/>
        <w:jc w:val="both"/>
      </w:pPr>
      <w:r w:rsidRPr="00CE339A">
        <w:rPr>
          <w:b/>
          <w:bCs/>
        </w:rPr>
        <w:t>Individualism:</w:t>
      </w:r>
      <w:r>
        <w:t xml:space="preserve"> </w:t>
      </w:r>
      <w:r w:rsidR="001071AB" w:rsidRPr="001071AB">
        <w:t xml:space="preserve">Luxembourg values independence and self-expression with a score of 60. Malta scores 59. Both countries' workers may </w:t>
      </w:r>
      <w:proofErr w:type="spellStart"/>
      <w:r w:rsidR="001071AB" w:rsidRPr="001071AB">
        <w:t>favor</w:t>
      </w:r>
      <w:proofErr w:type="spellEnd"/>
      <w:r w:rsidR="001071AB" w:rsidRPr="001071AB">
        <w:t xml:space="preserve"> individual achievement and be more comfortable working alone</w:t>
      </w:r>
      <w:r w:rsidR="007E714E">
        <w:t xml:space="preserve">, </w:t>
      </w:r>
      <w:proofErr w:type="gramStart"/>
      <w:r w:rsidR="007E714E">
        <w:t>where b</w:t>
      </w:r>
      <w:r w:rsidR="001071AB" w:rsidRPr="001071AB">
        <w:t>y</w:t>
      </w:r>
      <w:proofErr w:type="gramEnd"/>
      <w:r w:rsidR="001071AB" w:rsidRPr="001071AB">
        <w:t xml:space="preserve"> giving employees personal growth and development opportunities, Diageo plc can motivate and engage them.</w:t>
      </w:r>
    </w:p>
    <w:p w14:paraId="7D09B597" w14:textId="798E392F" w:rsidR="00682DF4" w:rsidRDefault="002C3F98" w:rsidP="00CE339A">
      <w:pPr>
        <w:pStyle w:val="ListParagraph"/>
        <w:numPr>
          <w:ilvl w:val="0"/>
          <w:numId w:val="2"/>
        </w:numPr>
        <w:spacing w:line="360" w:lineRule="auto"/>
        <w:jc w:val="both"/>
      </w:pPr>
      <w:r>
        <w:rPr>
          <w:b/>
          <w:bCs/>
        </w:rPr>
        <w:t>Motivation towards achievements</w:t>
      </w:r>
      <w:r w:rsidR="00682DF4" w:rsidRPr="00CE339A">
        <w:rPr>
          <w:b/>
          <w:bCs/>
        </w:rPr>
        <w:t>:</w:t>
      </w:r>
      <w:r w:rsidR="00682DF4">
        <w:t xml:space="preserve"> </w:t>
      </w:r>
      <w:r w:rsidR="001071AB" w:rsidRPr="001071AB">
        <w:t xml:space="preserve">Both countries score low on </w:t>
      </w:r>
      <w:r>
        <w:t>this factor which is 50 and 47 for Luxembourg and Malta respectively</w:t>
      </w:r>
      <w:r w:rsidR="001071AB" w:rsidRPr="001071AB">
        <w:t>, showing a preference for cooperation over competitiveness. Teamwork and collaboration to achieve corporate goals may fit Diageo plc's culture.</w:t>
      </w:r>
    </w:p>
    <w:p w14:paraId="23042CC0" w14:textId="288BF3AC" w:rsidR="00682DF4" w:rsidRDefault="00682DF4" w:rsidP="00CE339A">
      <w:pPr>
        <w:pStyle w:val="ListParagraph"/>
        <w:numPr>
          <w:ilvl w:val="0"/>
          <w:numId w:val="2"/>
        </w:numPr>
        <w:spacing w:line="360" w:lineRule="auto"/>
        <w:jc w:val="both"/>
      </w:pPr>
      <w:r w:rsidRPr="00CE339A">
        <w:rPr>
          <w:b/>
          <w:bCs/>
        </w:rPr>
        <w:t>Uncertainty Avoidance:</w:t>
      </w:r>
      <w:r>
        <w:t xml:space="preserve"> </w:t>
      </w:r>
      <w:r w:rsidR="007D250D" w:rsidRPr="007D250D">
        <w:t>Luxembourg Favors structure and predictability with a 70-uncertainty avoidance score. Malta's 96 score indicates a strong aversion to uncertainty and a demand for clear regulations</w:t>
      </w:r>
      <w:r w:rsidR="00E65787">
        <w:t xml:space="preserve">, which </w:t>
      </w:r>
      <w:r w:rsidR="007D250D" w:rsidRPr="007D250D">
        <w:t>may require Diageo plc to adjust its management style and communication techniques to accommodate structure and guidelines in both nations</w:t>
      </w:r>
      <w:r w:rsidR="00E65787">
        <w:t xml:space="preserve"> (Micallef et al., 2020)</w:t>
      </w:r>
      <w:r w:rsidR="007D250D" w:rsidRPr="007D250D">
        <w:t>. Malta prefers stability and avoids uncertainty more than Luxembourg. Organizational decision-making and adaptability may be affected. Clear communication and methods to manage uncertainty and change are essential for Diageo plc.</w:t>
      </w:r>
    </w:p>
    <w:p w14:paraId="0A85653A" w14:textId="2B913D4F" w:rsidR="00682DF4" w:rsidRDefault="00682DF4" w:rsidP="00CE339A">
      <w:pPr>
        <w:pStyle w:val="ListParagraph"/>
        <w:numPr>
          <w:ilvl w:val="0"/>
          <w:numId w:val="2"/>
        </w:numPr>
        <w:spacing w:line="360" w:lineRule="auto"/>
        <w:jc w:val="both"/>
      </w:pPr>
      <w:r w:rsidRPr="00CE339A">
        <w:rPr>
          <w:b/>
          <w:bCs/>
        </w:rPr>
        <w:t>Long-term Orientation:</w:t>
      </w:r>
      <w:r>
        <w:t xml:space="preserve"> </w:t>
      </w:r>
      <w:r w:rsidR="007D250D" w:rsidRPr="007D250D">
        <w:t>Evaluates a society's attitude towards time and cultural values like tenacity, thrift, and shame. Luxembourg scores 64, suggesting a moderate focus on long-term objectives and values</w:t>
      </w:r>
      <w:r w:rsidR="009D62BD">
        <w:t xml:space="preserve">, where </w:t>
      </w:r>
      <w:r w:rsidR="007D250D" w:rsidRPr="007D250D">
        <w:t>Malta's 47 score indicates a tendency for rapid pleasure and a focus on the now</w:t>
      </w:r>
      <w:sdt>
        <w:sdtPr>
          <w:id w:val="-1627926152"/>
          <w:citation/>
        </w:sdtPr>
        <w:sdtEndPr/>
        <w:sdtContent>
          <w:r w:rsidR="009D62BD">
            <w:fldChar w:fldCharType="begin"/>
          </w:r>
          <w:r w:rsidR="009D62BD">
            <w:rPr>
              <w:lang w:val="en-IN"/>
            </w:rPr>
            <w:instrText xml:space="preserve"> CITATION Hof236 \l 16393 </w:instrText>
          </w:r>
          <w:r w:rsidR="009D62BD">
            <w:fldChar w:fldCharType="separate"/>
          </w:r>
          <w:r w:rsidR="009D62BD">
            <w:rPr>
              <w:noProof/>
              <w:lang w:val="en-IN"/>
            </w:rPr>
            <w:t xml:space="preserve"> </w:t>
          </w:r>
          <w:r w:rsidR="009D62BD" w:rsidRPr="009D62BD">
            <w:rPr>
              <w:noProof/>
              <w:lang w:val="en-IN"/>
            </w:rPr>
            <w:t>(Hofstede-insights.com, 2023)</w:t>
          </w:r>
          <w:r w:rsidR="009D62BD">
            <w:fldChar w:fldCharType="end"/>
          </w:r>
        </w:sdtContent>
      </w:sdt>
      <w:r w:rsidR="007D250D" w:rsidRPr="007D250D">
        <w:t>. In Malta, Diageo plc may need to focus more on the short term, while in Luxembourg, it may need to balance short-term and long-term aims.</w:t>
      </w:r>
    </w:p>
    <w:p w14:paraId="1329F6BC" w14:textId="78B8D664" w:rsidR="00F9456F" w:rsidRDefault="00682DF4" w:rsidP="00CE339A">
      <w:pPr>
        <w:pStyle w:val="ListParagraph"/>
        <w:numPr>
          <w:ilvl w:val="0"/>
          <w:numId w:val="2"/>
        </w:numPr>
        <w:spacing w:line="360" w:lineRule="auto"/>
        <w:jc w:val="both"/>
      </w:pPr>
      <w:r w:rsidRPr="00CE339A">
        <w:rPr>
          <w:b/>
          <w:bCs/>
        </w:rPr>
        <w:t>Indulgence:</w:t>
      </w:r>
      <w:r>
        <w:t xml:space="preserve"> </w:t>
      </w:r>
      <w:r w:rsidR="007D250D" w:rsidRPr="007D250D">
        <w:t>Luxembourg scored 56 on the indulgence dimension, reflecting a moderate attitude towards enjoying life and having fun. However, Malta's 66 score indicates a greater indulgence value. Malta employees may be more easy-going about work-life balance and value leisure time</w:t>
      </w:r>
      <w:r w:rsidR="009D62BD">
        <w:t xml:space="preserve"> (Vassallo and Debono, 2020)</w:t>
      </w:r>
      <w:r w:rsidR="007D250D" w:rsidRPr="007D250D">
        <w:t>. In both nations, Diageo plc could consider this when structuring employee benefits and fostering work-life balance.</w:t>
      </w:r>
    </w:p>
    <w:p w14:paraId="20FA3590" w14:textId="048A3BDF" w:rsidR="0079563D" w:rsidRPr="00F9456F" w:rsidRDefault="0079563D" w:rsidP="0079563D">
      <w:pPr>
        <w:pStyle w:val="Heading1"/>
      </w:pPr>
      <w:bookmarkStart w:id="3" w:name="_Toc152145187"/>
      <w:r>
        <w:t>Communication barriers for Diageo plc in Malta and Luxembourg</w:t>
      </w:r>
      <w:bookmarkEnd w:id="3"/>
    </w:p>
    <w:p w14:paraId="55998AA8" w14:textId="400DCE1B" w:rsidR="004F4943" w:rsidRPr="004F4943" w:rsidRDefault="004F4943" w:rsidP="004F4943">
      <w:pPr>
        <w:spacing w:line="360" w:lineRule="auto"/>
        <w:jc w:val="both"/>
        <w:rPr>
          <w:b/>
          <w:bCs/>
        </w:rPr>
      </w:pPr>
      <w:r w:rsidRPr="004F4943">
        <w:rPr>
          <w:b/>
          <w:bCs/>
        </w:rPr>
        <w:t>Communication Barriers in Malta:</w:t>
      </w:r>
    </w:p>
    <w:p w14:paraId="25AA89A8" w14:textId="1B3DCED9" w:rsidR="004F4943" w:rsidRPr="004F4943" w:rsidRDefault="004F4943" w:rsidP="004F4943">
      <w:pPr>
        <w:pStyle w:val="ListParagraph"/>
        <w:numPr>
          <w:ilvl w:val="0"/>
          <w:numId w:val="4"/>
        </w:numPr>
        <w:spacing w:line="360" w:lineRule="auto"/>
        <w:jc w:val="both"/>
        <w:rPr>
          <w:b/>
          <w:bCs/>
        </w:rPr>
      </w:pPr>
      <w:r w:rsidRPr="004F4943">
        <w:rPr>
          <w:b/>
          <w:bCs/>
        </w:rPr>
        <w:lastRenderedPageBreak/>
        <w:t xml:space="preserve">Language Diversity: </w:t>
      </w:r>
      <w:r w:rsidR="00F07ADD" w:rsidRPr="00F07ADD">
        <w:t>Malta holds two official languages: Maltese and English</w:t>
      </w:r>
      <w:r w:rsidR="00883B2C">
        <w:t>, while</w:t>
      </w:r>
      <w:r w:rsidR="00F07ADD" w:rsidRPr="00F07ADD">
        <w:t xml:space="preserve"> English is frequently spoken</w:t>
      </w:r>
      <w:r w:rsidR="00025729">
        <w:t xml:space="preserve"> through which </w:t>
      </w:r>
      <w:r w:rsidR="00F07ADD" w:rsidRPr="00F07ADD">
        <w:t>Diageo plc may encounter linguistic hurdles when dealing with employees and customers</w:t>
      </w:r>
      <w:r w:rsidR="00F07ADD">
        <w:t xml:space="preserve">, which </w:t>
      </w:r>
      <w:r w:rsidR="00F07ADD" w:rsidRPr="00F07ADD">
        <w:t>may impact national marketing and internal communication</w:t>
      </w:r>
      <w:r w:rsidR="00025729">
        <w:t xml:space="preserve"> (Vassallo and Sciriha, 2021)</w:t>
      </w:r>
      <w:r w:rsidR="00F07ADD" w:rsidRPr="00F07ADD">
        <w:t>.</w:t>
      </w:r>
    </w:p>
    <w:p w14:paraId="6E96A3C4" w14:textId="5837BECD" w:rsidR="004F4943" w:rsidRDefault="004F4943" w:rsidP="004F4943">
      <w:pPr>
        <w:pStyle w:val="ListParagraph"/>
        <w:numPr>
          <w:ilvl w:val="0"/>
          <w:numId w:val="4"/>
        </w:numPr>
        <w:spacing w:line="360" w:lineRule="auto"/>
        <w:jc w:val="both"/>
      </w:pPr>
      <w:r w:rsidRPr="004F4943">
        <w:rPr>
          <w:b/>
          <w:bCs/>
        </w:rPr>
        <w:t>Cultural Differences:</w:t>
      </w:r>
      <w:r>
        <w:t xml:space="preserve"> </w:t>
      </w:r>
      <w:r w:rsidR="00F07ADD" w:rsidRPr="00F07ADD">
        <w:t xml:space="preserve">Malta's culture is traditional and conservative, influenced by its Catholic heritage. Traditional Catholic values in Malta may </w:t>
      </w:r>
      <w:r w:rsidR="00B636C6" w:rsidRPr="00F07ADD">
        <w:t>affect</w:t>
      </w:r>
      <w:r w:rsidR="00F07ADD" w:rsidRPr="00F07ADD">
        <w:t xml:space="preserve"> the company's communication approach. Politically provocative or religiously insensitive marketing initiatives may damage the company's reputation</w:t>
      </w:r>
      <w:r w:rsidR="006767F0">
        <w:t xml:space="preserve"> (</w:t>
      </w:r>
      <w:proofErr w:type="spellStart"/>
      <w:r w:rsidR="006767F0">
        <w:t>Boissevain</w:t>
      </w:r>
      <w:proofErr w:type="spellEnd"/>
      <w:r w:rsidR="006767F0">
        <w:t>, 2021)</w:t>
      </w:r>
      <w:r w:rsidR="00F07ADD" w:rsidRPr="00F07ADD">
        <w:t>. A multinational corporation like Diageo plc may find it time-consuming to prioritize face-to-face communication and personal interactions</w:t>
      </w:r>
      <w:r w:rsidR="00692B7C">
        <w:t xml:space="preserve">, which </w:t>
      </w:r>
      <w:r w:rsidR="00F07ADD" w:rsidRPr="00F07ADD">
        <w:t>may conflict with local cultural and religious values, making it difficult for Diageo plc to promote alcohol. The diverse population in Malta may have distinct cultural backgrounds and communication styles, which could impair organization-wide communication.</w:t>
      </w:r>
    </w:p>
    <w:p w14:paraId="62DFC888" w14:textId="3C642CD2" w:rsidR="004F4943" w:rsidRDefault="004F4943" w:rsidP="004F4943">
      <w:pPr>
        <w:pStyle w:val="ListParagraph"/>
        <w:numPr>
          <w:ilvl w:val="0"/>
          <w:numId w:val="4"/>
        </w:numPr>
        <w:spacing w:line="360" w:lineRule="auto"/>
        <w:jc w:val="both"/>
      </w:pPr>
      <w:r w:rsidRPr="004F4943">
        <w:rPr>
          <w:b/>
          <w:bCs/>
        </w:rPr>
        <w:t>Resistance to Change:</w:t>
      </w:r>
      <w:r>
        <w:t xml:space="preserve"> </w:t>
      </w:r>
      <w:r w:rsidR="00F07ADD" w:rsidRPr="00F07ADD">
        <w:t>Maltese culture prioritizes tradition and stability, which may cause resistance to change. If staff or customers reject new processes or initiatives, Diageo plc may have trouble communicating. Ineffective communication due to the language barrier may also contribute to this resistance.</w:t>
      </w:r>
    </w:p>
    <w:p w14:paraId="39F5C871" w14:textId="4168BDBA" w:rsidR="004F4943" w:rsidRDefault="004F4943" w:rsidP="004F4943">
      <w:pPr>
        <w:pStyle w:val="ListParagraph"/>
        <w:numPr>
          <w:ilvl w:val="0"/>
          <w:numId w:val="4"/>
        </w:numPr>
        <w:spacing w:line="360" w:lineRule="auto"/>
        <w:jc w:val="both"/>
      </w:pPr>
      <w:r w:rsidRPr="004F4943">
        <w:rPr>
          <w:b/>
          <w:bCs/>
        </w:rPr>
        <w:t>Different Communication Styles:</w:t>
      </w:r>
      <w:r>
        <w:t xml:space="preserve"> </w:t>
      </w:r>
      <w:r w:rsidR="00F07ADD" w:rsidRPr="00F07ADD">
        <w:t>Maltese communication methods are more indirect and reserved, which may differ from Diageo plc's international employees' communication styles</w:t>
      </w:r>
      <w:r w:rsidR="00A139BF">
        <w:t xml:space="preserve"> (Zammit, 2019)</w:t>
      </w:r>
      <w:r w:rsidR="00F07ADD" w:rsidRPr="00F07ADD">
        <w:t>. This could cause miscommunication and hinder organization-wide communication.</w:t>
      </w:r>
    </w:p>
    <w:p w14:paraId="0E195A9A" w14:textId="3C54B3E7" w:rsidR="004F4943" w:rsidRPr="004F4943" w:rsidRDefault="004F4943" w:rsidP="004F4943">
      <w:pPr>
        <w:spacing w:line="360" w:lineRule="auto"/>
        <w:jc w:val="both"/>
        <w:rPr>
          <w:b/>
          <w:bCs/>
        </w:rPr>
      </w:pPr>
      <w:r w:rsidRPr="004F4943">
        <w:rPr>
          <w:b/>
          <w:bCs/>
        </w:rPr>
        <w:t>Communication Barriers in Luxembourg:</w:t>
      </w:r>
    </w:p>
    <w:p w14:paraId="72E781B1" w14:textId="10A04A43" w:rsidR="004F4943" w:rsidRDefault="004F4943" w:rsidP="004F4943">
      <w:pPr>
        <w:pStyle w:val="ListParagraph"/>
        <w:numPr>
          <w:ilvl w:val="0"/>
          <w:numId w:val="6"/>
        </w:numPr>
        <w:spacing w:line="360" w:lineRule="auto"/>
        <w:jc w:val="both"/>
      </w:pPr>
      <w:r w:rsidRPr="00FE7CF1">
        <w:rPr>
          <w:b/>
          <w:bCs/>
        </w:rPr>
        <w:t>Language Diversity:</w:t>
      </w:r>
      <w:r>
        <w:t xml:space="preserve"> As mentioned earlier, </w:t>
      </w:r>
      <w:proofErr w:type="gramStart"/>
      <w:r w:rsidR="00F07ADD" w:rsidRPr="00F07ADD">
        <w:t>The</w:t>
      </w:r>
      <w:proofErr w:type="gramEnd"/>
      <w:r w:rsidR="00F07ADD" w:rsidRPr="00F07ADD">
        <w:t xml:space="preserve"> official languages of Luxembourg are Luxembourgish, French, and German</w:t>
      </w:r>
      <w:r w:rsidR="005A7C76">
        <w:t xml:space="preserve">, which </w:t>
      </w:r>
      <w:r w:rsidR="00F07ADD" w:rsidRPr="00F07ADD">
        <w:t>could make interacting with staff and customers who do not speak all three languages difficult for Diageo plc</w:t>
      </w:r>
      <w:r w:rsidR="003F164D">
        <w:t xml:space="preserve"> (Schinzel, 2017)</w:t>
      </w:r>
      <w:r w:rsidR="00F07ADD" w:rsidRPr="00F07ADD">
        <w:t>. This could cause miscommunication and misunderstandings, impacting organizational communication.</w:t>
      </w:r>
    </w:p>
    <w:p w14:paraId="7EBF3E18" w14:textId="4F3A71BC" w:rsidR="004A54FC" w:rsidRDefault="004A54FC" w:rsidP="004F4943">
      <w:pPr>
        <w:pStyle w:val="ListParagraph"/>
        <w:numPr>
          <w:ilvl w:val="0"/>
          <w:numId w:val="6"/>
        </w:numPr>
        <w:spacing w:line="360" w:lineRule="auto"/>
        <w:jc w:val="both"/>
      </w:pPr>
      <w:r>
        <w:rPr>
          <w:b/>
          <w:bCs/>
        </w:rPr>
        <w:t>Cultural:</w:t>
      </w:r>
      <w:r>
        <w:t xml:space="preserve"> </w:t>
      </w:r>
      <w:r w:rsidR="00F07ADD" w:rsidRPr="00F07ADD">
        <w:t>Luxembourg is more diverse and receptive to many cultures and lifestyles. This could help the company sell to varied consumers. This could make internal communication and addressing cultural differences in the workplace difficult.</w:t>
      </w:r>
    </w:p>
    <w:p w14:paraId="33BAE7B8" w14:textId="5E8D470B" w:rsidR="004F4943" w:rsidRDefault="004F4943" w:rsidP="004F4943">
      <w:pPr>
        <w:pStyle w:val="ListParagraph"/>
        <w:numPr>
          <w:ilvl w:val="0"/>
          <w:numId w:val="6"/>
        </w:numPr>
        <w:spacing w:line="360" w:lineRule="auto"/>
        <w:jc w:val="both"/>
      </w:pPr>
      <w:r w:rsidRPr="00FE7CF1">
        <w:rPr>
          <w:b/>
          <w:bCs/>
        </w:rPr>
        <w:t>Diversity:</w:t>
      </w:r>
      <w:r>
        <w:t xml:space="preserve"> </w:t>
      </w:r>
      <w:r w:rsidR="00382AFF" w:rsidRPr="00382AFF">
        <w:t xml:space="preserve">Due to the large immigrant </w:t>
      </w:r>
      <w:r w:rsidR="007654C2">
        <w:t>(approximately 313,000 in 2023)</w:t>
      </w:r>
      <w:r w:rsidR="006E6876">
        <w:t xml:space="preserve"> </w:t>
      </w:r>
      <w:r w:rsidR="00382AFF" w:rsidRPr="00382AFF">
        <w:t>and expat population, Luxembourg has a workforce that reflects diversity</w:t>
      </w:r>
      <w:sdt>
        <w:sdtPr>
          <w:id w:val="1795012402"/>
          <w:citation/>
        </w:sdtPr>
        <w:sdtEndPr/>
        <w:sdtContent>
          <w:r w:rsidR="007654C2">
            <w:fldChar w:fldCharType="begin"/>
          </w:r>
          <w:r w:rsidR="007654C2">
            <w:rPr>
              <w:lang w:val="en-IN"/>
            </w:rPr>
            <w:instrText xml:space="preserve">CITATION Num23 \l 16393 </w:instrText>
          </w:r>
          <w:r w:rsidR="007654C2">
            <w:fldChar w:fldCharType="separate"/>
          </w:r>
          <w:r w:rsidR="007654C2">
            <w:rPr>
              <w:noProof/>
              <w:lang w:val="en-IN"/>
            </w:rPr>
            <w:t xml:space="preserve"> </w:t>
          </w:r>
          <w:r w:rsidR="007654C2" w:rsidRPr="007654C2">
            <w:rPr>
              <w:noProof/>
              <w:lang w:val="en-IN"/>
            </w:rPr>
            <w:t>(Statista.com, 2023)</w:t>
          </w:r>
          <w:r w:rsidR="007654C2">
            <w:fldChar w:fldCharType="end"/>
          </w:r>
        </w:sdtContent>
      </w:sdt>
      <w:r w:rsidR="00382AFF" w:rsidRPr="00382AFF">
        <w:t xml:space="preserve">. As a result, there may be difficulties in communicating between departments due to </w:t>
      </w:r>
      <w:r w:rsidR="00382AFF" w:rsidRPr="00382AFF">
        <w:lastRenderedPageBreak/>
        <w:t xml:space="preserve">language and cultural obstacles. Additionally, Diageo plc may need to </w:t>
      </w:r>
      <w:r w:rsidR="001804D0" w:rsidRPr="00382AFF">
        <w:t>consider</w:t>
      </w:r>
      <w:r w:rsidR="00382AFF" w:rsidRPr="00382AFF">
        <w:t xml:space="preserve"> various communication preferences and styles </w:t>
      </w:r>
      <w:proofErr w:type="gramStart"/>
      <w:r w:rsidR="00382AFF" w:rsidRPr="00382AFF">
        <w:t>as a result of</w:t>
      </w:r>
      <w:proofErr w:type="gramEnd"/>
      <w:r w:rsidR="00382AFF" w:rsidRPr="00382AFF">
        <w:t xml:space="preserve"> this diversity in order to communicate effectively with its personnel.</w:t>
      </w:r>
    </w:p>
    <w:p w14:paraId="08CCA780" w14:textId="1BF1518A" w:rsidR="004F4943" w:rsidRDefault="004F4943" w:rsidP="004F4943">
      <w:pPr>
        <w:pStyle w:val="ListParagraph"/>
        <w:numPr>
          <w:ilvl w:val="0"/>
          <w:numId w:val="6"/>
        </w:numPr>
        <w:spacing w:line="360" w:lineRule="auto"/>
        <w:jc w:val="both"/>
      </w:pPr>
      <w:r w:rsidRPr="00FE7CF1">
        <w:rPr>
          <w:b/>
          <w:bCs/>
        </w:rPr>
        <w:t>High Context Communication:</w:t>
      </w:r>
      <w:r>
        <w:t xml:space="preserve"> </w:t>
      </w:r>
      <w:r w:rsidR="00382AFF" w:rsidRPr="00382AFF">
        <w:t>Luxembourg communicates with high context, using non-verbal clues and implicit messages. Diageo plc may struggle if its staff prefer low-context communication. This may cause miscommunication between personnel and customers.</w:t>
      </w:r>
    </w:p>
    <w:p w14:paraId="43584D55" w14:textId="0851EAB1" w:rsidR="00052AB1" w:rsidRDefault="004F4943" w:rsidP="004F4943">
      <w:pPr>
        <w:pStyle w:val="ListParagraph"/>
        <w:numPr>
          <w:ilvl w:val="0"/>
          <w:numId w:val="6"/>
        </w:numPr>
        <w:spacing w:line="360" w:lineRule="auto"/>
        <w:jc w:val="both"/>
      </w:pPr>
      <w:r w:rsidRPr="00FE7CF1">
        <w:rPr>
          <w:b/>
          <w:bCs/>
        </w:rPr>
        <w:t>Time Orientation:</w:t>
      </w:r>
      <w:r>
        <w:t xml:space="preserve"> </w:t>
      </w:r>
      <w:r w:rsidR="00382AFF" w:rsidRPr="00382AFF">
        <w:t>Luxembourg approaches long-term goals and values moderately</w:t>
      </w:r>
      <w:r w:rsidR="002B3AEA">
        <w:t xml:space="preserve">, which </w:t>
      </w:r>
      <w:r w:rsidR="00382AFF" w:rsidRPr="00382AFF">
        <w:t>could hinder Diageo plc's communication as it balances short-term and long-term ambitions to match the country's culture</w:t>
      </w:r>
      <w:r w:rsidR="0088199D">
        <w:t xml:space="preserve"> (</w:t>
      </w:r>
      <w:proofErr w:type="spellStart"/>
      <w:r w:rsidR="0088199D">
        <w:t>Danescu</w:t>
      </w:r>
      <w:proofErr w:type="spellEnd"/>
      <w:r w:rsidR="0088199D">
        <w:t xml:space="preserve"> et al., 2022)</w:t>
      </w:r>
      <w:r w:rsidR="00382AFF" w:rsidRPr="00382AFF">
        <w:t>. Miscommunication between employees and management could affect organization-wide communication.</w:t>
      </w:r>
    </w:p>
    <w:p w14:paraId="7BE8A13A" w14:textId="099F9E53" w:rsidR="00953870" w:rsidRDefault="00953870" w:rsidP="00953870">
      <w:pPr>
        <w:spacing w:line="360" w:lineRule="auto"/>
        <w:jc w:val="both"/>
      </w:pPr>
      <w:r>
        <w:t xml:space="preserve">Apart from this, the difference between both countries has been also identified with </w:t>
      </w:r>
      <w:r w:rsidR="006661DD">
        <w:t>Hofsted analysis result which has been as follows-</w:t>
      </w:r>
    </w:p>
    <w:p w14:paraId="558EE835" w14:textId="77777777" w:rsidR="006661DD" w:rsidRPr="006661DD" w:rsidRDefault="006661DD" w:rsidP="006661DD">
      <w:pPr>
        <w:spacing w:line="360" w:lineRule="auto"/>
        <w:jc w:val="both"/>
        <w:rPr>
          <w:b/>
          <w:bCs/>
        </w:rPr>
      </w:pPr>
      <w:r w:rsidRPr="006661DD">
        <w:rPr>
          <w:b/>
          <w:bCs/>
        </w:rPr>
        <w:t>Power Distance:</w:t>
      </w:r>
    </w:p>
    <w:p w14:paraId="397C3F27" w14:textId="268D028C" w:rsidR="006661DD" w:rsidRDefault="00382AFF" w:rsidP="006661DD">
      <w:pPr>
        <w:spacing w:line="360" w:lineRule="auto"/>
        <w:jc w:val="both"/>
      </w:pPr>
      <w:r w:rsidRPr="00382AFF">
        <w:t>Low power distance scores in Malta and Luxembourg suggest a desire for egalitarianism and decentralized decision-making</w:t>
      </w:r>
      <w:r w:rsidR="003E7214">
        <w:t xml:space="preserve">, which </w:t>
      </w:r>
      <w:r w:rsidRPr="00382AFF">
        <w:t>shows that workers in both countries may expect to participate in company decisions. Diageo plc may need to adopt a more collaborative leadership style and better communication mechanisms to elicit employee feedback.</w:t>
      </w:r>
    </w:p>
    <w:p w14:paraId="6E8F8951" w14:textId="77777777" w:rsidR="006661DD" w:rsidRPr="006661DD" w:rsidRDefault="006661DD" w:rsidP="006661DD">
      <w:pPr>
        <w:spacing w:line="360" w:lineRule="auto"/>
        <w:jc w:val="both"/>
        <w:rPr>
          <w:b/>
          <w:bCs/>
        </w:rPr>
      </w:pPr>
      <w:r w:rsidRPr="006661DD">
        <w:rPr>
          <w:b/>
          <w:bCs/>
        </w:rPr>
        <w:t>Individualism:</w:t>
      </w:r>
    </w:p>
    <w:p w14:paraId="375D4F67" w14:textId="6808C20D" w:rsidR="00382AFF" w:rsidRDefault="00382AFF" w:rsidP="006661DD">
      <w:pPr>
        <w:spacing w:line="360" w:lineRule="auto"/>
        <w:jc w:val="both"/>
      </w:pPr>
      <w:r w:rsidRPr="00382AFF">
        <w:t xml:space="preserve">Both countries prioritize personal accomplishment and independence, with high scores on this criterion. Employees who enjoy working alone may hinder organizational communication. Individualism may also </w:t>
      </w:r>
      <w:proofErr w:type="spellStart"/>
      <w:r w:rsidRPr="00382AFF">
        <w:t>favor</w:t>
      </w:r>
      <w:proofErr w:type="spellEnd"/>
      <w:r w:rsidRPr="00382AFF">
        <w:t xml:space="preserve"> direct, assertive communication, which some employees may find difficult to adjust to</w:t>
      </w:r>
      <w:r w:rsidR="002F2892">
        <w:t xml:space="preserve"> (Khan and Cox, 2017)</w:t>
      </w:r>
      <w:r w:rsidRPr="00382AFF">
        <w:t>.</w:t>
      </w:r>
    </w:p>
    <w:p w14:paraId="5B5A3ADB" w14:textId="4055D1C5" w:rsidR="006661DD" w:rsidRPr="006661DD" w:rsidRDefault="006661DD" w:rsidP="006661DD">
      <w:pPr>
        <w:spacing w:line="360" w:lineRule="auto"/>
        <w:jc w:val="both"/>
        <w:rPr>
          <w:b/>
          <w:bCs/>
        </w:rPr>
      </w:pPr>
      <w:r w:rsidRPr="006661DD">
        <w:rPr>
          <w:b/>
          <w:bCs/>
        </w:rPr>
        <w:t>Uncertainty Avoidance:</w:t>
      </w:r>
    </w:p>
    <w:p w14:paraId="60F22A61" w14:textId="4412310D" w:rsidR="006661DD" w:rsidRDefault="00382AFF" w:rsidP="006661DD">
      <w:pPr>
        <w:spacing w:line="360" w:lineRule="auto"/>
        <w:jc w:val="both"/>
      </w:pPr>
      <w:r w:rsidRPr="00382AFF">
        <w:t>Luxembourg and Malta have distinct results on uncertainty avoidance, with Malta scoring much higher. Diageo plc may have trouble making decisions and adapting to change. Employees in Malta may anticipate clear norms, which could hinder communication if the company's policies and procedures are not disclosed</w:t>
      </w:r>
      <w:r w:rsidR="000A5E39">
        <w:t xml:space="preserve"> (Formosa, 2</w:t>
      </w:r>
      <w:r w:rsidR="00CD7E43">
        <w:t>017</w:t>
      </w:r>
      <w:r w:rsidR="000A5E39">
        <w:t>)</w:t>
      </w:r>
      <w:r w:rsidRPr="00382AFF">
        <w:t xml:space="preserve">. The Luxembourg score for uncertainty avoidance is lower, reflecting a moderate inclination for structure and </w:t>
      </w:r>
      <w:r w:rsidRPr="00382AFF">
        <w:lastRenderedPageBreak/>
        <w:t>predictability. To overcome cultural communication challenges, the organization may need to prioritize good communication and change management techniques.</w:t>
      </w:r>
    </w:p>
    <w:p w14:paraId="41780656" w14:textId="24ABD0C0" w:rsidR="006661DD" w:rsidRPr="006661DD" w:rsidRDefault="006661DD" w:rsidP="006661DD">
      <w:pPr>
        <w:spacing w:line="360" w:lineRule="auto"/>
        <w:jc w:val="both"/>
        <w:rPr>
          <w:b/>
          <w:bCs/>
        </w:rPr>
      </w:pPr>
      <w:r w:rsidRPr="006661DD">
        <w:rPr>
          <w:b/>
          <w:bCs/>
        </w:rPr>
        <w:t>Long-term Orientation:</w:t>
      </w:r>
    </w:p>
    <w:p w14:paraId="41116E19" w14:textId="22C7DB36" w:rsidR="006661DD" w:rsidRDefault="006D0FD2" w:rsidP="006661DD">
      <w:pPr>
        <w:spacing w:line="360" w:lineRule="auto"/>
        <w:jc w:val="both"/>
      </w:pPr>
      <w:r w:rsidRPr="006D0FD2">
        <w:t>Luxembourg and Malta have high scores on the long-term orientation factor, indicating a preference for perseverance and thrift. This may hinder Diageo plc's communication because personnel in these nations may be more long-term and less open to fresh ideas. The organization may need to properly express its long-term goals and vision to align employees' beliefs and expectations.</w:t>
      </w:r>
    </w:p>
    <w:p w14:paraId="54B9857B" w14:textId="77777777" w:rsidR="006661DD" w:rsidRPr="006661DD" w:rsidRDefault="006661DD" w:rsidP="006661DD">
      <w:pPr>
        <w:spacing w:line="360" w:lineRule="auto"/>
        <w:jc w:val="both"/>
        <w:rPr>
          <w:b/>
          <w:bCs/>
        </w:rPr>
      </w:pPr>
      <w:r w:rsidRPr="006661DD">
        <w:rPr>
          <w:b/>
          <w:bCs/>
        </w:rPr>
        <w:t>Indulgence:</w:t>
      </w:r>
    </w:p>
    <w:p w14:paraId="78EFDA72" w14:textId="5B144E42" w:rsidR="006661DD" w:rsidRDefault="006D0FD2" w:rsidP="006661DD">
      <w:pPr>
        <w:spacing w:line="360" w:lineRule="auto"/>
        <w:jc w:val="both"/>
      </w:pPr>
      <w:r w:rsidRPr="006D0FD2">
        <w:t>High scores on the indulgence dimension indicate a carefree attitude towards enjoying life and having fun in both countries</w:t>
      </w:r>
      <w:r w:rsidR="00920844">
        <w:t xml:space="preserve">, which </w:t>
      </w:r>
      <w:r w:rsidRPr="006D0FD2">
        <w:t>may disrupt company communication since employees seek a work-life balance and more free time</w:t>
      </w:r>
      <w:r w:rsidR="00920844">
        <w:t xml:space="preserve"> (</w:t>
      </w:r>
      <w:proofErr w:type="spellStart"/>
      <w:r w:rsidR="00920844">
        <w:t>Basanez</w:t>
      </w:r>
      <w:proofErr w:type="spellEnd"/>
      <w:r w:rsidR="00920844">
        <w:t>, 2016)</w:t>
      </w:r>
      <w:r w:rsidRPr="006D0FD2">
        <w:t>. To improve communication and retain employees, Diageo plc may need to establish flexible work arrangements and promote a pleasant work culture.</w:t>
      </w:r>
    </w:p>
    <w:p w14:paraId="6F3F4428" w14:textId="180D907B" w:rsidR="0079563D" w:rsidRPr="004F4943" w:rsidRDefault="0079563D" w:rsidP="0079563D">
      <w:pPr>
        <w:pStyle w:val="Heading1"/>
      </w:pPr>
      <w:bookmarkStart w:id="4" w:name="_Toc152145188"/>
      <w:r>
        <w:t xml:space="preserve">Recommendation for Diageo plc for </w:t>
      </w:r>
      <w:proofErr w:type="gramStart"/>
      <w:r>
        <w:t>Best</w:t>
      </w:r>
      <w:proofErr w:type="gramEnd"/>
      <w:r>
        <w:t xml:space="preserve"> country</w:t>
      </w:r>
      <w:bookmarkEnd w:id="4"/>
    </w:p>
    <w:p w14:paraId="31325D3B" w14:textId="54EB5379" w:rsidR="00AD1843" w:rsidRDefault="00AD1843" w:rsidP="00AD1843">
      <w:pPr>
        <w:spacing w:line="360" w:lineRule="auto"/>
        <w:jc w:val="both"/>
      </w:pPr>
      <w:r>
        <w:t xml:space="preserve">Based on the above analysis, </w:t>
      </w:r>
      <w:r w:rsidR="000E4F66" w:rsidRPr="000E4F66">
        <w:t>Diageo plc should develop in Luxembourg. Both Malta and Luxembourg have stable governmental regimes and favourable corporate environments, yet cultural differences could affect the company's success.</w:t>
      </w:r>
      <w:r w:rsidR="00566141">
        <w:t xml:space="preserve"> </w:t>
      </w:r>
      <w:r w:rsidR="000E4F66" w:rsidRPr="000E4F66">
        <w:t>Luxembourg's diversified and cosmopolitan culture will allow Diageo plc to attract a broader talent pool and broaden its target market. Given Malta's significant Catholic influence, its traditional and conservative culture may make marketing and advertising alcoholic beverages difficult</w:t>
      </w:r>
      <w:r w:rsidR="005B7545">
        <w:t xml:space="preserve"> (Melo, 2021)</w:t>
      </w:r>
      <w:r w:rsidR="000E4F66" w:rsidRPr="000E4F66">
        <w:t>.</w:t>
      </w:r>
    </w:p>
    <w:p w14:paraId="35D3D683" w14:textId="4C27D190" w:rsidR="00AD1843" w:rsidRDefault="000E4F66" w:rsidP="00AD1843">
      <w:pPr>
        <w:spacing w:line="360" w:lineRule="auto"/>
        <w:jc w:val="both"/>
      </w:pPr>
      <w:r w:rsidRPr="000E4F66">
        <w:t>Luxembourg prefers individual success and self-expression, as shown by its greater individualism score</w:t>
      </w:r>
      <w:r w:rsidR="005B7545">
        <w:t xml:space="preserve">, which </w:t>
      </w:r>
      <w:r w:rsidRPr="000E4F66">
        <w:t>fits Diageo plc's philosophy of individual participation and progress. Malta, however, has a similar score, demonstrating that employees in both nations value liberty and uniqueness.</w:t>
      </w:r>
      <w:r w:rsidR="00566141">
        <w:t xml:space="preserve"> </w:t>
      </w:r>
      <w:r w:rsidR="00AD1843">
        <w:t xml:space="preserve">In terms of communication challenges, </w:t>
      </w:r>
      <w:r w:rsidR="00566141" w:rsidRPr="00566141">
        <w:t>Language may be an issue in both countries since their official languages are not English. Given that both countries speak English well, Diageo plc might use this to interact with staff and customers. Employees could also receive language training to improve communication.</w:t>
      </w:r>
    </w:p>
    <w:p w14:paraId="596EE767" w14:textId="7DD4461B" w:rsidR="00566141" w:rsidRDefault="00566141" w:rsidP="00566141">
      <w:pPr>
        <w:spacing w:line="360" w:lineRule="auto"/>
        <w:jc w:val="both"/>
      </w:pPr>
      <w:r w:rsidRPr="00566141">
        <w:t>A multicultural workforce is another way to improve Luxembourg's communication issues</w:t>
      </w:r>
      <w:r w:rsidR="00676E14">
        <w:t xml:space="preserve">, which </w:t>
      </w:r>
      <w:r w:rsidRPr="00566141">
        <w:t>will break linguistic barriers and foster a more inclusive and diverse work culture, which will help the organization succeed.</w:t>
      </w:r>
      <w:r w:rsidR="00FF4CA2">
        <w:t xml:space="preserve"> </w:t>
      </w:r>
      <w:r>
        <w:t xml:space="preserve">Diversity and inclusion could help Diageo plc create a </w:t>
      </w:r>
      <w:r>
        <w:lastRenderedPageBreak/>
        <w:t>positive workplace for everyone. Diversity training, a diversity and inclusion committee, and policies that guarantee equal chances for all employees regardless of background or culture are examples</w:t>
      </w:r>
      <w:r w:rsidR="008E786F">
        <w:t xml:space="preserve"> (Stewart and Valian, 2018)</w:t>
      </w:r>
      <w:r>
        <w:t>.</w:t>
      </w:r>
    </w:p>
    <w:p w14:paraId="2EF5F112" w14:textId="11D102F8" w:rsidR="00247A48" w:rsidRDefault="00566141" w:rsidP="00566141">
      <w:pPr>
        <w:spacing w:line="360" w:lineRule="auto"/>
        <w:jc w:val="both"/>
      </w:pPr>
      <w:r>
        <w:t>The corporation might also use Luxembourg's low power distance to decentralize decision-making. This will promote collaboration and openness in the workplace and give employees a vote in decision-making, which can boost job satisfaction and engagement. Given the high scores in the uncertainty avoidance dimension in both countries, Diageo plc should prioritize clear communication and establish systems and processes to manage uncertainty and change, such as regular employee updates, transparent decision-making, and training programs to help employees adapt to change</w:t>
      </w:r>
      <w:r w:rsidR="0004478A">
        <w:t xml:space="preserve"> (Cameron and Green, 2019)</w:t>
      </w:r>
      <w:r>
        <w:t>.</w:t>
      </w:r>
    </w:p>
    <w:p w14:paraId="4E16D1E0" w14:textId="1D3F2121" w:rsidR="006E5326" w:rsidRDefault="006E5326" w:rsidP="00AD1843">
      <w:pPr>
        <w:spacing w:line="360" w:lineRule="auto"/>
        <w:jc w:val="both"/>
      </w:pPr>
      <w:r>
        <w:t>Apart from this the primary recommendations are as follows-</w:t>
      </w:r>
    </w:p>
    <w:p w14:paraId="06587B4F" w14:textId="485EA11E" w:rsidR="006E5326" w:rsidRDefault="006E5326" w:rsidP="006E0962">
      <w:pPr>
        <w:pStyle w:val="ListParagraph"/>
        <w:numPr>
          <w:ilvl w:val="0"/>
          <w:numId w:val="8"/>
        </w:numPr>
        <w:spacing w:line="360" w:lineRule="auto"/>
        <w:jc w:val="both"/>
      </w:pPr>
      <w:r w:rsidRPr="006E0962">
        <w:rPr>
          <w:b/>
          <w:bCs/>
        </w:rPr>
        <w:t>Embrace Diversity:</w:t>
      </w:r>
      <w:r>
        <w:t xml:space="preserve"> As mentioned above, </w:t>
      </w:r>
      <w:r w:rsidR="00566141" w:rsidRPr="00566141">
        <w:t xml:space="preserve">Luxembourg's workforce is diverse in culture, ethnicity, and language. This variety may make communication difficult. Diageo plc may improve its situation by embracing diversity and fostering an inclusive culture. Through open communication, </w:t>
      </w:r>
      <w:proofErr w:type="gramStart"/>
      <w:r w:rsidR="00566141" w:rsidRPr="00566141">
        <w:t>team-building</w:t>
      </w:r>
      <w:proofErr w:type="gramEnd"/>
      <w:r w:rsidR="00566141" w:rsidRPr="00566141">
        <w:t>, and diversity training, employees can feel like they belong</w:t>
      </w:r>
      <w:r w:rsidR="00ED396A">
        <w:t xml:space="preserve"> (Davis et al., 2022)</w:t>
      </w:r>
      <w:r w:rsidR="00566141" w:rsidRPr="00566141">
        <w:t>. With its broad staff, Diageo plc may also create specialized marketing tactics and goods for certain market segments.</w:t>
      </w:r>
    </w:p>
    <w:p w14:paraId="2CB28EA6" w14:textId="0E4B43A8" w:rsidR="006E5326" w:rsidRDefault="006E5326" w:rsidP="006E0962">
      <w:pPr>
        <w:pStyle w:val="ListParagraph"/>
        <w:numPr>
          <w:ilvl w:val="0"/>
          <w:numId w:val="8"/>
        </w:numPr>
        <w:spacing w:line="360" w:lineRule="auto"/>
        <w:jc w:val="both"/>
      </w:pPr>
      <w:r w:rsidRPr="006E0962">
        <w:rPr>
          <w:b/>
          <w:bCs/>
        </w:rPr>
        <w:t>Implement Flexible Communication Channels:</w:t>
      </w:r>
      <w:r>
        <w:t xml:space="preserve"> In a diverse workplace, </w:t>
      </w:r>
      <w:r w:rsidR="00566141" w:rsidRPr="00566141">
        <w:t>Employees need flexible communication channels to meet their needs. To improve staff communication, Diageo plc could use email, online messaging, video conferencing, and internal communication systems. This will help to overcome language hurdles and let staff communicate how they choose.</w:t>
      </w:r>
    </w:p>
    <w:p w14:paraId="2204A246" w14:textId="777DB9AC" w:rsidR="006E5326" w:rsidRDefault="006E5326" w:rsidP="006E0962">
      <w:pPr>
        <w:pStyle w:val="ListParagraph"/>
        <w:numPr>
          <w:ilvl w:val="0"/>
          <w:numId w:val="8"/>
        </w:numPr>
        <w:spacing w:line="360" w:lineRule="auto"/>
        <w:jc w:val="both"/>
      </w:pPr>
      <w:r w:rsidRPr="006E0962">
        <w:rPr>
          <w:b/>
          <w:bCs/>
        </w:rPr>
        <w:t>Conduct Language Training Programs:</w:t>
      </w:r>
      <w:r>
        <w:t xml:space="preserve"> </w:t>
      </w:r>
      <w:r w:rsidR="00566141" w:rsidRPr="00566141">
        <w:t>Luxembourg speaks and understands English, but non-native speakers may find communication difficult. Language training programs can help Diageo plc employees learn English or other working languages</w:t>
      </w:r>
      <w:r w:rsidR="00530B13">
        <w:t xml:space="preserve">, which </w:t>
      </w:r>
      <w:r w:rsidR="00566141" w:rsidRPr="00566141">
        <w:t>improves communication and fosters organizational inclusiveness and respect for other cultures and languages</w:t>
      </w:r>
      <w:r w:rsidR="00314D4C">
        <w:t xml:space="preserve"> (Chui, Manyika and </w:t>
      </w:r>
      <w:proofErr w:type="spellStart"/>
      <w:r w:rsidR="00314D4C">
        <w:t>Miremadi</w:t>
      </w:r>
      <w:proofErr w:type="spellEnd"/>
      <w:r w:rsidR="00314D4C">
        <w:t>, 2015)</w:t>
      </w:r>
      <w:r w:rsidR="00566141" w:rsidRPr="00566141">
        <w:t>.</w:t>
      </w:r>
    </w:p>
    <w:p w14:paraId="131C9CCC" w14:textId="05B045AD" w:rsidR="006E5326" w:rsidRDefault="006E5326" w:rsidP="006E0962">
      <w:pPr>
        <w:pStyle w:val="ListParagraph"/>
        <w:numPr>
          <w:ilvl w:val="0"/>
          <w:numId w:val="8"/>
        </w:numPr>
        <w:spacing w:line="360" w:lineRule="auto"/>
        <w:jc w:val="both"/>
      </w:pPr>
      <w:r w:rsidRPr="006E0962">
        <w:rPr>
          <w:b/>
          <w:bCs/>
        </w:rPr>
        <w:t>Promote Cross-Cultural Understanding:</w:t>
      </w:r>
      <w:r>
        <w:t xml:space="preserve"> </w:t>
      </w:r>
      <w:r w:rsidR="00566141" w:rsidRPr="00566141">
        <w:t xml:space="preserve">Diageo plc can help its employees overcome cultural gaps by encouraging them to learn about and appreciate one another's cultures. To that end, it might be helpful to hold cultural awareness seminars, provide opportunities for cross-cultural team building, and encourage staff to talk about their </w:t>
      </w:r>
      <w:r w:rsidR="00566141" w:rsidRPr="00566141">
        <w:lastRenderedPageBreak/>
        <w:t>own cultural experiences and origins. A more harmonious and welcoming workplace can be achieved by the organization through initiatives that foster cultural awareness.</w:t>
      </w:r>
    </w:p>
    <w:p w14:paraId="72829B5A" w14:textId="35F1A77D" w:rsidR="006E5326" w:rsidRDefault="006E5326" w:rsidP="006E0962">
      <w:pPr>
        <w:pStyle w:val="ListParagraph"/>
        <w:numPr>
          <w:ilvl w:val="0"/>
          <w:numId w:val="8"/>
        </w:numPr>
        <w:spacing w:line="360" w:lineRule="auto"/>
        <w:jc w:val="both"/>
      </w:pPr>
      <w:r w:rsidRPr="006E0962">
        <w:rPr>
          <w:b/>
          <w:bCs/>
        </w:rPr>
        <w:t>Develop Clear Communication Guidelines:</w:t>
      </w:r>
      <w:r>
        <w:t xml:space="preserve"> In Luxembourg, </w:t>
      </w:r>
      <w:r w:rsidR="00566141" w:rsidRPr="00566141">
        <w:t>People prefer structure and rules</w:t>
      </w:r>
      <w:r w:rsidR="008824BE">
        <w:t>, where t</w:t>
      </w:r>
      <w:r w:rsidR="00566141" w:rsidRPr="00566141">
        <w:t>o address this, Diageo plc can create explicit employee communication standards</w:t>
      </w:r>
      <w:r w:rsidR="008824BE">
        <w:t xml:space="preserve"> (Lee et al., 2018)</w:t>
      </w:r>
      <w:r w:rsidR="00566141" w:rsidRPr="00566141">
        <w:t>. Written and vocal communication norms, meeting etiquette, and communication tool utilization are examples. Setting explicit communication norms helps reduce workplace miscommunication and conflict</w:t>
      </w:r>
      <w:r w:rsidR="00405B11">
        <w:t>.</w:t>
      </w:r>
    </w:p>
    <w:p w14:paraId="4D16683A" w14:textId="11857318" w:rsidR="00CB0AFA" w:rsidRDefault="00CB0AFA" w:rsidP="004F4943">
      <w:pPr>
        <w:pStyle w:val="Heading1"/>
      </w:pPr>
      <w:bookmarkStart w:id="5" w:name="_Toc152145189"/>
      <w:r w:rsidRPr="00CF3B19">
        <w:t>Conclu</w:t>
      </w:r>
      <w:r w:rsidR="00572439" w:rsidRPr="00CF3B19">
        <w:t>sion</w:t>
      </w:r>
      <w:bookmarkEnd w:id="5"/>
    </w:p>
    <w:p w14:paraId="750EC0DD" w14:textId="6E9ED0B4" w:rsidR="009F7201" w:rsidRDefault="009F7201" w:rsidP="00CB0AFA">
      <w:pPr>
        <w:spacing w:line="360" w:lineRule="auto"/>
        <w:jc w:val="both"/>
      </w:pPr>
      <w:r>
        <w:t xml:space="preserve">The essay concludes that, </w:t>
      </w:r>
      <w:r w:rsidR="003B64F5" w:rsidRPr="003B64F5">
        <w:t>British business communications is vibrant, diversified, and professional. In commercial communication, the UK sets high expectations for effective and ethical communication due to its rich history, healthy economy, and multicultural environment. The Hofstede model was used by Diageo plc to analyse nation facts, social settings and profiles, language, risks, labour outlooks, and cultural variations. Diageo plc may benefit from both countries' distinct traits. The company must carefully evaluate and address language and cultural issues before entering these areas. Through research and strategic planning, Diageo plc can increase its company in Malta and Luxembourg. While Malta and Luxembourg have short power distances, reflecting a tendency for decentralized decision-making and a collaborative culture, Diageo plc may face different communication difficulties in each nation. Communication styles, language variety, cultural variations, change resistance, and time orientation are these hurdles. To function and expand in both nations, the company must grasp these barriers and modify its communication strategy. Luxembourg offers Diageo plc a diversified and open-minded workforce, a good business climate, and access to a diverse consumer market. The advised tactics can help the organization improve communication and establish a healthy work environment that encourages employee performance. Over time, this will help the organization succeed and thrive.</w:t>
      </w:r>
    </w:p>
    <w:p w14:paraId="2C0FC002" w14:textId="77777777" w:rsidR="005669C7" w:rsidRDefault="005669C7" w:rsidP="00CB0AFA">
      <w:pPr>
        <w:spacing w:line="360" w:lineRule="auto"/>
        <w:jc w:val="both"/>
      </w:pPr>
    </w:p>
    <w:p w14:paraId="5AC53032" w14:textId="77777777" w:rsidR="005669C7" w:rsidRDefault="005669C7" w:rsidP="00CB0AFA">
      <w:pPr>
        <w:spacing w:line="360" w:lineRule="auto"/>
        <w:jc w:val="both"/>
      </w:pPr>
    </w:p>
    <w:p w14:paraId="1F8FE25E" w14:textId="77777777" w:rsidR="005669C7" w:rsidRDefault="005669C7" w:rsidP="00CB0AFA">
      <w:pPr>
        <w:spacing w:line="360" w:lineRule="auto"/>
        <w:jc w:val="both"/>
      </w:pPr>
    </w:p>
    <w:p w14:paraId="0D1547F9" w14:textId="77777777" w:rsidR="005669C7" w:rsidRDefault="005669C7" w:rsidP="00CB0AFA">
      <w:pPr>
        <w:spacing w:line="360" w:lineRule="auto"/>
        <w:jc w:val="both"/>
      </w:pPr>
    </w:p>
    <w:p w14:paraId="74302101" w14:textId="77777777" w:rsidR="006950BB" w:rsidRPr="009F7201" w:rsidRDefault="006950BB" w:rsidP="00CB0AFA">
      <w:pPr>
        <w:spacing w:line="360" w:lineRule="auto"/>
        <w:jc w:val="both"/>
      </w:pPr>
    </w:p>
    <w:p w14:paraId="6D03C94F" w14:textId="49BCCF16" w:rsidR="00572439" w:rsidRDefault="00572439" w:rsidP="005669C7">
      <w:pPr>
        <w:pStyle w:val="Heading1"/>
      </w:pPr>
      <w:bookmarkStart w:id="6" w:name="_Toc152145190"/>
      <w:r w:rsidRPr="00CF3B19">
        <w:lastRenderedPageBreak/>
        <w:t>Referenc</w:t>
      </w:r>
      <w:r w:rsidR="005669C7">
        <w:t>es</w:t>
      </w:r>
      <w:bookmarkEnd w:id="6"/>
    </w:p>
    <w:p w14:paraId="0182E196" w14:textId="1C3B0FB7" w:rsidR="00237638" w:rsidRPr="00237638" w:rsidRDefault="00237638" w:rsidP="00237638">
      <w:pPr>
        <w:pStyle w:val="Bibliography"/>
        <w:spacing w:line="360" w:lineRule="auto"/>
        <w:jc w:val="both"/>
        <w:rPr>
          <w:noProof/>
          <w:szCs w:val="24"/>
        </w:rPr>
      </w:pPr>
      <w:r>
        <w:rPr>
          <w:noProof/>
        </w:rPr>
        <w:t xml:space="preserve">Alonso, T., 2022. </w:t>
      </w:r>
      <w:r>
        <w:rPr>
          <w:i/>
          <w:iCs/>
          <w:noProof/>
        </w:rPr>
        <w:t xml:space="preserve">How Diageo Became One Of The World's Largest Alcohol Producers. </w:t>
      </w:r>
      <w:r>
        <w:rPr>
          <w:noProof/>
        </w:rPr>
        <w:t xml:space="preserve">[Online] </w:t>
      </w:r>
      <w:r>
        <w:rPr>
          <w:noProof/>
        </w:rPr>
        <w:br/>
        <w:t xml:space="preserve">Available at: </w:t>
      </w:r>
      <w:r>
        <w:rPr>
          <w:noProof/>
          <w:u w:val="single"/>
        </w:rPr>
        <w:t>https://www.cascade.app/studies/diageo-strategy-study</w:t>
      </w:r>
      <w:r>
        <w:rPr>
          <w:noProof/>
        </w:rPr>
        <w:br/>
        <w:t>[Accessed 28 November 2023].</w:t>
      </w:r>
    </w:p>
    <w:p w14:paraId="3935FCAE"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Aquilina, K., 2018. Church and state relations in the Constitution of Malta. </w:t>
      </w:r>
      <w:r w:rsidRPr="00237638">
        <w:rPr>
          <w:rFonts w:cs="Times New Roman"/>
          <w:i/>
          <w:iCs/>
          <w:color w:val="222222"/>
          <w:szCs w:val="24"/>
          <w:shd w:val="clear" w:color="auto" w:fill="FFFFFF"/>
        </w:rPr>
        <w:t>Polonia Sacra</w:t>
      </w:r>
      <w:r w:rsidRPr="00237638">
        <w:rPr>
          <w:rFonts w:cs="Times New Roman"/>
          <w:color w:val="222222"/>
          <w:szCs w:val="24"/>
          <w:shd w:val="clear" w:color="auto" w:fill="FFFFFF"/>
        </w:rPr>
        <w:t>, </w:t>
      </w:r>
      <w:r w:rsidRPr="00237638">
        <w:rPr>
          <w:rFonts w:cs="Times New Roman"/>
          <w:i/>
          <w:iCs/>
          <w:color w:val="222222"/>
          <w:szCs w:val="24"/>
          <w:shd w:val="clear" w:color="auto" w:fill="FFFFFF"/>
        </w:rPr>
        <w:t>22</w:t>
      </w:r>
      <w:r w:rsidRPr="00237638">
        <w:rPr>
          <w:rFonts w:cs="Times New Roman"/>
          <w:color w:val="222222"/>
          <w:szCs w:val="24"/>
          <w:shd w:val="clear" w:color="auto" w:fill="FFFFFF"/>
        </w:rPr>
        <w:t>(2), pp.175-199.</w:t>
      </w:r>
    </w:p>
    <w:p w14:paraId="672B633E" w14:textId="77777777" w:rsidR="00237638" w:rsidRPr="00237638" w:rsidRDefault="00237638" w:rsidP="00237638">
      <w:pPr>
        <w:spacing w:line="360" w:lineRule="auto"/>
        <w:jc w:val="both"/>
        <w:rPr>
          <w:rFonts w:cs="Times New Roman"/>
          <w:color w:val="222222"/>
          <w:szCs w:val="24"/>
          <w:shd w:val="clear" w:color="auto" w:fill="FFFFFF"/>
        </w:rPr>
      </w:pPr>
      <w:proofErr w:type="spellStart"/>
      <w:r w:rsidRPr="00237638">
        <w:rPr>
          <w:rFonts w:cs="Times New Roman"/>
          <w:color w:val="222222"/>
          <w:szCs w:val="24"/>
          <w:shd w:val="clear" w:color="auto" w:fill="FFFFFF"/>
        </w:rPr>
        <w:t>Basáñez</w:t>
      </w:r>
      <w:proofErr w:type="spellEnd"/>
      <w:r w:rsidRPr="00237638">
        <w:rPr>
          <w:rFonts w:cs="Times New Roman"/>
          <w:color w:val="222222"/>
          <w:szCs w:val="24"/>
          <w:shd w:val="clear" w:color="auto" w:fill="FFFFFF"/>
        </w:rPr>
        <w:t>, M., 2016. </w:t>
      </w:r>
      <w:r w:rsidRPr="00237638">
        <w:rPr>
          <w:rFonts w:cs="Times New Roman"/>
          <w:i/>
          <w:iCs/>
          <w:color w:val="222222"/>
          <w:szCs w:val="24"/>
          <w:shd w:val="clear" w:color="auto" w:fill="FFFFFF"/>
        </w:rPr>
        <w:t xml:space="preserve">A world of three cultures: </w:t>
      </w:r>
      <w:proofErr w:type="spellStart"/>
      <w:r w:rsidRPr="00237638">
        <w:rPr>
          <w:rFonts w:cs="Times New Roman"/>
          <w:i/>
          <w:iCs/>
          <w:color w:val="222222"/>
          <w:szCs w:val="24"/>
          <w:shd w:val="clear" w:color="auto" w:fill="FFFFFF"/>
        </w:rPr>
        <w:t>honor</w:t>
      </w:r>
      <w:proofErr w:type="spellEnd"/>
      <w:r w:rsidRPr="00237638">
        <w:rPr>
          <w:rFonts w:cs="Times New Roman"/>
          <w:i/>
          <w:iCs/>
          <w:color w:val="222222"/>
          <w:szCs w:val="24"/>
          <w:shd w:val="clear" w:color="auto" w:fill="FFFFFF"/>
        </w:rPr>
        <w:t xml:space="preserve">, </w:t>
      </w:r>
      <w:proofErr w:type="gramStart"/>
      <w:r w:rsidRPr="00237638">
        <w:rPr>
          <w:rFonts w:cs="Times New Roman"/>
          <w:i/>
          <w:iCs/>
          <w:color w:val="222222"/>
          <w:szCs w:val="24"/>
          <w:shd w:val="clear" w:color="auto" w:fill="FFFFFF"/>
        </w:rPr>
        <w:t>achievement</w:t>
      </w:r>
      <w:proofErr w:type="gramEnd"/>
      <w:r w:rsidRPr="00237638">
        <w:rPr>
          <w:rFonts w:cs="Times New Roman"/>
          <w:i/>
          <w:iCs/>
          <w:color w:val="222222"/>
          <w:szCs w:val="24"/>
          <w:shd w:val="clear" w:color="auto" w:fill="FFFFFF"/>
        </w:rPr>
        <w:t xml:space="preserve"> and joy</w:t>
      </w:r>
      <w:r w:rsidRPr="00237638">
        <w:rPr>
          <w:rFonts w:cs="Times New Roman"/>
          <w:color w:val="222222"/>
          <w:szCs w:val="24"/>
          <w:shd w:val="clear" w:color="auto" w:fill="FFFFFF"/>
        </w:rPr>
        <w:t>. Oxford University Press.</w:t>
      </w:r>
    </w:p>
    <w:p w14:paraId="068B3F08" w14:textId="77777777" w:rsidR="00237638" w:rsidRPr="00237638" w:rsidRDefault="00237638" w:rsidP="00237638">
      <w:pPr>
        <w:spacing w:line="360" w:lineRule="auto"/>
        <w:jc w:val="both"/>
        <w:rPr>
          <w:rFonts w:cs="Times New Roman"/>
          <w:color w:val="222222"/>
          <w:szCs w:val="24"/>
          <w:shd w:val="clear" w:color="auto" w:fill="FFFFFF"/>
        </w:rPr>
      </w:pPr>
      <w:proofErr w:type="spellStart"/>
      <w:r w:rsidRPr="00237638">
        <w:rPr>
          <w:rFonts w:cs="Times New Roman"/>
          <w:color w:val="222222"/>
          <w:szCs w:val="24"/>
          <w:shd w:val="clear" w:color="auto" w:fill="FFFFFF"/>
        </w:rPr>
        <w:t>Boissevain</w:t>
      </w:r>
      <w:proofErr w:type="spellEnd"/>
      <w:r w:rsidRPr="00237638">
        <w:rPr>
          <w:rFonts w:cs="Times New Roman"/>
          <w:color w:val="222222"/>
          <w:szCs w:val="24"/>
          <w:shd w:val="clear" w:color="auto" w:fill="FFFFFF"/>
        </w:rPr>
        <w:t>, J., 2021. </w:t>
      </w:r>
      <w:r w:rsidRPr="00237638">
        <w:rPr>
          <w:rFonts w:cs="Times New Roman"/>
          <w:i/>
          <w:iCs/>
          <w:color w:val="222222"/>
          <w:szCs w:val="24"/>
          <w:shd w:val="clear" w:color="auto" w:fill="FFFFFF"/>
        </w:rPr>
        <w:t>Saints and fireworks: Religion and politics in rural Malta</w:t>
      </w:r>
      <w:r w:rsidRPr="00237638">
        <w:rPr>
          <w:rFonts w:cs="Times New Roman"/>
          <w:color w:val="222222"/>
          <w:szCs w:val="24"/>
          <w:shd w:val="clear" w:color="auto" w:fill="FFFFFF"/>
        </w:rPr>
        <w:t>. Routledge.</w:t>
      </w:r>
    </w:p>
    <w:p w14:paraId="26FDD2E6"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Cameron, E. and Green, M., 2019. </w:t>
      </w:r>
      <w:r w:rsidRPr="00237638">
        <w:rPr>
          <w:rFonts w:cs="Times New Roman"/>
          <w:i/>
          <w:iCs/>
          <w:color w:val="222222"/>
          <w:szCs w:val="24"/>
          <w:shd w:val="clear" w:color="auto" w:fill="FFFFFF"/>
        </w:rPr>
        <w:t xml:space="preserve">Making sense of change management: A complete guide to the models, </w:t>
      </w:r>
      <w:proofErr w:type="gramStart"/>
      <w:r w:rsidRPr="00237638">
        <w:rPr>
          <w:rFonts w:cs="Times New Roman"/>
          <w:i/>
          <w:iCs/>
          <w:color w:val="222222"/>
          <w:szCs w:val="24"/>
          <w:shd w:val="clear" w:color="auto" w:fill="FFFFFF"/>
        </w:rPr>
        <w:t>tools</w:t>
      </w:r>
      <w:proofErr w:type="gramEnd"/>
      <w:r w:rsidRPr="00237638">
        <w:rPr>
          <w:rFonts w:cs="Times New Roman"/>
          <w:i/>
          <w:iCs/>
          <w:color w:val="222222"/>
          <w:szCs w:val="24"/>
          <w:shd w:val="clear" w:color="auto" w:fill="FFFFFF"/>
        </w:rPr>
        <w:t xml:space="preserve"> and techniques of organizational change</w:t>
      </w:r>
      <w:r w:rsidRPr="00237638">
        <w:rPr>
          <w:rFonts w:cs="Times New Roman"/>
          <w:color w:val="222222"/>
          <w:szCs w:val="24"/>
          <w:shd w:val="clear" w:color="auto" w:fill="FFFFFF"/>
        </w:rPr>
        <w:t>. Kogan Page Publishers.</w:t>
      </w:r>
    </w:p>
    <w:p w14:paraId="729095D9" w14:textId="77777777" w:rsid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 xml:space="preserve">Chui, M., Manyika, J. and </w:t>
      </w:r>
      <w:proofErr w:type="spellStart"/>
      <w:r w:rsidRPr="00237638">
        <w:rPr>
          <w:rFonts w:cs="Times New Roman"/>
          <w:color w:val="222222"/>
          <w:szCs w:val="24"/>
          <w:shd w:val="clear" w:color="auto" w:fill="FFFFFF"/>
        </w:rPr>
        <w:t>Miremadi</w:t>
      </w:r>
      <w:proofErr w:type="spellEnd"/>
      <w:r w:rsidRPr="00237638">
        <w:rPr>
          <w:rFonts w:cs="Times New Roman"/>
          <w:color w:val="222222"/>
          <w:szCs w:val="24"/>
          <w:shd w:val="clear" w:color="auto" w:fill="FFFFFF"/>
        </w:rPr>
        <w:t>, M., 2015. Four fundamentals of workplace automation. </w:t>
      </w:r>
      <w:r w:rsidRPr="00237638">
        <w:rPr>
          <w:rFonts w:cs="Times New Roman"/>
          <w:i/>
          <w:iCs/>
          <w:color w:val="222222"/>
          <w:szCs w:val="24"/>
          <w:shd w:val="clear" w:color="auto" w:fill="FFFFFF"/>
        </w:rPr>
        <w:t>McKinsey Quarterly</w:t>
      </w:r>
      <w:r w:rsidRPr="00237638">
        <w:rPr>
          <w:rFonts w:cs="Times New Roman"/>
          <w:color w:val="222222"/>
          <w:szCs w:val="24"/>
          <w:shd w:val="clear" w:color="auto" w:fill="FFFFFF"/>
        </w:rPr>
        <w:t>, </w:t>
      </w:r>
      <w:r w:rsidRPr="00237638">
        <w:rPr>
          <w:rFonts w:cs="Times New Roman"/>
          <w:i/>
          <w:iCs/>
          <w:color w:val="222222"/>
          <w:szCs w:val="24"/>
          <w:shd w:val="clear" w:color="auto" w:fill="FFFFFF"/>
        </w:rPr>
        <w:t>29</w:t>
      </w:r>
      <w:r w:rsidRPr="00237638">
        <w:rPr>
          <w:rFonts w:cs="Times New Roman"/>
          <w:color w:val="222222"/>
          <w:szCs w:val="24"/>
          <w:shd w:val="clear" w:color="auto" w:fill="FFFFFF"/>
        </w:rPr>
        <w:t>(3), pp.1-9.</w:t>
      </w:r>
    </w:p>
    <w:p w14:paraId="2CF9F0BE" w14:textId="6A4F6780" w:rsidR="00103E22" w:rsidRDefault="00103E22" w:rsidP="00103E22">
      <w:pPr>
        <w:pStyle w:val="Bibliography"/>
        <w:spacing w:line="360" w:lineRule="auto"/>
        <w:jc w:val="both"/>
        <w:rPr>
          <w:noProof/>
        </w:rPr>
      </w:pPr>
      <w:r>
        <w:rPr>
          <w:noProof/>
        </w:rPr>
        <w:t xml:space="preserve">Commonslibrary.parliament.uk, 2023. </w:t>
      </w:r>
      <w:r>
        <w:rPr>
          <w:i/>
          <w:iCs/>
          <w:noProof/>
        </w:rPr>
        <w:t xml:space="preserve">GDP – International Comparisons: Key Economic Indicators. </w:t>
      </w:r>
      <w:r>
        <w:rPr>
          <w:noProof/>
        </w:rPr>
        <w:t xml:space="preserve">[Online] </w:t>
      </w:r>
      <w:r>
        <w:rPr>
          <w:noProof/>
        </w:rPr>
        <w:br/>
        <w:t xml:space="preserve">Available at: </w:t>
      </w:r>
      <w:r>
        <w:rPr>
          <w:noProof/>
          <w:u w:val="single"/>
        </w:rPr>
        <w:t>https://commonslibrary.parliament.uk/research-briefings/sn02784/#:~:text=The%20IMF%20said%20that%20global,2024%20(down%20from%201.0%25).</w:t>
      </w:r>
      <w:r>
        <w:rPr>
          <w:noProof/>
        </w:rPr>
        <w:br/>
        <w:t>[Accessed November 2023 2023].</w:t>
      </w:r>
    </w:p>
    <w:p w14:paraId="079F4239" w14:textId="4FEA2B7A" w:rsidR="00103E22" w:rsidRPr="00103E22" w:rsidRDefault="00103E22" w:rsidP="00103E22">
      <w:pPr>
        <w:pStyle w:val="Bibliography"/>
        <w:spacing w:line="360" w:lineRule="auto"/>
        <w:jc w:val="both"/>
        <w:rPr>
          <w:noProof/>
        </w:rPr>
      </w:pPr>
      <w:r>
        <w:rPr>
          <w:noProof/>
        </w:rPr>
        <w:t xml:space="preserve">Conway, J., 2023. </w:t>
      </w:r>
      <w:r>
        <w:rPr>
          <w:i/>
          <w:iCs/>
          <w:noProof/>
        </w:rPr>
        <w:t xml:space="preserve">Net sales of Diageo worldwide from 2013 to 2023 (in million GBP)*. </w:t>
      </w:r>
      <w:r>
        <w:rPr>
          <w:noProof/>
        </w:rPr>
        <w:t xml:space="preserve">[Online] </w:t>
      </w:r>
      <w:r>
        <w:rPr>
          <w:noProof/>
        </w:rPr>
        <w:br/>
        <w:t xml:space="preserve">Available at: </w:t>
      </w:r>
      <w:r>
        <w:rPr>
          <w:noProof/>
          <w:u w:val="single"/>
        </w:rPr>
        <w:t>https://www.statista.com/statistics/398427/net-sales-of-diageo-worldwide/#:~:text=Diageo's%20global%20net%20sales%20amounted,over%20the%20previous%20year's%20figure.&amp;text=Diageo%20is%20operating%20in%20the,Baileys%20liqueur%20and%20Guinness%20stout.</w:t>
      </w:r>
      <w:r>
        <w:rPr>
          <w:noProof/>
        </w:rPr>
        <w:br/>
        <w:t>[Accessed 28 November 2023]</w:t>
      </w:r>
    </w:p>
    <w:p w14:paraId="2FD18CEF" w14:textId="77777777" w:rsidR="00237638" w:rsidRPr="00237638" w:rsidRDefault="00237638" w:rsidP="00237638">
      <w:pPr>
        <w:spacing w:line="360" w:lineRule="auto"/>
        <w:jc w:val="both"/>
        <w:rPr>
          <w:rFonts w:cs="Times New Roman"/>
          <w:color w:val="222222"/>
          <w:szCs w:val="24"/>
          <w:shd w:val="clear" w:color="auto" w:fill="FFFFFF"/>
        </w:rPr>
      </w:pPr>
      <w:proofErr w:type="spellStart"/>
      <w:r w:rsidRPr="00237638">
        <w:rPr>
          <w:rFonts w:cs="Times New Roman"/>
          <w:color w:val="222222"/>
          <w:szCs w:val="24"/>
          <w:shd w:val="clear" w:color="auto" w:fill="FFFFFF"/>
        </w:rPr>
        <w:t>Danescu</w:t>
      </w:r>
      <w:proofErr w:type="spellEnd"/>
      <w:r w:rsidRPr="00237638">
        <w:rPr>
          <w:rFonts w:cs="Times New Roman"/>
          <w:color w:val="222222"/>
          <w:szCs w:val="24"/>
          <w:shd w:val="clear" w:color="auto" w:fill="FFFFFF"/>
        </w:rPr>
        <w:t>, E., Thomas, A., Clément, F. and Bandelow, N., 2022. Sustainable Governance Indicators (SGI) 2022-Luxembourg Country Analysis. </w:t>
      </w:r>
      <w:r w:rsidRPr="00237638">
        <w:rPr>
          <w:rFonts w:cs="Times New Roman"/>
          <w:i/>
          <w:iCs/>
          <w:color w:val="222222"/>
          <w:szCs w:val="24"/>
          <w:shd w:val="clear" w:color="auto" w:fill="FFFFFF"/>
        </w:rPr>
        <w:t>Sustainable Governance Indicators (SGI) 2022-Luxembourg Chapter</w:t>
      </w:r>
      <w:r w:rsidRPr="00237638">
        <w:rPr>
          <w:rFonts w:cs="Times New Roman"/>
          <w:color w:val="222222"/>
          <w:szCs w:val="24"/>
          <w:shd w:val="clear" w:color="auto" w:fill="FFFFFF"/>
        </w:rPr>
        <w:t>, p.83.</w:t>
      </w:r>
    </w:p>
    <w:p w14:paraId="15188445"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lastRenderedPageBreak/>
        <w:t>Davis, A.S., Kafka, A.M., González-Morales, M.G. and Feitosa, J., 2022. Team belonging: Integrating teamwork and diversity training through emotions. </w:t>
      </w:r>
      <w:r w:rsidRPr="00237638">
        <w:rPr>
          <w:rFonts w:cs="Times New Roman"/>
          <w:i/>
          <w:iCs/>
          <w:color w:val="222222"/>
          <w:szCs w:val="24"/>
          <w:shd w:val="clear" w:color="auto" w:fill="FFFFFF"/>
        </w:rPr>
        <w:t>Small group research</w:t>
      </w:r>
      <w:r w:rsidRPr="00237638">
        <w:rPr>
          <w:rFonts w:cs="Times New Roman"/>
          <w:color w:val="222222"/>
          <w:szCs w:val="24"/>
          <w:shd w:val="clear" w:color="auto" w:fill="FFFFFF"/>
        </w:rPr>
        <w:t>, </w:t>
      </w:r>
      <w:r w:rsidRPr="00237638">
        <w:rPr>
          <w:rFonts w:cs="Times New Roman"/>
          <w:i/>
          <w:iCs/>
          <w:color w:val="222222"/>
          <w:szCs w:val="24"/>
          <w:shd w:val="clear" w:color="auto" w:fill="FFFFFF"/>
        </w:rPr>
        <w:t>53</w:t>
      </w:r>
      <w:r w:rsidRPr="00237638">
        <w:rPr>
          <w:rFonts w:cs="Times New Roman"/>
          <w:color w:val="222222"/>
          <w:szCs w:val="24"/>
          <w:shd w:val="clear" w:color="auto" w:fill="FFFFFF"/>
        </w:rPr>
        <w:t>(1), pp.88-127.</w:t>
      </w:r>
    </w:p>
    <w:p w14:paraId="6896FD91"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Formosa, M., 2017. Responding to the Active Ageing Index: Innovations in active ageing policies in Malta. </w:t>
      </w:r>
      <w:r w:rsidRPr="00237638">
        <w:rPr>
          <w:rFonts w:cs="Times New Roman"/>
          <w:i/>
          <w:iCs/>
          <w:color w:val="222222"/>
          <w:szCs w:val="24"/>
          <w:shd w:val="clear" w:color="auto" w:fill="FFFFFF"/>
        </w:rPr>
        <w:t>Journal of Population Ageing</w:t>
      </w:r>
      <w:r w:rsidRPr="00237638">
        <w:rPr>
          <w:rFonts w:cs="Times New Roman"/>
          <w:color w:val="222222"/>
          <w:szCs w:val="24"/>
          <w:shd w:val="clear" w:color="auto" w:fill="FFFFFF"/>
        </w:rPr>
        <w:t>, </w:t>
      </w:r>
      <w:r w:rsidRPr="00237638">
        <w:rPr>
          <w:rFonts w:cs="Times New Roman"/>
          <w:i/>
          <w:iCs/>
          <w:color w:val="222222"/>
          <w:szCs w:val="24"/>
          <w:shd w:val="clear" w:color="auto" w:fill="FFFFFF"/>
        </w:rPr>
        <w:t>10</w:t>
      </w:r>
      <w:r w:rsidRPr="00237638">
        <w:rPr>
          <w:rFonts w:cs="Times New Roman"/>
          <w:color w:val="222222"/>
          <w:szCs w:val="24"/>
          <w:shd w:val="clear" w:color="auto" w:fill="FFFFFF"/>
        </w:rPr>
        <w:t>, pp.87-99.</w:t>
      </w:r>
    </w:p>
    <w:p w14:paraId="038A8DDA" w14:textId="77777777" w:rsid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 xml:space="preserve">Fothergill, S. and Houston, D., 2016. Are big cities really the motor of UK regional economic </w:t>
      </w:r>
      <w:proofErr w:type="gramStart"/>
      <w:r w:rsidRPr="00237638">
        <w:rPr>
          <w:rFonts w:cs="Times New Roman"/>
          <w:color w:val="222222"/>
          <w:szCs w:val="24"/>
          <w:shd w:val="clear" w:color="auto" w:fill="FFFFFF"/>
        </w:rPr>
        <w:t>growth?.</w:t>
      </w:r>
      <w:proofErr w:type="gramEnd"/>
      <w:r w:rsidRPr="00237638">
        <w:rPr>
          <w:rFonts w:cs="Times New Roman"/>
          <w:color w:val="222222"/>
          <w:szCs w:val="24"/>
          <w:shd w:val="clear" w:color="auto" w:fill="FFFFFF"/>
        </w:rPr>
        <w:t> </w:t>
      </w:r>
      <w:r w:rsidRPr="00237638">
        <w:rPr>
          <w:rFonts w:cs="Times New Roman"/>
          <w:i/>
          <w:iCs/>
          <w:color w:val="222222"/>
          <w:szCs w:val="24"/>
          <w:shd w:val="clear" w:color="auto" w:fill="FFFFFF"/>
        </w:rPr>
        <w:t xml:space="preserve">Cambridge Journal of Regions, </w:t>
      </w:r>
      <w:proofErr w:type="gramStart"/>
      <w:r w:rsidRPr="00237638">
        <w:rPr>
          <w:rFonts w:cs="Times New Roman"/>
          <w:i/>
          <w:iCs/>
          <w:color w:val="222222"/>
          <w:szCs w:val="24"/>
          <w:shd w:val="clear" w:color="auto" w:fill="FFFFFF"/>
        </w:rPr>
        <w:t>Economy</w:t>
      </w:r>
      <w:proofErr w:type="gramEnd"/>
      <w:r w:rsidRPr="00237638">
        <w:rPr>
          <w:rFonts w:cs="Times New Roman"/>
          <w:i/>
          <w:iCs/>
          <w:color w:val="222222"/>
          <w:szCs w:val="24"/>
          <w:shd w:val="clear" w:color="auto" w:fill="FFFFFF"/>
        </w:rPr>
        <w:t xml:space="preserve"> and Society</w:t>
      </w:r>
      <w:r w:rsidRPr="00237638">
        <w:rPr>
          <w:rFonts w:cs="Times New Roman"/>
          <w:color w:val="222222"/>
          <w:szCs w:val="24"/>
          <w:shd w:val="clear" w:color="auto" w:fill="FFFFFF"/>
        </w:rPr>
        <w:t>, </w:t>
      </w:r>
      <w:r w:rsidRPr="00237638">
        <w:rPr>
          <w:rFonts w:cs="Times New Roman"/>
          <w:i/>
          <w:iCs/>
          <w:color w:val="222222"/>
          <w:szCs w:val="24"/>
          <w:shd w:val="clear" w:color="auto" w:fill="FFFFFF"/>
        </w:rPr>
        <w:t>9</w:t>
      </w:r>
      <w:r w:rsidRPr="00237638">
        <w:rPr>
          <w:rFonts w:cs="Times New Roman"/>
          <w:color w:val="222222"/>
          <w:szCs w:val="24"/>
          <w:shd w:val="clear" w:color="auto" w:fill="FFFFFF"/>
        </w:rPr>
        <w:t>(2), pp.319-334.</w:t>
      </w:r>
    </w:p>
    <w:p w14:paraId="7A963D7C" w14:textId="288405A9" w:rsidR="001D63C0" w:rsidRPr="001D63C0" w:rsidRDefault="001D63C0" w:rsidP="001D63C0">
      <w:pPr>
        <w:pStyle w:val="Bibliography"/>
        <w:spacing w:line="360" w:lineRule="auto"/>
        <w:jc w:val="both"/>
        <w:rPr>
          <w:noProof/>
        </w:rPr>
      </w:pPr>
      <w:r>
        <w:rPr>
          <w:noProof/>
        </w:rPr>
        <w:t xml:space="preserve">Hofstede-insights.com, 2023. </w:t>
      </w:r>
      <w:r>
        <w:rPr>
          <w:i/>
          <w:iCs/>
          <w:noProof/>
        </w:rPr>
        <w:t xml:space="preserve">COUNTRY COMPARISON TOOL. </w:t>
      </w:r>
      <w:r>
        <w:rPr>
          <w:noProof/>
        </w:rPr>
        <w:t xml:space="preserve">[Online] </w:t>
      </w:r>
      <w:r>
        <w:rPr>
          <w:noProof/>
        </w:rPr>
        <w:br/>
        <w:t xml:space="preserve">Available at: </w:t>
      </w:r>
      <w:r>
        <w:rPr>
          <w:noProof/>
          <w:u w:val="single"/>
        </w:rPr>
        <w:t>https://www.hofstede-insights.com/country-comparison-tool?countries=luxembourg%2Cmalta</w:t>
      </w:r>
      <w:r>
        <w:rPr>
          <w:noProof/>
        </w:rPr>
        <w:br/>
        <w:t>[Accessed 28 November 2023].</w:t>
      </w:r>
    </w:p>
    <w:p w14:paraId="7570A66E"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 xml:space="preserve">Horner, </w:t>
      </w:r>
      <w:proofErr w:type="gramStart"/>
      <w:r w:rsidRPr="00237638">
        <w:rPr>
          <w:rFonts w:cs="Times New Roman"/>
          <w:color w:val="222222"/>
          <w:szCs w:val="24"/>
          <w:shd w:val="clear" w:color="auto" w:fill="FFFFFF"/>
        </w:rPr>
        <w:t>K.</w:t>
      </w:r>
      <w:proofErr w:type="gramEnd"/>
      <w:r w:rsidRPr="00237638">
        <w:rPr>
          <w:rFonts w:cs="Times New Roman"/>
          <w:color w:val="222222"/>
          <w:szCs w:val="24"/>
          <w:shd w:val="clear" w:color="auto" w:fill="FFFFFF"/>
        </w:rPr>
        <w:t xml:space="preserve"> and Weber, J.J., 2016. The language situation in Luxembourg. In </w:t>
      </w:r>
      <w:r w:rsidRPr="00237638">
        <w:rPr>
          <w:rFonts w:cs="Times New Roman"/>
          <w:i/>
          <w:iCs/>
          <w:color w:val="222222"/>
          <w:szCs w:val="24"/>
          <w:shd w:val="clear" w:color="auto" w:fill="FFFFFF"/>
        </w:rPr>
        <w:t>Language Planning in Europe</w:t>
      </w:r>
      <w:r w:rsidRPr="00237638">
        <w:rPr>
          <w:rFonts w:cs="Times New Roman"/>
          <w:color w:val="222222"/>
          <w:szCs w:val="24"/>
          <w:shd w:val="clear" w:color="auto" w:fill="FFFFFF"/>
        </w:rPr>
        <w:t> (pp. 180-240). Routledge.</w:t>
      </w:r>
    </w:p>
    <w:p w14:paraId="7DADB9AD"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Khan, R. and Cox, P., 2017. Country culture and national innovation. </w:t>
      </w:r>
      <w:r w:rsidRPr="00237638">
        <w:rPr>
          <w:rFonts w:cs="Times New Roman"/>
          <w:i/>
          <w:iCs/>
          <w:color w:val="222222"/>
          <w:szCs w:val="24"/>
          <w:shd w:val="clear" w:color="auto" w:fill="FFFFFF"/>
        </w:rPr>
        <w:t>Archives of Business Research</w:t>
      </w:r>
      <w:r w:rsidRPr="00237638">
        <w:rPr>
          <w:rFonts w:cs="Times New Roman"/>
          <w:color w:val="222222"/>
          <w:szCs w:val="24"/>
          <w:shd w:val="clear" w:color="auto" w:fill="FFFFFF"/>
        </w:rPr>
        <w:t>, </w:t>
      </w:r>
      <w:r w:rsidRPr="00237638">
        <w:rPr>
          <w:rFonts w:cs="Times New Roman"/>
          <w:i/>
          <w:iCs/>
          <w:color w:val="222222"/>
          <w:szCs w:val="24"/>
          <w:shd w:val="clear" w:color="auto" w:fill="FFFFFF"/>
        </w:rPr>
        <w:t>5</w:t>
      </w:r>
      <w:r w:rsidRPr="00237638">
        <w:rPr>
          <w:rFonts w:cs="Times New Roman"/>
          <w:color w:val="222222"/>
          <w:szCs w:val="24"/>
          <w:shd w:val="clear" w:color="auto" w:fill="FFFFFF"/>
        </w:rPr>
        <w:t>(2).</w:t>
      </w:r>
    </w:p>
    <w:p w14:paraId="0CB91B76" w14:textId="77777777" w:rsidR="00237638" w:rsidRPr="00237638" w:rsidRDefault="00237638" w:rsidP="00237638">
      <w:pPr>
        <w:spacing w:line="360" w:lineRule="auto"/>
        <w:jc w:val="both"/>
        <w:rPr>
          <w:rFonts w:cs="Times New Roman"/>
          <w:color w:val="222222"/>
          <w:szCs w:val="24"/>
          <w:shd w:val="clear" w:color="auto" w:fill="FFFFFF"/>
        </w:rPr>
      </w:pPr>
      <w:proofErr w:type="spellStart"/>
      <w:r w:rsidRPr="00237638">
        <w:rPr>
          <w:rFonts w:cs="Times New Roman"/>
          <w:color w:val="222222"/>
          <w:szCs w:val="24"/>
          <w:shd w:val="clear" w:color="auto" w:fill="FFFFFF"/>
        </w:rPr>
        <w:t>Langinier</w:t>
      </w:r>
      <w:proofErr w:type="spellEnd"/>
      <w:r w:rsidRPr="00237638">
        <w:rPr>
          <w:rFonts w:cs="Times New Roman"/>
          <w:color w:val="222222"/>
          <w:szCs w:val="24"/>
          <w:shd w:val="clear" w:color="auto" w:fill="FFFFFF"/>
        </w:rPr>
        <w:t xml:space="preserve">, H., &amp; </w:t>
      </w:r>
      <w:proofErr w:type="spellStart"/>
      <w:r w:rsidRPr="00237638">
        <w:rPr>
          <w:rFonts w:cs="Times New Roman"/>
          <w:color w:val="222222"/>
          <w:szCs w:val="24"/>
          <w:shd w:val="clear" w:color="auto" w:fill="FFFFFF"/>
        </w:rPr>
        <w:t>Froehlicher</w:t>
      </w:r>
      <w:proofErr w:type="spellEnd"/>
      <w:r w:rsidRPr="00237638">
        <w:rPr>
          <w:rFonts w:cs="Times New Roman"/>
          <w:color w:val="222222"/>
          <w:szCs w:val="24"/>
          <w:shd w:val="clear" w:color="auto" w:fill="FFFFFF"/>
        </w:rPr>
        <w:t>, T. (2018). Context matters: Expatriates’ adjustment and contact with host country nationals in Luxembourg. </w:t>
      </w:r>
      <w:r w:rsidRPr="00237638">
        <w:rPr>
          <w:rFonts w:cs="Times New Roman"/>
          <w:i/>
          <w:iCs/>
          <w:color w:val="222222"/>
          <w:szCs w:val="24"/>
          <w:shd w:val="clear" w:color="auto" w:fill="FFFFFF"/>
        </w:rPr>
        <w:t>Thunderbird International Business Review</w:t>
      </w:r>
      <w:r w:rsidRPr="00237638">
        <w:rPr>
          <w:rFonts w:cs="Times New Roman"/>
          <w:color w:val="222222"/>
          <w:szCs w:val="24"/>
          <w:shd w:val="clear" w:color="auto" w:fill="FFFFFF"/>
        </w:rPr>
        <w:t>, </w:t>
      </w:r>
      <w:r w:rsidRPr="00237638">
        <w:rPr>
          <w:rFonts w:cs="Times New Roman"/>
          <w:i/>
          <w:iCs/>
          <w:color w:val="222222"/>
          <w:szCs w:val="24"/>
          <w:shd w:val="clear" w:color="auto" w:fill="FFFFFF"/>
        </w:rPr>
        <w:t>60</w:t>
      </w:r>
      <w:r w:rsidRPr="00237638">
        <w:rPr>
          <w:rFonts w:cs="Times New Roman"/>
          <w:color w:val="222222"/>
          <w:szCs w:val="24"/>
          <w:shd w:val="clear" w:color="auto" w:fill="FFFFFF"/>
        </w:rPr>
        <w:t>(1), 105-119.</w:t>
      </w:r>
    </w:p>
    <w:p w14:paraId="345F29DA" w14:textId="77777777" w:rsid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 xml:space="preserve">Lee, D.J., Yu, G.B., </w:t>
      </w:r>
      <w:proofErr w:type="spellStart"/>
      <w:r w:rsidRPr="00237638">
        <w:rPr>
          <w:rFonts w:cs="Times New Roman"/>
          <w:color w:val="222222"/>
          <w:szCs w:val="24"/>
          <w:shd w:val="clear" w:color="auto" w:fill="FFFFFF"/>
        </w:rPr>
        <w:t>Sirgy</w:t>
      </w:r>
      <w:proofErr w:type="spellEnd"/>
      <w:r w:rsidRPr="00237638">
        <w:rPr>
          <w:rFonts w:cs="Times New Roman"/>
          <w:color w:val="222222"/>
          <w:szCs w:val="24"/>
          <w:shd w:val="clear" w:color="auto" w:fill="FFFFFF"/>
        </w:rPr>
        <w:t xml:space="preserve">, M.J., </w:t>
      </w:r>
      <w:proofErr w:type="spellStart"/>
      <w:r w:rsidRPr="00237638">
        <w:rPr>
          <w:rFonts w:cs="Times New Roman"/>
          <w:color w:val="222222"/>
          <w:szCs w:val="24"/>
          <w:shd w:val="clear" w:color="auto" w:fill="FFFFFF"/>
        </w:rPr>
        <w:t>Singhapakdi</w:t>
      </w:r>
      <w:proofErr w:type="spellEnd"/>
      <w:r w:rsidRPr="00237638">
        <w:rPr>
          <w:rFonts w:cs="Times New Roman"/>
          <w:color w:val="222222"/>
          <w:szCs w:val="24"/>
          <w:shd w:val="clear" w:color="auto" w:fill="FFFFFF"/>
        </w:rPr>
        <w:t xml:space="preserve">, A. and </w:t>
      </w:r>
      <w:proofErr w:type="spellStart"/>
      <w:r w:rsidRPr="00237638">
        <w:rPr>
          <w:rFonts w:cs="Times New Roman"/>
          <w:color w:val="222222"/>
          <w:szCs w:val="24"/>
          <w:shd w:val="clear" w:color="auto" w:fill="FFFFFF"/>
        </w:rPr>
        <w:t>Lucianetti</w:t>
      </w:r>
      <w:proofErr w:type="spellEnd"/>
      <w:r w:rsidRPr="00237638">
        <w:rPr>
          <w:rFonts w:cs="Times New Roman"/>
          <w:color w:val="222222"/>
          <w:szCs w:val="24"/>
          <w:shd w:val="clear" w:color="auto" w:fill="FFFFFF"/>
        </w:rPr>
        <w:t>, L., 2018. The effects of explicit and implicit ethics institutionalization on employee life satisfaction and happiness: The mediating effects of employee experiences in work life and moderating effects of work–family life conflict. </w:t>
      </w:r>
      <w:r w:rsidRPr="00237638">
        <w:rPr>
          <w:rFonts w:cs="Times New Roman"/>
          <w:i/>
          <w:iCs/>
          <w:color w:val="222222"/>
          <w:szCs w:val="24"/>
          <w:shd w:val="clear" w:color="auto" w:fill="FFFFFF"/>
        </w:rPr>
        <w:t>Journal of Business Ethics</w:t>
      </w:r>
      <w:r w:rsidRPr="00237638">
        <w:rPr>
          <w:rFonts w:cs="Times New Roman"/>
          <w:color w:val="222222"/>
          <w:szCs w:val="24"/>
          <w:shd w:val="clear" w:color="auto" w:fill="FFFFFF"/>
        </w:rPr>
        <w:t>, </w:t>
      </w:r>
      <w:r w:rsidRPr="00237638">
        <w:rPr>
          <w:rFonts w:cs="Times New Roman"/>
          <w:i/>
          <w:iCs/>
          <w:color w:val="222222"/>
          <w:szCs w:val="24"/>
          <w:shd w:val="clear" w:color="auto" w:fill="FFFFFF"/>
        </w:rPr>
        <w:t>147</w:t>
      </w:r>
      <w:r w:rsidRPr="00237638">
        <w:rPr>
          <w:rFonts w:cs="Times New Roman"/>
          <w:color w:val="222222"/>
          <w:szCs w:val="24"/>
          <w:shd w:val="clear" w:color="auto" w:fill="FFFFFF"/>
        </w:rPr>
        <w:t>, pp.855-874.</w:t>
      </w:r>
    </w:p>
    <w:p w14:paraId="32CCFBFF" w14:textId="3BF9CB05" w:rsidR="001D63C0" w:rsidRPr="001D63C0" w:rsidRDefault="001D63C0" w:rsidP="001D63C0">
      <w:pPr>
        <w:pStyle w:val="Bibliography"/>
        <w:spacing w:line="360" w:lineRule="auto"/>
        <w:jc w:val="both"/>
        <w:rPr>
          <w:noProof/>
        </w:rPr>
      </w:pPr>
      <w:r>
        <w:rPr>
          <w:noProof/>
        </w:rPr>
        <w:t xml:space="preserve">Macrotrends.net, 2023. </w:t>
      </w:r>
      <w:r>
        <w:rPr>
          <w:i/>
          <w:iCs/>
          <w:noProof/>
        </w:rPr>
        <w:t xml:space="preserve">Diageo: Number of Employees 2010-2023 | DEO. </w:t>
      </w:r>
      <w:r>
        <w:rPr>
          <w:noProof/>
        </w:rPr>
        <w:t xml:space="preserve">[Online] </w:t>
      </w:r>
      <w:r>
        <w:rPr>
          <w:noProof/>
        </w:rPr>
        <w:br/>
        <w:t xml:space="preserve">Available at: </w:t>
      </w:r>
      <w:r>
        <w:rPr>
          <w:noProof/>
          <w:u w:val="single"/>
        </w:rPr>
        <w:t>https://www.macrotrends.net/stocks/charts/DEO/diageo/number-of-employees#:~:text=Diageo%20total%20number%20of%20employees,a%203.1%25%20decline%20from%202019.</w:t>
      </w:r>
      <w:r>
        <w:rPr>
          <w:noProof/>
        </w:rPr>
        <w:br/>
        <w:t>[Accessed 28 November 2023].</w:t>
      </w:r>
    </w:p>
    <w:p w14:paraId="41D55B93"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Melo, A.C.P., 2021. </w:t>
      </w:r>
      <w:r w:rsidRPr="00237638">
        <w:rPr>
          <w:rFonts w:cs="Times New Roman"/>
          <w:i/>
          <w:iCs/>
          <w:color w:val="222222"/>
          <w:szCs w:val="24"/>
          <w:shd w:val="clear" w:color="auto" w:fill="FFFFFF"/>
        </w:rPr>
        <w:t>Multiculturalism: Luxembourg, Host of Diversity. Integration Process and the Relationship with Portugal</w:t>
      </w:r>
      <w:r w:rsidRPr="00237638">
        <w:rPr>
          <w:rFonts w:cs="Times New Roman"/>
          <w:color w:val="222222"/>
          <w:szCs w:val="24"/>
          <w:shd w:val="clear" w:color="auto" w:fill="FFFFFF"/>
        </w:rPr>
        <w:t xml:space="preserve"> (Doctoral dissertation, Instituto </w:t>
      </w:r>
      <w:proofErr w:type="spellStart"/>
      <w:r w:rsidRPr="00237638">
        <w:rPr>
          <w:rFonts w:cs="Times New Roman"/>
          <w:color w:val="222222"/>
          <w:szCs w:val="24"/>
          <w:shd w:val="clear" w:color="auto" w:fill="FFFFFF"/>
        </w:rPr>
        <w:t>Politecnico</w:t>
      </w:r>
      <w:proofErr w:type="spellEnd"/>
      <w:r w:rsidRPr="00237638">
        <w:rPr>
          <w:rFonts w:cs="Times New Roman"/>
          <w:color w:val="222222"/>
          <w:szCs w:val="24"/>
          <w:shd w:val="clear" w:color="auto" w:fill="FFFFFF"/>
        </w:rPr>
        <w:t xml:space="preserve"> do Porto (Portugal)).</w:t>
      </w:r>
    </w:p>
    <w:p w14:paraId="3126E5E7"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lastRenderedPageBreak/>
        <w:t xml:space="preserve">Micallef, J., Grima, S., </w:t>
      </w:r>
      <w:proofErr w:type="spellStart"/>
      <w:r w:rsidRPr="00237638">
        <w:rPr>
          <w:rFonts w:cs="Times New Roman"/>
          <w:color w:val="222222"/>
          <w:szCs w:val="24"/>
          <w:shd w:val="clear" w:color="auto" w:fill="FFFFFF"/>
        </w:rPr>
        <w:t>Seychell</w:t>
      </w:r>
      <w:proofErr w:type="spellEnd"/>
      <w:r w:rsidRPr="00237638">
        <w:rPr>
          <w:rFonts w:cs="Times New Roman"/>
          <w:color w:val="222222"/>
          <w:szCs w:val="24"/>
          <w:shd w:val="clear" w:color="auto" w:fill="FFFFFF"/>
        </w:rPr>
        <w:t xml:space="preserve">, S., </w:t>
      </w:r>
      <w:proofErr w:type="spellStart"/>
      <w:r w:rsidRPr="00237638">
        <w:rPr>
          <w:rFonts w:cs="Times New Roman"/>
          <w:color w:val="222222"/>
          <w:szCs w:val="24"/>
          <w:shd w:val="clear" w:color="auto" w:fill="FFFFFF"/>
        </w:rPr>
        <w:t>Rupeika-Apoga</w:t>
      </w:r>
      <w:proofErr w:type="spellEnd"/>
      <w:r w:rsidRPr="00237638">
        <w:rPr>
          <w:rFonts w:cs="Times New Roman"/>
          <w:color w:val="222222"/>
          <w:szCs w:val="24"/>
          <w:shd w:val="clear" w:color="auto" w:fill="FFFFFF"/>
        </w:rPr>
        <w:t>, R. and Zammit, M.L., 2020. A study of the implications of the European Securitisation Regulation 2017/2402 on Malta. </w:t>
      </w:r>
      <w:r w:rsidRPr="00237638">
        <w:rPr>
          <w:rFonts w:cs="Times New Roman"/>
          <w:i/>
          <w:iCs/>
          <w:color w:val="222222"/>
          <w:szCs w:val="24"/>
          <w:shd w:val="clear" w:color="auto" w:fill="FFFFFF"/>
        </w:rPr>
        <w:t>Laws</w:t>
      </w:r>
      <w:r w:rsidRPr="00237638">
        <w:rPr>
          <w:rFonts w:cs="Times New Roman"/>
          <w:color w:val="222222"/>
          <w:szCs w:val="24"/>
          <w:shd w:val="clear" w:color="auto" w:fill="FFFFFF"/>
        </w:rPr>
        <w:t>, </w:t>
      </w:r>
      <w:r w:rsidRPr="00237638">
        <w:rPr>
          <w:rFonts w:cs="Times New Roman"/>
          <w:i/>
          <w:iCs/>
          <w:color w:val="222222"/>
          <w:szCs w:val="24"/>
          <w:shd w:val="clear" w:color="auto" w:fill="FFFFFF"/>
        </w:rPr>
        <w:t>9</w:t>
      </w:r>
      <w:r w:rsidRPr="00237638">
        <w:rPr>
          <w:rFonts w:cs="Times New Roman"/>
          <w:color w:val="222222"/>
          <w:szCs w:val="24"/>
          <w:shd w:val="clear" w:color="auto" w:fill="FFFFFF"/>
        </w:rPr>
        <w:t>(3), p.20.</w:t>
      </w:r>
    </w:p>
    <w:p w14:paraId="3C4E9E0B"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Minkov, M. and Kaasa, A., 2021. A test of Hofstede's model of culture following his own approach. </w:t>
      </w:r>
      <w:r w:rsidRPr="00237638">
        <w:rPr>
          <w:rFonts w:cs="Times New Roman"/>
          <w:i/>
          <w:iCs/>
          <w:color w:val="222222"/>
          <w:szCs w:val="24"/>
          <w:shd w:val="clear" w:color="auto" w:fill="FFFFFF"/>
        </w:rPr>
        <w:t>Cross Cultural &amp; Strategic Management</w:t>
      </w:r>
      <w:r w:rsidRPr="00237638">
        <w:rPr>
          <w:rFonts w:cs="Times New Roman"/>
          <w:color w:val="222222"/>
          <w:szCs w:val="24"/>
          <w:shd w:val="clear" w:color="auto" w:fill="FFFFFF"/>
        </w:rPr>
        <w:t>, </w:t>
      </w:r>
      <w:r w:rsidRPr="00237638">
        <w:rPr>
          <w:rFonts w:cs="Times New Roman"/>
          <w:i/>
          <w:iCs/>
          <w:color w:val="222222"/>
          <w:szCs w:val="24"/>
          <w:shd w:val="clear" w:color="auto" w:fill="FFFFFF"/>
        </w:rPr>
        <w:t>28</w:t>
      </w:r>
      <w:r w:rsidRPr="00237638">
        <w:rPr>
          <w:rFonts w:cs="Times New Roman"/>
          <w:color w:val="222222"/>
          <w:szCs w:val="24"/>
          <w:shd w:val="clear" w:color="auto" w:fill="FFFFFF"/>
        </w:rPr>
        <w:t>(2), pp.384-406.</w:t>
      </w:r>
    </w:p>
    <w:p w14:paraId="2F11DEA5" w14:textId="77777777" w:rsid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Schinzel, U., 2017. Three official languages in multicultural Luxembourg. </w:t>
      </w:r>
      <w:r w:rsidRPr="00237638">
        <w:rPr>
          <w:rFonts w:cs="Times New Roman"/>
          <w:i/>
          <w:iCs/>
          <w:color w:val="222222"/>
          <w:szCs w:val="24"/>
          <w:shd w:val="clear" w:color="auto" w:fill="FFFFFF"/>
        </w:rPr>
        <w:t>World Review of Entrepreneurship, Management and Sustainable Development</w:t>
      </w:r>
      <w:r w:rsidRPr="00237638">
        <w:rPr>
          <w:rFonts w:cs="Times New Roman"/>
          <w:color w:val="222222"/>
          <w:szCs w:val="24"/>
          <w:shd w:val="clear" w:color="auto" w:fill="FFFFFF"/>
        </w:rPr>
        <w:t>, </w:t>
      </w:r>
      <w:r w:rsidRPr="00237638">
        <w:rPr>
          <w:rFonts w:cs="Times New Roman"/>
          <w:i/>
          <w:iCs/>
          <w:color w:val="222222"/>
          <w:szCs w:val="24"/>
          <w:shd w:val="clear" w:color="auto" w:fill="FFFFFF"/>
        </w:rPr>
        <w:t>13</w:t>
      </w:r>
      <w:r w:rsidRPr="00237638">
        <w:rPr>
          <w:rFonts w:cs="Times New Roman"/>
          <w:color w:val="222222"/>
          <w:szCs w:val="24"/>
          <w:shd w:val="clear" w:color="auto" w:fill="FFFFFF"/>
        </w:rPr>
        <w:t>(5-6), pp.471-491.</w:t>
      </w:r>
    </w:p>
    <w:p w14:paraId="34178181" w14:textId="2D2E9957" w:rsidR="001D63C0" w:rsidRPr="001D63C0" w:rsidRDefault="001D63C0" w:rsidP="001D63C0">
      <w:pPr>
        <w:pStyle w:val="Bibliography"/>
        <w:spacing w:line="360" w:lineRule="auto"/>
        <w:jc w:val="both"/>
        <w:rPr>
          <w:noProof/>
        </w:rPr>
      </w:pPr>
      <w:r>
        <w:rPr>
          <w:noProof/>
        </w:rPr>
        <w:t xml:space="preserve">Statista.com, 2023. </w:t>
      </w:r>
      <w:r>
        <w:rPr>
          <w:i/>
          <w:iCs/>
          <w:noProof/>
        </w:rPr>
        <w:t xml:space="preserve">Number of foreigners in Luxembourg in 2023, by nationality. </w:t>
      </w:r>
      <w:r>
        <w:rPr>
          <w:noProof/>
        </w:rPr>
        <w:t xml:space="preserve">[Online] </w:t>
      </w:r>
      <w:r>
        <w:rPr>
          <w:noProof/>
        </w:rPr>
        <w:br/>
        <w:t xml:space="preserve">Available at: </w:t>
      </w:r>
      <w:r>
        <w:rPr>
          <w:noProof/>
          <w:u w:val="single"/>
        </w:rPr>
        <w:t>https://www.statista.com/statistics/584918/foreigners-in-luxembourg-by-nationality/#:~:text=In%202023%2C%20over%20313%2C000%20foreigners,as%20any%20of%20other%20nationality.</w:t>
      </w:r>
      <w:r>
        <w:rPr>
          <w:noProof/>
        </w:rPr>
        <w:br/>
        <w:t>[Accessed 28 November 2023].</w:t>
      </w:r>
    </w:p>
    <w:p w14:paraId="5B9720D4"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Stewart, A.J. and Valian, V., 2018. </w:t>
      </w:r>
      <w:r w:rsidRPr="00237638">
        <w:rPr>
          <w:rFonts w:cs="Times New Roman"/>
          <w:i/>
          <w:iCs/>
          <w:color w:val="222222"/>
          <w:szCs w:val="24"/>
          <w:shd w:val="clear" w:color="auto" w:fill="FFFFFF"/>
        </w:rPr>
        <w:t>An inclusive academy: Achieving diversity and excellence</w:t>
      </w:r>
      <w:r w:rsidRPr="00237638">
        <w:rPr>
          <w:rFonts w:cs="Times New Roman"/>
          <w:color w:val="222222"/>
          <w:szCs w:val="24"/>
          <w:shd w:val="clear" w:color="auto" w:fill="FFFFFF"/>
        </w:rPr>
        <w:t xml:space="preserve">. </w:t>
      </w:r>
      <w:proofErr w:type="spellStart"/>
      <w:r w:rsidRPr="00237638">
        <w:rPr>
          <w:rFonts w:cs="Times New Roman"/>
          <w:color w:val="222222"/>
          <w:szCs w:val="24"/>
          <w:shd w:val="clear" w:color="auto" w:fill="FFFFFF"/>
        </w:rPr>
        <w:t>Mit</w:t>
      </w:r>
      <w:proofErr w:type="spellEnd"/>
      <w:r w:rsidRPr="00237638">
        <w:rPr>
          <w:rFonts w:cs="Times New Roman"/>
          <w:color w:val="222222"/>
          <w:szCs w:val="24"/>
          <w:shd w:val="clear" w:color="auto" w:fill="FFFFFF"/>
        </w:rPr>
        <w:t xml:space="preserve"> Press.</w:t>
      </w:r>
    </w:p>
    <w:p w14:paraId="4FD34A65" w14:textId="77777777" w:rsidR="00237638" w:rsidRP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Vassallo, M. and Sciriha, L., 2021. English or Maltese? Language use among university students on social media platforms. </w:t>
      </w:r>
      <w:r w:rsidRPr="00237638">
        <w:rPr>
          <w:rFonts w:cs="Times New Roman"/>
          <w:i/>
          <w:iCs/>
          <w:color w:val="222222"/>
          <w:szCs w:val="24"/>
          <w:shd w:val="clear" w:color="auto" w:fill="FFFFFF"/>
        </w:rPr>
        <w:t>Token: A Journal of English Linguistics</w:t>
      </w:r>
      <w:r w:rsidRPr="00237638">
        <w:rPr>
          <w:rFonts w:cs="Times New Roman"/>
          <w:color w:val="222222"/>
          <w:szCs w:val="24"/>
          <w:shd w:val="clear" w:color="auto" w:fill="FFFFFF"/>
        </w:rPr>
        <w:t>, </w:t>
      </w:r>
      <w:r w:rsidRPr="00237638">
        <w:rPr>
          <w:rFonts w:cs="Times New Roman"/>
          <w:i/>
          <w:iCs/>
          <w:color w:val="222222"/>
          <w:szCs w:val="24"/>
          <w:shd w:val="clear" w:color="auto" w:fill="FFFFFF"/>
        </w:rPr>
        <w:t>13</w:t>
      </w:r>
      <w:r w:rsidRPr="00237638">
        <w:rPr>
          <w:rFonts w:cs="Times New Roman"/>
          <w:color w:val="222222"/>
          <w:szCs w:val="24"/>
          <w:shd w:val="clear" w:color="auto" w:fill="FFFFFF"/>
        </w:rPr>
        <w:t>.</w:t>
      </w:r>
    </w:p>
    <w:p w14:paraId="77D9D550" w14:textId="77777777" w:rsid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Vassallo, M.T. and Debono, M., 2020. Labouring behind closed doors: The working and living conditions of Filipino live-in care workers in Malta. In </w:t>
      </w:r>
      <w:r w:rsidRPr="00237638">
        <w:rPr>
          <w:rFonts w:cs="Times New Roman"/>
          <w:i/>
          <w:iCs/>
          <w:color w:val="222222"/>
          <w:szCs w:val="24"/>
          <w:shd w:val="clear" w:color="auto" w:fill="FFFFFF"/>
        </w:rPr>
        <w:t>Uncertainty and Challenges in Contemporary Economic Behaviour</w:t>
      </w:r>
      <w:r w:rsidRPr="00237638">
        <w:rPr>
          <w:rFonts w:cs="Times New Roman"/>
          <w:color w:val="222222"/>
          <w:szCs w:val="24"/>
          <w:shd w:val="clear" w:color="auto" w:fill="FFFFFF"/>
        </w:rPr>
        <w:t> (pp. 195-215). Emerald Publishing Limited.</w:t>
      </w:r>
    </w:p>
    <w:p w14:paraId="14EE88B7" w14:textId="77777777" w:rsidR="001D63C0" w:rsidRDefault="001D63C0" w:rsidP="001D63C0">
      <w:pPr>
        <w:pStyle w:val="Bibliography"/>
        <w:spacing w:line="360" w:lineRule="auto"/>
        <w:jc w:val="both"/>
        <w:rPr>
          <w:noProof/>
        </w:rPr>
      </w:pPr>
      <w:r>
        <w:rPr>
          <w:noProof/>
        </w:rPr>
        <w:t xml:space="preserve">Worldometers.info, 2023. </w:t>
      </w:r>
      <w:r>
        <w:rPr>
          <w:i/>
          <w:iCs/>
          <w:noProof/>
        </w:rPr>
        <w:t xml:space="preserve">Malta Population (LIVE). </w:t>
      </w:r>
      <w:r>
        <w:rPr>
          <w:noProof/>
        </w:rPr>
        <w:t xml:space="preserve">[Online] </w:t>
      </w:r>
      <w:r>
        <w:rPr>
          <w:noProof/>
        </w:rPr>
        <w:br/>
        <w:t xml:space="preserve">Available at: </w:t>
      </w:r>
      <w:r>
        <w:rPr>
          <w:noProof/>
          <w:u w:val="single"/>
        </w:rPr>
        <w:t>https://www.worldometers.info/world-population/malta-population/#google_vignette</w:t>
      </w:r>
      <w:r>
        <w:rPr>
          <w:noProof/>
        </w:rPr>
        <w:br/>
        <w:t>[Accessed 28 November 2023].</w:t>
      </w:r>
    </w:p>
    <w:p w14:paraId="7BBCCC17" w14:textId="75D20547" w:rsidR="001D63C0" w:rsidRPr="001D63C0" w:rsidRDefault="001D63C0" w:rsidP="001D63C0">
      <w:pPr>
        <w:pStyle w:val="Bibliography"/>
        <w:spacing w:line="360" w:lineRule="auto"/>
        <w:jc w:val="both"/>
        <w:rPr>
          <w:noProof/>
        </w:rPr>
      </w:pPr>
      <w:r>
        <w:rPr>
          <w:noProof/>
        </w:rPr>
        <w:t xml:space="preserve">Worldometers.info, 2023. </w:t>
      </w:r>
      <w:r>
        <w:rPr>
          <w:i/>
          <w:iCs/>
          <w:noProof/>
        </w:rPr>
        <w:t xml:space="preserve">U.K. Population (LIVE). </w:t>
      </w:r>
      <w:r>
        <w:rPr>
          <w:noProof/>
        </w:rPr>
        <w:t xml:space="preserve">[Online] </w:t>
      </w:r>
      <w:r>
        <w:rPr>
          <w:noProof/>
        </w:rPr>
        <w:br/>
        <w:t xml:space="preserve">Available at: </w:t>
      </w:r>
      <w:r>
        <w:rPr>
          <w:noProof/>
          <w:u w:val="single"/>
        </w:rPr>
        <w:t>https://www.worldometers.info/world-population/uk-population/</w:t>
      </w:r>
      <w:r>
        <w:rPr>
          <w:noProof/>
        </w:rPr>
        <w:br/>
        <w:t>[Accessed 28 November 2023]</w:t>
      </w:r>
    </w:p>
    <w:p w14:paraId="68E2F3FE" w14:textId="44A557A5" w:rsidR="00237638" w:rsidRDefault="00237638" w:rsidP="00237638">
      <w:pPr>
        <w:spacing w:line="360" w:lineRule="auto"/>
        <w:jc w:val="both"/>
        <w:rPr>
          <w:rFonts w:cs="Times New Roman"/>
          <w:color w:val="222222"/>
          <w:szCs w:val="24"/>
          <w:shd w:val="clear" w:color="auto" w:fill="FFFFFF"/>
        </w:rPr>
      </w:pPr>
      <w:r w:rsidRPr="00237638">
        <w:rPr>
          <w:rFonts w:cs="Times New Roman"/>
          <w:color w:val="222222"/>
          <w:szCs w:val="24"/>
          <w:shd w:val="clear" w:color="auto" w:fill="FFFFFF"/>
        </w:rPr>
        <w:t>Żammit, J., 2019. Verbal tense and aspect in the interlanguage of learners acquiring Maltese as a foreign language.</w:t>
      </w:r>
    </w:p>
    <w:p w14:paraId="6C0DE837" w14:textId="77777777" w:rsidR="001D63C0" w:rsidRDefault="001D63C0" w:rsidP="00237638">
      <w:pPr>
        <w:spacing w:line="360" w:lineRule="auto"/>
        <w:jc w:val="both"/>
        <w:rPr>
          <w:rFonts w:cs="Times New Roman"/>
          <w:color w:val="222222"/>
          <w:szCs w:val="24"/>
          <w:shd w:val="clear" w:color="auto" w:fill="FFFFFF"/>
        </w:rPr>
      </w:pPr>
    </w:p>
    <w:sectPr w:rsidR="001D63C0" w:rsidSect="000E7F97">
      <w:headerReference w:type="default" r:id="rId10"/>
      <w:head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75B13" w14:textId="77777777" w:rsidR="005F5A72" w:rsidRDefault="005F5A72" w:rsidP="00B263EC">
      <w:pPr>
        <w:spacing w:after="0" w:line="240" w:lineRule="auto"/>
      </w:pPr>
      <w:r>
        <w:separator/>
      </w:r>
    </w:p>
  </w:endnote>
  <w:endnote w:type="continuationSeparator" w:id="0">
    <w:p w14:paraId="5B9FBBCC" w14:textId="77777777" w:rsidR="005F5A72" w:rsidRDefault="005F5A72" w:rsidP="00B26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617AB" w14:textId="77777777" w:rsidR="005F5A72" w:rsidRDefault="005F5A72" w:rsidP="00B263EC">
      <w:pPr>
        <w:spacing w:after="0" w:line="240" w:lineRule="auto"/>
      </w:pPr>
      <w:r>
        <w:separator/>
      </w:r>
    </w:p>
  </w:footnote>
  <w:footnote w:type="continuationSeparator" w:id="0">
    <w:p w14:paraId="4C5701BA" w14:textId="77777777" w:rsidR="005F5A72" w:rsidRDefault="005F5A72" w:rsidP="00B26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817603"/>
      <w:docPartObj>
        <w:docPartGallery w:val="Page Numbers (Top of Page)"/>
        <w:docPartUnique/>
      </w:docPartObj>
    </w:sdtPr>
    <w:sdtEndPr>
      <w:rPr>
        <w:noProof/>
      </w:rPr>
    </w:sdtEndPr>
    <w:sdtContent>
      <w:p w14:paraId="3F1ABCEF" w14:textId="42F35CC2" w:rsidR="004A3BD2" w:rsidRDefault="004A3B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A90C47" w14:textId="77777777" w:rsidR="004A3BD2" w:rsidRDefault="004A3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0948356"/>
      <w:docPartObj>
        <w:docPartGallery w:val="Page Numbers (Top of Page)"/>
        <w:docPartUnique/>
      </w:docPartObj>
    </w:sdtPr>
    <w:sdtEndPr>
      <w:rPr>
        <w:noProof/>
      </w:rPr>
    </w:sdtEndPr>
    <w:sdtContent>
      <w:p w14:paraId="0F93244D" w14:textId="438B80A8" w:rsidR="00B263EC" w:rsidRDefault="00B263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BBC0F1" w14:textId="77777777" w:rsidR="00B263EC" w:rsidRDefault="00B26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7015C"/>
    <w:multiLevelType w:val="hybridMultilevel"/>
    <w:tmpl w:val="8F0C49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EB21733"/>
    <w:multiLevelType w:val="hybridMultilevel"/>
    <w:tmpl w:val="188E3D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B400F3"/>
    <w:multiLevelType w:val="hybridMultilevel"/>
    <w:tmpl w:val="311A2B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81646F0"/>
    <w:multiLevelType w:val="hybridMultilevel"/>
    <w:tmpl w:val="2E0CC7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D4D79D3"/>
    <w:multiLevelType w:val="hybridMultilevel"/>
    <w:tmpl w:val="BE24FB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059509E"/>
    <w:multiLevelType w:val="hybridMultilevel"/>
    <w:tmpl w:val="9250AD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74F6FF4"/>
    <w:multiLevelType w:val="hybridMultilevel"/>
    <w:tmpl w:val="854ADE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F7B5552"/>
    <w:multiLevelType w:val="hybridMultilevel"/>
    <w:tmpl w:val="9F74A3F8"/>
    <w:lvl w:ilvl="0" w:tplc="8FAAEA86">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85945458">
    <w:abstractNumId w:val="1"/>
  </w:num>
  <w:num w:numId="2" w16cid:durableId="1020862167">
    <w:abstractNumId w:val="3"/>
  </w:num>
  <w:num w:numId="3" w16cid:durableId="1551961996">
    <w:abstractNumId w:val="2"/>
  </w:num>
  <w:num w:numId="4" w16cid:durableId="69817684">
    <w:abstractNumId w:val="6"/>
  </w:num>
  <w:num w:numId="5" w16cid:durableId="1587567616">
    <w:abstractNumId w:val="0"/>
  </w:num>
  <w:num w:numId="6" w16cid:durableId="685526296">
    <w:abstractNumId w:val="5"/>
  </w:num>
  <w:num w:numId="7" w16cid:durableId="546139432">
    <w:abstractNumId w:val="4"/>
  </w:num>
  <w:num w:numId="8" w16cid:durableId="10491122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22"/>
    <w:rsid w:val="00025729"/>
    <w:rsid w:val="00040D09"/>
    <w:rsid w:val="0004478A"/>
    <w:rsid w:val="00052AB1"/>
    <w:rsid w:val="00073A65"/>
    <w:rsid w:val="00075548"/>
    <w:rsid w:val="00081773"/>
    <w:rsid w:val="000919C1"/>
    <w:rsid w:val="00095167"/>
    <w:rsid w:val="000A5E39"/>
    <w:rsid w:val="000C21D3"/>
    <w:rsid w:val="000E158D"/>
    <w:rsid w:val="000E4F66"/>
    <w:rsid w:val="000E7F97"/>
    <w:rsid w:val="00103E22"/>
    <w:rsid w:val="001071AB"/>
    <w:rsid w:val="00112BBE"/>
    <w:rsid w:val="001159C1"/>
    <w:rsid w:val="00142D92"/>
    <w:rsid w:val="00166D0B"/>
    <w:rsid w:val="0017613D"/>
    <w:rsid w:val="001804D0"/>
    <w:rsid w:val="00190921"/>
    <w:rsid w:val="001D63C0"/>
    <w:rsid w:val="001E4662"/>
    <w:rsid w:val="001E5876"/>
    <w:rsid w:val="001F578D"/>
    <w:rsid w:val="00211C82"/>
    <w:rsid w:val="00237638"/>
    <w:rsid w:val="00247A48"/>
    <w:rsid w:val="00255570"/>
    <w:rsid w:val="002564ED"/>
    <w:rsid w:val="00264BEF"/>
    <w:rsid w:val="002B165C"/>
    <w:rsid w:val="002B3AEA"/>
    <w:rsid w:val="002B4EEB"/>
    <w:rsid w:val="002C3F98"/>
    <w:rsid w:val="002E2AD7"/>
    <w:rsid w:val="002F2892"/>
    <w:rsid w:val="00311D23"/>
    <w:rsid w:val="00314D4C"/>
    <w:rsid w:val="00334FA9"/>
    <w:rsid w:val="003435A5"/>
    <w:rsid w:val="00353DC9"/>
    <w:rsid w:val="00374D82"/>
    <w:rsid w:val="00382AFF"/>
    <w:rsid w:val="003B64F5"/>
    <w:rsid w:val="003E7214"/>
    <w:rsid w:val="003F164D"/>
    <w:rsid w:val="00405B11"/>
    <w:rsid w:val="0041067C"/>
    <w:rsid w:val="004842FB"/>
    <w:rsid w:val="004923AC"/>
    <w:rsid w:val="00494126"/>
    <w:rsid w:val="004A3BD2"/>
    <w:rsid w:val="004A54FC"/>
    <w:rsid w:val="004D1959"/>
    <w:rsid w:val="004D1CF9"/>
    <w:rsid w:val="004E541B"/>
    <w:rsid w:val="004F04AD"/>
    <w:rsid w:val="004F1948"/>
    <w:rsid w:val="004F4943"/>
    <w:rsid w:val="004F7E29"/>
    <w:rsid w:val="00530B13"/>
    <w:rsid w:val="00566141"/>
    <w:rsid w:val="005669C7"/>
    <w:rsid w:val="00572439"/>
    <w:rsid w:val="005A7C76"/>
    <w:rsid w:val="005B7545"/>
    <w:rsid w:val="005F5A72"/>
    <w:rsid w:val="0061332C"/>
    <w:rsid w:val="006451DB"/>
    <w:rsid w:val="00646DCB"/>
    <w:rsid w:val="00647812"/>
    <w:rsid w:val="006661DD"/>
    <w:rsid w:val="006767F0"/>
    <w:rsid w:val="00676E14"/>
    <w:rsid w:val="00681489"/>
    <w:rsid w:val="00682DF4"/>
    <w:rsid w:val="00692B7C"/>
    <w:rsid w:val="006950BB"/>
    <w:rsid w:val="006C1DC1"/>
    <w:rsid w:val="006D0FD2"/>
    <w:rsid w:val="006E0962"/>
    <w:rsid w:val="006E5326"/>
    <w:rsid w:val="006E6876"/>
    <w:rsid w:val="00726043"/>
    <w:rsid w:val="00732419"/>
    <w:rsid w:val="0074612F"/>
    <w:rsid w:val="007654C2"/>
    <w:rsid w:val="00777022"/>
    <w:rsid w:val="0079563D"/>
    <w:rsid w:val="007A2EFA"/>
    <w:rsid w:val="007D250D"/>
    <w:rsid w:val="007E3310"/>
    <w:rsid w:val="007E714E"/>
    <w:rsid w:val="00820208"/>
    <w:rsid w:val="0082742B"/>
    <w:rsid w:val="00833EA9"/>
    <w:rsid w:val="00843B22"/>
    <w:rsid w:val="0088199D"/>
    <w:rsid w:val="008824BE"/>
    <w:rsid w:val="00883B2C"/>
    <w:rsid w:val="008914ED"/>
    <w:rsid w:val="008D1A57"/>
    <w:rsid w:val="008E2AD2"/>
    <w:rsid w:val="008E786F"/>
    <w:rsid w:val="00901FE2"/>
    <w:rsid w:val="0090400E"/>
    <w:rsid w:val="00920844"/>
    <w:rsid w:val="00953870"/>
    <w:rsid w:val="009750D5"/>
    <w:rsid w:val="0099030C"/>
    <w:rsid w:val="009C75FE"/>
    <w:rsid w:val="009D62BD"/>
    <w:rsid w:val="009F7201"/>
    <w:rsid w:val="00A139BF"/>
    <w:rsid w:val="00A262F4"/>
    <w:rsid w:val="00A503FC"/>
    <w:rsid w:val="00A77313"/>
    <w:rsid w:val="00A90B29"/>
    <w:rsid w:val="00A93606"/>
    <w:rsid w:val="00AB6632"/>
    <w:rsid w:val="00AD1843"/>
    <w:rsid w:val="00B0089B"/>
    <w:rsid w:val="00B07238"/>
    <w:rsid w:val="00B252E5"/>
    <w:rsid w:val="00B263EC"/>
    <w:rsid w:val="00B3422C"/>
    <w:rsid w:val="00B4393D"/>
    <w:rsid w:val="00B4744D"/>
    <w:rsid w:val="00B52411"/>
    <w:rsid w:val="00B636C6"/>
    <w:rsid w:val="00B73A37"/>
    <w:rsid w:val="00BE7B38"/>
    <w:rsid w:val="00C2205B"/>
    <w:rsid w:val="00CB0AFA"/>
    <w:rsid w:val="00CD7E43"/>
    <w:rsid w:val="00CE339A"/>
    <w:rsid w:val="00CF3B19"/>
    <w:rsid w:val="00D165F5"/>
    <w:rsid w:val="00D3475A"/>
    <w:rsid w:val="00D34C8C"/>
    <w:rsid w:val="00D3676F"/>
    <w:rsid w:val="00D40848"/>
    <w:rsid w:val="00D50609"/>
    <w:rsid w:val="00D61C9C"/>
    <w:rsid w:val="00D71D4B"/>
    <w:rsid w:val="00D80B95"/>
    <w:rsid w:val="00D83019"/>
    <w:rsid w:val="00DB40B6"/>
    <w:rsid w:val="00DB6C29"/>
    <w:rsid w:val="00DB6C9A"/>
    <w:rsid w:val="00DF4EEB"/>
    <w:rsid w:val="00E22417"/>
    <w:rsid w:val="00E23EFF"/>
    <w:rsid w:val="00E511AB"/>
    <w:rsid w:val="00E65787"/>
    <w:rsid w:val="00ED396A"/>
    <w:rsid w:val="00ED4CB6"/>
    <w:rsid w:val="00F07ADD"/>
    <w:rsid w:val="00F41AA3"/>
    <w:rsid w:val="00F54E6F"/>
    <w:rsid w:val="00F733CF"/>
    <w:rsid w:val="00F93DD3"/>
    <w:rsid w:val="00F9456F"/>
    <w:rsid w:val="00FB1026"/>
    <w:rsid w:val="00FC7C76"/>
    <w:rsid w:val="00FE4976"/>
    <w:rsid w:val="00FE7CF1"/>
    <w:rsid w:val="00FF4C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86B46"/>
  <w15:chartTrackingRefBased/>
  <w15:docId w15:val="{BBAAAAD0-91E4-4A9C-833D-10BD6AEA1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4ED"/>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311D23"/>
    <w:pPr>
      <w:keepNext/>
      <w:keepLines/>
      <w:spacing w:before="240" w:after="0" w:line="360" w:lineRule="auto"/>
      <w:jc w:val="both"/>
      <w:outlineLvl w:val="0"/>
    </w:pPr>
    <w:rPr>
      <w:rFonts w:eastAsiaTheme="majorEastAsia" w:cstheme="majorBidi"/>
      <w:b/>
      <w:color w:val="2F5496" w:themeColor="accent1" w:themeShade="BF"/>
      <w:szCs w:val="32"/>
      <w:lang w:val="en-IN"/>
    </w:rPr>
  </w:style>
  <w:style w:type="paragraph" w:styleId="Heading2">
    <w:name w:val="heading 2"/>
    <w:basedOn w:val="Normal"/>
    <w:next w:val="Normal"/>
    <w:link w:val="Heading2Char"/>
    <w:uiPriority w:val="9"/>
    <w:unhideWhenUsed/>
    <w:qFormat/>
    <w:rsid w:val="00777022"/>
    <w:pPr>
      <w:keepNext/>
      <w:keepLines/>
      <w:spacing w:before="40" w:after="0" w:line="360" w:lineRule="auto"/>
      <w:outlineLvl w:val="1"/>
    </w:pPr>
    <w:rPr>
      <w:rFonts w:eastAsiaTheme="majorEastAsia" w:cstheme="majorBidi"/>
      <w:b/>
      <w:color w:val="000000" w:themeColor="text1"/>
      <w:kern w:val="2"/>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D23"/>
    <w:rPr>
      <w:rFonts w:ascii="Times New Roman" w:eastAsiaTheme="majorEastAsia" w:hAnsi="Times New Roman" w:cstheme="majorBidi"/>
      <w:b/>
      <w:color w:val="2F5496" w:themeColor="accent1" w:themeShade="BF"/>
      <w:kern w:val="0"/>
      <w:sz w:val="24"/>
      <w:szCs w:val="32"/>
      <w14:ligatures w14:val="none"/>
    </w:rPr>
  </w:style>
  <w:style w:type="character" w:customStyle="1" w:styleId="Heading2Char">
    <w:name w:val="Heading 2 Char"/>
    <w:basedOn w:val="DefaultParagraphFont"/>
    <w:link w:val="Heading2"/>
    <w:uiPriority w:val="9"/>
    <w:rsid w:val="00777022"/>
    <w:rPr>
      <w:rFonts w:ascii="Times New Roman" w:eastAsiaTheme="majorEastAsia" w:hAnsi="Times New Roman" w:cstheme="majorBidi"/>
      <w:b/>
      <w:color w:val="000000" w:themeColor="text1"/>
      <w:sz w:val="24"/>
      <w:szCs w:val="26"/>
      <w:lang w:val="en-GB"/>
    </w:rPr>
  </w:style>
  <w:style w:type="paragraph" w:styleId="NoSpacing">
    <w:name w:val="No Spacing"/>
    <w:link w:val="NoSpacingChar"/>
    <w:uiPriority w:val="1"/>
    <w:qFormat/>
    <w:rsid w:val="00B263E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263EC"/>
    <w:rPr>
      <w:rFonts w:eastAsiaTheme="minorEastAsia"/>
      <w:kern w:val="0"/>
      <w:lang w:val="en-US"/>
      <w14:ligatures w14:val="none"/>
    </w:rPr>
  </w:style>
  <w:style w:type="paragraph" w:styleId="Header">
    <w:name w:val="header"/>
    <w:basedOn w:val="Normal"/>
    <w:link w:val="HeaderChar"/>
    <w:uiPriority w:val="99"/>
    <w:unhideWhenUsed/>
    <w:rsid w:val="00B26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EC"/>
    <w:rPr>
      <w:rFonts w:ascii="Times New Roman" w:hAnsi="Times New Roman"/>
      <w:kern w:val="0"/>
      <w:sz w:val="24"/>
      <w:lang w:val="en-GB"/>
      <w14:ligatures w14:val="none"/>
    </w:rPr>
  </w:style>
  <w:style w:type="paragraph" w:styleId="Footer">
    <w:name w:val="footer"/>
    <w:basedOn w:val="Normal"/>
    <w:link w:val="FooterChar"/>
    <w:uiPriority w:val="99"/>
    <w:unhideWhenUsed/>
    <w:rsid w:val="00B26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EC"/>
    <w:rPr>
      <w:rFonts w:ascii="Times New Roman" w:hAnsi="Times New Roman"/>
      <w:kern w:val="0"/>
      <w:sz w:val="24"/>
      <w:lang w:val="en-GB"/>
      <w14:ligatures w14:val="none"/>
    </w:rPr>
  </w:style>
  <w:style w:type="paragraph" w:styleId="ListParagraph">
    <w:name w:val="List Paragraph"/>
    <w:basedOn w:val="Normal"/>
    <w:uiPriority w:val="34"/>
    <w:qFormat/>
    <w:rsid w:val="0017613D"/>
    <w:pPr>
      <w:ind w:left="720"/>
      <w:contextualSpacing/>
    </w:pPr>
  </w:style>
  <w:style w:type="paragraph" w:styleId="Bibliography">
    <w:name w:val="Bibliography"/>
    <w:basedOn w:val="Normal"/>
    <w:next w:val="Normal"/>
    <w:uiPriority w:val="37"/>
    <w:unhideWhenUsed/>
    <w:rsid w:val="00237638"/>
  </w:style>
  <w:style w:type="paragraph" w:styleId="TOCHeading">
    <w:name w:val="TOC Heading"/>
    <w:basedOn w:val="Heading1"/>
    <w:next w:val="Normal"/>
    <w:uiPriority w:val="39"/>
    <w:unhideWhenUsed/>
    <w:qFormat/>
    <w:rsid w:val="001159C1"/>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159C1"/>
    <w:pPr>
      <w:spacing w:after="100"/>
    </w:pPr>
  </w:style>
  <w:style w:type="character" w:styleId="Hyperlink">
    <w:name w:val="Hyperlink"/>
    <w:basedOn w:val="DefaultParagraphFont"/>
    <w:uiPriority w:val="99"/>
    <w:unhideWhenUsed/>
    <w:rsid w:val="001159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96730">
      <w:bodyDiv w:val="1"/>
      <w:marLeft w:val="0"/>
      <w:marRight w:val="0"/>
      <w:marTop w:val="0"/>
      <w:marBottom w:val="0"/>
      <w:divBdr>
        <w:top w:val="none" w:sz="0" w:space="0" w:color="auto"/>
        <w:left w:val="none" w:sz="0" w:space="0" w:color="auto"/>
        <w:bottom w:val="none" w:sz="0" w:space="0" w:color="auto"/>
        <w:right w:val="none" w:sz="0" w:space="0" w:color="auto"/>
      </w:divBdr>
    </w:div>
    <w:div w:id="295991912">
      <w:bodyDiv w:val="1"/>
      <w:marLeft w:val="0"/>
      <w:marRight w:val="0"/>
      <w:marTop w:val="0"/>
      <w:marBottom w:val="0"/>
      <w:divBdr>
        <w:top w:val="none" w:sz="0" w:space="0" w:color="auto"/>
        <w:left w:val="none" w:sz="0" w:space="0" w:color="auto"/>
        <w:bottom w:val="none" w:sz="0" w:space="0" w:color="auto"/>
        <w:right w:val="none" w:sz="0" w:space="0" w:color="auto"/>
      </w:divBdr>
    </w:div>
    <w:div w:id="813181861">
      <w:bodyDiv w:val="1"/>
      <w:marLeft w:val="0"/>
      <w:marRight w:val="0"/>
      <w:marTop w:val="0"/>
      <w:marBottom w:val="0"/>
      <w:divBdr>
        <w:top w:val="none" w:sz="0" w:space="0" w:color="auto"/>
        <w:left w:val="none" w:sz="0" w:space="0" w:color="auto"/>
        <w:bottom w:val="none" w:sz="0" w:space="0" w:color="auto"/>
        <w:right w:val="none" w:sz="0" w:space="0" w:color="auto"/>
      </w:divBdr>
    </w:div>
    <w:div w:id="841700506">
      <w:bodyDiv w:val="1"/>
      <w:marLeft w:val="0"/>
      <w:marRight w:val="0"/>
      <w:marTop w:val="0"/>
      <w:marBottom w:val="0"/>
      <w:divBdr>
        <w:top w:val="none" w:sz="0" w:space="0" w:color="auto"/>
        <w:left w:val="none" w:sz="0" w:space="0" w:color="auto"/>
        <w:bottom w:val="none" w:sz="0" w:space="0" w:color="auto"/>
        <w:right w:val="none" w:sz="0" w:space="0" w:color="auto"/>
      </w:divBdr>
    </w:div>
    <w:div w:id="862404962">
      <w:bodyDiv w:val="1"/>
      <w:marLeft w:val="0"/>
      <w:marRight w:val="0"/>
      <w:marTop w:val="0"/>
      <w:marBottom w:val="0"/>
      <w:divBdr>
        <w:top w:val="none" w:sz="0" w:space="0" w:color="auto"/>
        <w:left w:val="none" w:sz="0" w:space="0" w:color="auto"/>
        <w:bottom w:val="none" w:sz="0" w:space="0" w:color="auto"/>
        <w:right w:val="none" w:sz="0" w:space="0" w:color="auto"/>
      </w:divBdr>
    </w:div>
    <w:div w:id="866718465">
      <w:bodyDiv w:val="1"/>
      <w:marLeft w:val="0"/>
      <w:marRight w:val="0"/>
      <w:marTop w:val="0"/>
      <w:marBottom w:val="0"/>
      <w:divBdr>
        <w:top w:val="none" w:sz="0" w:space="0" w:color="auto"/>
        <w:left w:val="none" w:sz="0" w:space="0" w:color="auto"/>
        <w:bottom w:val="none" w:sz="0" w:space="0" w:color="auto"/>
        <w:right w:val="none" w:sz="0" w:space="0" w:color="auto"/>
      </w:divBdr>
    </w:div>
    <w:div w:id="1022393032">
      <w:bodyDiv w:val="1"/>
      <w:marLeft w:val="0"/>
      <w:marRight w:val="0"/>
      <w:marTop w:val="0"/>
      <w:marBottom w:val="0"/>
      <w:divBdr>
        <w:top w:val="none" w:sz="0" w:space="0" w:color="auto"/>
        <w:left w:val="none" w:sz="0" w:space="0" w:color="auto"/>
        <w:bottom w:val="none" w:sz="0" w:space="0" w:color="auto"/>
        <w:right w:val="none" w:sz="0" w:space="0" w:color="auto"/>
      </w:divBdr>
    </w:div>
    <w:div w:id="1122261223">
      <w:bodyDiv w:val="1"/>
      <w:marLeft w:val="0"/>
      <w:marRight w:val="0"/>
      <w:marTop w:val="0"/>
      <w:marBottom w:val="0"/>
      <w:divBdr>
        <w:top w:val="none" w:sz="0" w:space="0" w:color="auto"/>
        <w:left w:val="none" w:sz="0" w:space="0" w:color="auto"/>
        <w:bottom w:val="none" w:sz="0" w:space="0" w:color="auto"/>
        <w:right w:val="none" w:sz="0" w:space="0" w:color="auto"/>
      </w:divBdr>
    </w:div>
    <w:div w:id="1192839998">
      <w:bodyDiv w:val="1"/>
      <w:marLeft w:val="0"/>
      <w:marRight w:val="0"/>
      <w:marTop w:val="0"/>
      <w:marBottom w:val="0"/>
      <w:divBdr>
        <w:top w:val="none" w:sz="0" w:space="0" w:color="auto"/>
        <w:left w:val="none" w:sz="0" w:space="0" w:color="auto"/>
        <w:bottom w:val="none" w:sz="0" w:space="0" w:color="auto"/>
        <w:right w:val="none" w:sz="0" w:space="0" w:color="auto"/>
      </w:divBdr>
    </w:div>
    <w:div w:id="1852602129">
      <w:bodyDiv w:val="1"/>
      <w:marLeft w:val="0"/>
      <w:marRight w:val="0"/>
      <w:marTop w:val="0"/>
      <w:marBottom w:val="0"/>
      <w:divBdr>
        <w:top w:val="none" w:sz="0" w:space="0" w:color="auto"/>
        <w:left w:val="none" w:sz="0" w:space="0" w:color="auto"/>
        <w:bottom w:val="none" w:sz="0" w:space="0" w:color="auto"/>
        <w:right w:val="none" w:sz="0" w:space="0" w:color="auto"/>
      </w:divBdr>
    </w:div>
    <w:div w:id="1904834086">
      <w:bodyDiv w:val="1"/>
      <w:marLeft w:val="0"/>
      <w:marRight w:val="0"/>
      <w:marTop w:val="0"/>
      <w:marBottom w:val="0"/>
      <w:divBdr>
        <w:top w:val="none" w:sz="0" w:space="0" w:color="auto"/>
        <w:left w:val="none" w:sz="0" w:space="0" w:color="auto"/>
        <w:bottom w:val="none" w:sz="0" w:space="0" w:color="auto"/>
        <w:right w:val="none" w:sz="0" w:space="0" w:color="auto"/>
      </w:divBdr>
    </w:div>
    <w:div w:id="2024700109">
      <w:bodyDiv w:val="1"/>
      <w:marLeft w:val="0"/>
      <w:marRight w:val="0"/>
      <w:marTop w:val="0"/>
      <w:marBottom w:val="0"/>
      <w:divBdr>
        <w:top w:val="none" w:sz="0" w:space="0" w:color="auto"/>
        <w:left w:val="none" w:sz="0" w:space="0" w:color="auto"/>
        <w:bottom w:val="none" w:sz="0" w:space="0" w:color="auto"/>
        <w:right w:val="none" w:sz="0" w:space="0" w:color="auto"/>
      </w:divBdr>
    </w:div>
    <w:div w:id="204350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Com2314</b:Tag>
    <b:SourceType>InternetSite</b:SourceType>
    <b:Guid>{35F174A2-034E-4656-8549-5EDE0621AE15}</b:Guid>
    <b:Author>
      <b:Author>
        <b:Corporate>Commonslibrary.parliament.uk</b:Corporate>
      </b:Author>
    </b:Author>
    <b:Title>GDP – International Comparisons: Key Economic Indicators</b:Title>
    <b:Year>2023</b:Year>
    <b:YearAccessed>2023</b:YearAccessed>
    <b:MonthAccessed>2023</b:MonthAccessed>
    <b:DayAccessed>November</b:DayAccessed>
    <b:URL>https://commonslibrary.parliament.uk/research-briefings/sn02784/#:~:text=The%20IMF%20said%20that%20global,2024%20(down%20from%201.0%25).</b:URL>
    <b:RefOrder>1</b:RefOrder>
  </b:Source>
  <b:Source>
    <b:Tag>Wor2314</b:Tag>
    <b:SourceType>InternetSite</b:SourceType>
    <b:Guid>{5B84C064-8A18-4095-BB5B-B16AE7208AAF}</b:Guid>
    <b:Author>
      <b:Author>
        <b:Corporate>Worldometers.info</b:Corporate>
      </b:Author>
    </b:Author>
    <b:Title>U.K. Population (LIVE)</b:Title>
    <b:Year>2023</b:Year>
    <b:YearAccessed>2023</b:YearAccessed>
    <b:MonthAccessed>November</b:MonthAccessed>
    <b:DayAccessed>28</b:DayAccessed>
    <b:URL>https://www.worldometers.info/world-population/uk-population/</b:URL>
    <b:RefOrder>2</b:RefOrder>
  </b:Source>
  <b:Source>
    <b:Tag>Tef22</b:Tag>
    <b:SourceType>InternetSite</b:SourceType>
    <b:Guid>{BF16A06F-D495-4149-8591-BB8801263D3E}</b:Guid>
    <b:Author>
      <b:Author>
        <b:NameList>
          <b:Person>
            <b:Last>Alonso</b:Last>
            <b:First>Tefi</b:First>
          </b:Person>
        </b:NameList>
      </b:Author>
    </b:Author>
    <b:Title>How Diageo Became One Of The World's Largest Alcohol Producers</b:Title>
    <b:Year>2022</b:Year>
    <b:YearAccessed>2023</b:YearAccessed>
    <b:MonthAccessed>November</b:MonthAccessed>
    <b:DayAccessed>28</b:DayAccessed>
    <b:URL>https://www.cascade.app/studies/diageo-strategy-study</b:URL>
    <b:RefOrder>3</b:RefOrder>
  </b:Source>
  <b:Source>
    <b:Tag>Mac2321</b:Tag>
    <b:SourceType>InternetSite</b:SourceType>
    <b:Guid>{4641D21C-77A5-44F8-9C55-B07827B87C3D}</b:Guid>
    <b:Author>
      <b:Author>
        <b:Corporate>Macrotrends.net</b:Corporate>
      </b:Author>
    </b:Author>
    <b:Title>Diageo: Number of Employees 2010-2023 | DEO</b:Title>
    <b:Year>2023</b:Year>
    <b:YearAccessed>2023</b:YearAccessed>
    <b:MonthAccessed>November</b:MonthAccessed>
    <b:DayAccessed>28</b:DayAccessed>
    <b:URL>https://www.macrotrends.net/stocks/charts/DEO/diageo/number-of-employees#:~:text=Diageo%20total%20number%20of%20employees,a%203.1%25%20decline%20from%202019.</b:URL>
    <b:RefOrder>4</b:RefOrder>
  </b:Source>
  <b:Source>
    <b:Tag>Jan231</b:Tag>
    <b:SourceType>InternetSite</b:SourceType>
    <b:Guid>{FE46F0A0-F16C-4BDC-AA6A-DE05DFD15C27}</b:Guid>
    <b:Author>
      <b:Author>
        <b:NameList>
          <b:Person>
            <b:Last>Conway</b:Last>
            <b:First>Jan</b:First>
          </b:Person>
        </b:NameList>
      </b:Author>
    </b:Author>
    <b:Title>Net sales of Diageo worldwide from 2013 to 2023 (in million GBP)*</b:Title>
    <b:Year>2023</b:Year>
    <b:YearAccessed>2023</b:YearAccessed>
    <b:MonthAccessed>November</b:MonthAccessed>
    <b:DayAccessed>28</b:DayAccessed>
    <b:URL>https://www.statista.com/statistics/398427/net-sales-of-diageo-worldwide/#:~:text=Diageo's%20global%20net%20sales%20amounted,over%20the%20previous%20year's%20figure.&amp;text=Diageo%20is%20operating%20in%20the,Baileys%20liqueur%20and%20Guinness%20stout.</b:URL>
    <b:RefOrder>5</b:RefOrder>
  </b:Source>
  <b:Source>
    <b:Tag>Wor2315</b:Tag>
    <b:SourceType>InternetSite</b:SourceType>
    <b:Guid>{FB4022CB-C477-414C-9207-E754C2D6901F}</b:Guid>
    <b:Author>
      <b:Author>
        <b:Corporate>Worldometers.info</b:Corporate>
      </b:Author>
    </b:Author>
    <b:Title>Malta Population (LIVE)</b:Title>
    <b:Year>2023</b:Year>
    <b:YearAccessed>2023</b:YearAccessed>
    <b:MonthAccessed>November</b:MonthAccessed>
    <b:DayAccessed>28</b:DayAccessed>
    <b:URL>https://www.worldometers.info/world-population/malta-population/#google_vignette</b:URL>
    <b:RefOrder>6</b:RefOrder>
  </b:Source>
  <b:Source>
    <b:Tag>Hof236</b:Tag>
    <b:SourceType>InternetSite</b:SourceType>
    <b:Guid>{FFA975F2-262B-48D2-AB08-3DF93338C5C6}</b:Guid>
    <b:Author>
      <b:Author>
        <b:Corporate>Hofstede-insights.com</b:Corporate>
      </b:Author>
    </b:Author>
    <b:Title>COUNTRY COMPARISON TOOL</b:Title>
    <b:Year>2023</b:Year>
    <b:YearAccessed>2023</b:YearAccessed>
    <b:MonthAccessed>November</b:MonthAccessed>
    <b:DayAccessed>28</b:DayAccessed>
    <b:URL>https://www.hofstede-insights.com/country-comparison-tool?countries=luxembourg%2Cmalta</b:URL>
    <b:RefOrder>7</b:RefOrder>
  </b:Source>
  <b:Source>
    <b:Tag>Num23</b:Tag>
    <b:SourceType>InternetSite</b:SourceType>
    <b:Guid>{D9A35CD9-8FD3-4BBF-BB87-7FF38E3851FA}</b:Guid>
    <b:Title>Number of foreigners in Luxembourg in 2023, by nationality</b:Title>
    <b:Year>2023</b:Year>
    <b:YearAccessed>2023</b:YearAccessed>
    <b:MonthAccessed>November</b:MonthAccessed>
    <b:DayAccessed>28</b:DayAccessed>
    <b:URL>https://www.statista.com/statistics/584918/foreigners-in-luxembourg-by-nationality/#:~:text=In%202023%2C%20over%20313%2C000%20foreigners,as%20any%20of%20other%20nationality.</b:URL>
    <b:Author>
      <b:Author>
        <b:Corporate>Statista.com</b:Corporate>
      </b:Author>
    </b:Author>
    <b:RefOrder>8</b:RefOrder>
  </b:Source>
</b:Sources>
</file>

<file path=customXml/itemProps1.xml><?xml version="1.0" encoding="utf-8"?>
<ds:datastoreItem xmlns:ds="http://schemas.openxmlformats.org/officeDocument/2006/customXml" ds:itemID="{9644BE3A-F675-4F7B-9144-BD3E7E53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3943</Words>
  <Characters>22477</Characters>
  <Application>Microsoft Office Word</Application>
  <DocSecurity>0</DocSecurity>
  <Lines>187</Lines>
  <Paragraphs>52</Paragraphs>
  <ScaleCrop>false</ScaleCrop>
  <Company/>
  <LinksUpToDate>false</LinksUpToDate>
  <CharactersWithSpaces>26368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Stoyanov</dc:creator>
  <cp:lastModifiedBy>Ivan Stoyanov</cp:lastModifiedBy>
  <cp:revision>2</cp:revision>
  <dcterms:created xsi:type="dcterms:W3CDTF">2023-12-22T19:03:00Z</dcterms:created>
  <dcterms:modified xsi:type="dcterms:W3CDTF">2023-12-22T19:03:00Z</dcterms:modified>
</cp:coreProperties>
</file>