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05CDABB" w14:textId="77777777" w:rsidR="00527877" w:rsidRDefault="00527877">
      <w:pPr>
        <w:rPr>
          <w:rFonts w:ascii="Times New Roman" w:eastAsiaTheme="majorEastAsia" w:hAnsi="Times New Roman" w:cstheme="majorBidi"/>
          <w:b/>
          <w:kern w:val="0"/>
          <w:sz w:val="32"/>
          <w:szCs w:val="32"/>
          <w14:ligatures w14:val="none"/>
        </w:rPr>
      </w:pPr>
    </w:p>
    <w:p w14:paraId="7AD010AE" w14:textId="6D39612D" w:rsidR="00737067" w:rsidRPr="0098251F" w:rsidRDefault="00681735" w:rsidP="00737067">
      <w:pPr>
        <w:jc w:val="center"/>
        <w:rPr>
          <w:rFonts w:ascii="Times New Roman" w:eastAsiaTheme="majorEastAsia" w:hAnsi="Times New Roman" w:cs="Times New Roman"/>
          <w:b/>
          <w:spacing w:val="20"/>
          <w:kern w:val="0"/>
          <w:sz w:val="32"/>
          <w:szCs w:val="32"/>
          <w14:ligatures w14:val="none"/>
        </w:rPr>
      </w:pPr>
      <w:r w:rsidRPr="0098251F">
        <w:rPr>
          <w:rFonts w:ascii="Times New Roman" w:eastAsiaTheme="majorEastAsia" w:hAnsi="Times New Roman" w:cs="Times New Roman"/>
          <w:b/>
          <w:spacing w:val="20"/>
          <w:kern w:val="0"/>
          <w:sz w:val="32"/>
          <w:szCs w:val="32"/>
          <w14:ligatures w14:val="none"/>
        </w:rPr>
        <w:t>TECHNOLOGICAL INNOVATION AND STRATEGIC BUSINESS GROWTH</w:t>
      </w:r>
      <w:r>
        <w:rPr>
          <w:rFonts w:ascii="Times New Roman" w:eastAsiaTheme="majorEastAsia" w:hAnsi="Times New Roman" w:cs="Times New Roman"/>
          <w:b/>
          <w:spacing w:val="20"/>
          <w:kern w:val="0"/>
          <w:sz w:val="32"/>
          <w:szCs w:val="32"/>
          <w14:ligatures w14:val="none"/>
        </w:rPr>
        <w:t>: A COMPARATIVE STUDY OF HEALTHCARE AND FINANCIAL SERVICES</w:t>
      </w:r>
    </w:p>
    <w:p w14:paraId="54272809" w14:textId="77777777" w:rsidR="00737067" w:rsidRDefault="00737067">
      <w:pPr>
        <w:rPr>
          <w:rFonts w:ascii="Times New Roman" w:eastAsiaTheme="majorEastAsia" w:hAnsi="Times New Roman" w:cstheme="majorBidi"/>
          <w:b/>
          <w:kern w:val="0"/>
          <w:sz w:val="32"/>
          <w:szCs w:val="32"/>
          <w14:ligatures w14:val="none"/>
        </w:rPr>
      </w:pPr>
    </w:p>
    <w:sdt>
      <w:sdtPr>
        <w:rPr>
          <w:rFonts w:asciiTheme="minorHAnsi" w:eastAsiaTheme="minorHAnsi" w:hAnsiTheme="minorHAnsi" w:cstheme="minorBidi"/>
          <w:b w:val="0"/>
          <w:kern w:val="2"/>
          <w:sz w:val="24"/>
          <w:szCs w:val="24"/>
          <w:lang w:val="en-GB"/>
          <w14:ligatures w14:val="standardContextual"/>
        </w:rPr>
        <w:id w:val="-84455032"/>
        <w:docPartObj>
          <w:docPartGallery w:val="Table of Contents"/>
          <w:docPartUnique/>
        </w:docPartObj>
      </w:sdtPr>
      <w:sdtEndPr>
        <w:rPr>
          <w:bCs/>
        </w:rPr>
      </w:sdtEndPr>
      <w:sdtContent>
        <w:p w14:paraId="70E788CA" w14:textId="308F1DF1" w:rsidR="00AF0254" w:rsidRDefault="00AF0254">
          <w:pPr>
            <w:pStyle w:val="TOCHeading"/>
          </w:pPr>
          <w:r>
            <w:rPr>
              <w:lang w:val="en-GB"/>
            </w:rPr>
            <w:t>Contents</w:t>
          </w:r>
        </w:p>
        <w:p w14:paraId="169DBFFC" w14:textId="08CF6A62" w:rsidR="009501C5" w:rsidRDefault="009501C5">
          <w:pPr>
            <w:pStyle w:val="TOC1"/>
            <w:tabs>
              <w:tab w:val="right" w:leader="dot" w:pos="9016"/>
            </w:tabs>
            <w:rPr>
              <w:rFonts w:asciiTheme="minorHAnsi" w:eastAsiaTheme="minorEastAsia" w:hAnsiTheme="minorHAnsi"/>
              <w:b w:val="0"/>
              <w:noProof/>
              <w:kern w:val="2"/>
              <w:sz w:val="24"/>
              <w:szCs w:val="24"/>
              <w:lang w:val="en-GB" w:eastAsia="en-GB"/>
              <w14:ligatures w14:val="standardContextual"/>
            </w:rPr>
          </w:pPr>
          <w:r>
            <w:rPr>
              <w:b w:val="0"/>
            </w:rPr>
            <w:fldChar w:fldCharType="begin"/>
          </w:r>
          <w:r>
            <w:rPr>
              <w:b w:val="0"/>
            </w:rPr>
            <w:instrText xml:space="preserve"> TOC \o "1-3" \h \z \u </w:instrText>
          </w:r>
          <w:r>
            <w:rPr>
              <w:b w:val="0"/>
            </w:rPr>
            <w:fldChar w:fldCharType="separate"/>
          </w:r>
          <w:hyperlink w:anchor="_Toc210481120" w:history="1">
            <w:r w:rsidRPr="001D03DF">
              <w:rPr>
                <w:rStyle w:val="Hyperlink"/>
                <w:rFonts w:eastAsia="Times New Roman"/>
                <w:noProof/>
              </w:rPr>
              <w:t>Chapter One</w:t>
            </w:r>
            <w:r>
              <w:rPr>
                <w:noProof/>
                <w:webHidden/>
              </w:rPr>
              <w:tab/>
            </w:r>
            <w:r>
              <w:rPr>
                <w:noProof/>
                <w:webHidden/>
              </w:rPr>
              <w:fldChar w:fldCharType="begin"/>
            </w:r>
            <w:r>
              <w:rPr>
                <w:noProof/>
                <w:webHidden/>
              </w:rPr>
              <w:instrText xml:space="preserve"> PAGEREF _Toc210481120 \h </w:instrText>
            </w:r>
            <w:r>
              <w:rPr>
                <w:noProof/>
                <w:webHidden/>
              </w:rPr>
            </w:r>
            <w:r>
              <w:rPr>
                <w:noProof/>
                <w:webHidden/>
              </w:rPr>
              <w:fldChar w:fldCharType="separate"/>
            </w:r>
            <w:r>
              <w:rPr>
                <w:noProof/>
                <w:webHidden/>
              </w:rPr>
              <w:t>4</w:t>
            </w:r>
            <w:r>
              <w:rPr>
                <w:noProof/>
                <w:webHidden/>
              </w:rPr>
              <w:fldChar w:fldCharType="end"/>
            </w:r>
          </w:hyperlink>
        </w:p>
        <w:p w14:paraId="3CDAD8D3" w14:textId="29D91F05" w:rsidR="009501C5" w:rsidRDefault="009501C5">
          <w:pPr>
            <w:pStyle w:val="TOC2"/>
            <w:rPr>
              <w:rFonts w:eastAsiaTheme="minorEastAsia"/>
              <w:noProof/>
              <w:kern w:val="2"/>
              <w:sz w:val="24"/>
              <w:szCs w:val="24"/>
              <w:lang w:val="en-GB" w:eastAsia="en-GB"/>
              <w14:ligatures w14:val="standardContextual"/>
            </w:rPr>
          </w:pPr>
          <w:hyperlink w:anchor="_Toc210481121" w:history="1">
            <w:r w:rsidRPr="001D03DF">
              <w:rPr>
                <w:rStyle w:val="Hyperlink"/>
                <w:rFonts w:eastAsia="Times New Roman"/>
                <w:noProof/>
              </w:rPr>
              <w:t>1.1 Introduction</w:t>
            </w:r>
            <w:r>
              <w:rPr>
                <w:noProof/>
                <w:webHidden/>
              </w:rPr>
              <w:tab/>
            </w:r>
            <w:r>
              <w:rPr>
                <w:noProof/>
                <w:webHidden/>
              </w:rPr>
              <w:fldChar w:fldCharType="begin"/>
            </w:r>
            <w:r>
              <w:rPr>
                <w:noProof/>
                <w:webHidden/>
              </w:rPr>
              <w:instrText xml:space="preserve"> PAGEREF _Toc210481121 \h </w:instrText>
            </w:r>
            <w:r>
              <w:rPr>
                <w:noProof/>
                <w:webHidden/>
              </w:rPr>
            </w:r>
            <w:r>
              <w:rPr>
                <w:noProof/>
                <w:webHidden/>
              </w:rPr>
              <w:fldChar w:fldCharType="separate"/>
            </w:r>
            <w:r>
              <w:rPr>
                <w:noProof/>
                <w:webHidden/>
              </w:rPr>
              <w:t>4</w:t>
            </w:r>
            <w:r>
              <w:rPr>
                <w:noProof/>
                <w:webHidden/>
              </w:rPr>
              <w:fldChar w:fldCharType="end"/>
            </w:r>
          </w:hyperlink>
        </w:p>
        <w:p w14:paraId="32BCEBEC" w14:textId="3C11EBBD" w:rsidR="009501C5" w:rsidRDefault="009501C5">
          <w:pPr>
            <w:pStyle w:val="TOC2"/>
            <w:rPr>
              <w:rFonts w:eastAsiaTheme="minorEastAsia"/>
              <w:noProof/>
              <w:kern w:val="2"/>
              <w:sz w:val="24"/>
              <w:szCs w:val="24"/>
              <w:lang w:val="en-GB" w:eastAsia="en-GB"/>
              <w14:ligatures w14:val="standardContextual"/>
            </w:rPr>
          </w:pPr>
          <w:hyperlink w:anchor="_Toc210481122" w:history="1">
            <w:r w:rsidRPr="001D03DF">
              <w:rPr>
                <w:rStyle w:val="Hyperlink"/>
                <w:noProof/>
              </w:rPr>
              <w:t>1.2 Background of the Study</w:t>
            </w:r>
            <w:r>
              <w:rPr>
                <w:noProof/>
                <w:webHidden/>
              </w:rPr>
              <w:tab/>
            </w:r>
            <w:r>
              <w:rPr>
                <w:noProof/>
                <w:webHidden/>
              </w:rPr>
              <w:fldChar w:fldCharType="begin"/>
            </w:r>
            <w:r>
              <w:rPr>
                <w:noProof/>
                <w:webHidden/>
              </w:rPr>
              <w:instrText xml:space="preserve"> PAGEREF _Toc210481122 \h </w:instrText>
            </w:r>
            <w:r>
              <w:rPr>
                <w:noProof/>
                <w:webHidden/>
              </w:rPr>
            </w:r>
            <w:r>
              <w:rPr>
                <w:noProof/>
                <w:webHidden/>
              </w:rPr>
              <w:fldChar w:fldCharType="separate"/>
            </w:r>
            <w:r>
              <w:rPr>
                <w:noProof/>
                <w:webHidden/>
              </w:rPr>
              <w:t>4</w:t>
            </w:r>
            <w:r>
              <w:rPr>
                <w:noProof/>
                <w:webHidden/>
              </w:rPr>
              <w:fldChar w:fldCharType="end"/>
            </w:r>
          </w:hyperlink>
        </w:p>
        <w:p w14:paraId="14B38B56" w14:textId="4E4D4942" w:rsidR="009501C5" w:rsidRDefault="009501C5">
          <w:pPr>
            <w:pStyle w:val="TOC2"/>
            <w:rPr>
              <w:rFonts w:eastAsiaTheme="minorEastAsia"/>
              <w:noProof/>
              <w:kern w:val="2"/>
              <w:sz w:val="24"/>
              <w:szCs w:val="24"/>
              <w:lang w:val="en-GB" w:eastAsia="en-GB"/>
              <w14:ligatures w14:val="standardContextual"/>
            </w:rPr>
          </w:pPr>
          <w:hyperlink w:anchor="_Toc210481123" w:history="1">
            <w:r w:rsidRPr="001D03DF">
              <w:rPr>
                <w:rStyle w:val="Hyperlink"/>
                <w:noProof/>
              </w:rPr>
              <w:t>1.3 The Regulatory Paradox: Innovation vs. Compliance</w:t>
            </w:r>
            <w:r>
              <w:rPr>
                <w:noProof/>
                <w:webHidden/>
              </w:rPr>
              <w:tab/>
            </w:r>
            <w:r>
              <w:rPr>
                <w:noProof/>
                <w:webHidden/>
              </w:rPr>
              <w:fldChar w:fldCharType="begin"/>
            </w:r>
            <w:r>
              <w:rPr>
                <w:noProof/>
                <w:webHidden/>
              </w:rPr>
              <w:instrText xml:space="preserve"> PAGEREF _Toc210481123 \h </w:instrText>
            </w:r>
            <w:r>
              <w:rPr>
                <w:noProof/>
                <w:webHidden/>
              </w:rPr>
            </w:r>
            <w:r>
              <w:rPr>
                <w:noProof/>
                <w:webHidden/>
              </w:rPr>
              <w:fldChar w:fldCharType="separate"/>
            </w:r>
            <w:r>
              <w:rPr>
                <w:noProof/>
                <w:webHidden/>
              </w:rPr>
              <w:t>8</w:t>
            </w:r>
            <w:r>
              <w:rPr>
                <w:noProof/>
                <w:webHidden/>
              </w:rPr>
              <w:fldChar w:fldCharType="end"/>
            </w:r>
          </w:hyperlink>
        </w:p>
        <w:p w14:paraId="46F52A79" w14:textId="552C8549" w:rsidR="009501C5" w:rsidRDefault="009501C5">
          <w:pPr>
            <w:pStyle w:val="TOC3"/>
            <w:tabs>
              <w:tab w:val="right" w:leader="dot" w:pos="9016"/>
            </w:tabs>
            <w:rPr>
              <w:rFonts w:cstheme="minorBidi"/>
              <w:noProof/>
              <w:kern w:val="2"/>
              <w:sz w:val="24"/>
              <w:szCs w:val="24"/>
              <w14:ligatures w14:val="standardContextual"/>
            </w:rPr>
          </w:pPr>
          <w:hyperlink w:anchor="_Toc210481124" w:history="1">
            <w:r w:rsidRPr="001D03DF">
              <w:rPr>
                <w:rStyle w:val="Hyperlink"/>
                <w:noProof/>
              </w:rPr>
              <w:t>1.3.1 Divergent Regulatory Landscapes</w:t>
            </w:r>
            <w:r>
              <w:rPr>
                <w:noProof/>
                <w:webHidden/>
              </w:rPr>
              <w:tab/>
            </w:r>
            <w:r>
              <w:rPr>
                <w:noProof/>
                <w:webHidden/>
              </w:rPr>
              <w:fldChar w:fldCharType="begin"/>
            </w:r>
            <w:r>
              <w:rPr>
                <w:noProof/>
                <w:webHidden/>
              </w:rPr>
              <w:instrText xml:space="preserve"> PAGEREF _Toc210481124 \h </w:instrText>
            </w:r>
            <w:r>
              <w:rPr>
                <w:noProof/>
                <w:webHidden/>
              </w:rPr>
            </w:r>
            <w:r>
              <w:rPr>
                <w:noProof/>
                <w:webHidden/>
              </w:rPr>
              <w:fldChar w:fldCharType="separate"/>
            </w:r>
            <w:r>
              <w:rPr>
                <w:noProof/>
                <w:webHidden/>
              </w:rPr>
              <w:t>8</w:t>
            </w:r>
            <w:r>
              <w:rPr>
                <w:noProof/>
                <w:webHidden/>
              </w:rPr>
              <w:fldChar w:fldCharType="end"/>
            </w:r>
          </w:hyperlink>
        </w:p>
        <w:p w14:paraId="466B41B1" w14:textId="72AFB7CD" w:rsidR="009501C5" w:rsidRDefault="009501C5">
          <w:pPr>
            <w:pStyle w:val="TOC3"/>
            <w:tabs>
              <w:tab w:val="right" w:leader="dot" w:pos="9016"/>
            </w:tabs>
            <w:rPr>
              <w:rFonts w:cstheme="minorBidi"/>
              <w:noProof/>
              <w:kern w:val="2"/>
              <w:sz w:val="24"/>
              <w:szCs w:val="24"/>
              <w14:ligatures w14:val="standardContextual"/>
            </w:rPr>
          </w:pPr>
          <w:hyperlink w:anchor="_Toc210481125" w:history="1">
            <w:r w:rsidRPr="001D03DF">
              <w:rPr>
                <w:rStyle w:val="Hyperlink"/>
                <w:noProof/>
              </w:rPr>
              <w:t>1.3.2 Cultural &amp; Ethical Barriers</w:t>
            </w:r>
            <w:r>
              <w:rPr>
                <w:noProof/>
                <w:webHidden/>
              </w:rPr>
              <w:tab/>
            </w:r>
            <w:r>
              <w:rPr>
                <w:noProof/>
                <w:webHidden/>
              </w:rPr>
              <w:fldChar w:fldCharType="begin"/>
            </w:r>
            <w:r>
              <w:rPr>
                <w:noProof/>
                <w:webHidden/>
              </w:rPr>
              <w:instrText xml:space="preserve"> PAGEREF _Toc210481125 \h </w:instrText>
            </w:r>
            <w:r>
              <w:rPr>
                <w:noProof/>
                <w:webHidden/>
              </w:rPr>
            </w:r>
            <w:r>
              <w:rPr>
                <w:noProof/>
                <w:webHidden/>
              </w:rPr>
              <w:fldChar w:fldCharType="separate"/>
            </w:r>
            <w:r>
              <w:rPr>
                <w:noProof/>
                <w:webHidden/>
              </w:rPr>
              <w:t>10</w:t>
            </w:r>
            <w:r>
              <w:rPr>
                <w:noProof/>
                <w:webHidden/>
              </w:rPr>
              <w:fldChar w:fldCharType="end"/>
            </w:r>
          </w:hyperlink>
        </w:p>
        <w:p w14:paraId="1BC4060F" w14:textId="42D26EFB" w:rsidR="009501C5" w:rsidRDefault="009501C5">
          <w:pPr>
            <w:pStyle w:val="TOC3"/>
            <w:tabs>
              <w:tab w:val="right" w:leader="dot" w:pos="9016"/>
            </w:tabs>
            <w:rPr>
              <w:rFonts w:cstheme="minorBidi"/>
              <w:noProof/>
              <w:kern w:val="2"/>
              <w:sz w:val="24"/>
              <w:szCs w:val="24"/>
              <w14:ligatures w14:val="standardContextual"/>
            </w:rPr>
          </w:pPr>
          <w:hyperlink w:anchor="_Toc210481126" w:history="1">
            <w:r w:rsidRPr="001D03DF">
              <w:rPr>
                <w:rStyle w:val="Hyperlink"/>
                <w:noProof/>
              </w:rPr>
              <w:t>1.3.3 Consequences of Imbalance</w:t>
            </w:r>
            <w:r>
              <w:rPr>
                <w:noProof/>
                <w:webHidden/>
              </w:rPr>
              <w:tab/>
            </w:r>
            <w:r>
              <w:rPr>
                <w:noProof/>
                <w:webHidden/>
              </w:rPr>
              <w:fldChar w:fldCharType="begin"/>
            </w:r>
            <w:r>
              <w:rPr>
                <w:noProof/>
                <w:webHidden/>
              </w:rPr>
              <w:instrText xml:space="preserve"> PAGEREF _Toc210481126 \h </w:instrText>
            </w:r>
            <w:r>
              <w:rPr>
                <w:noProof/>
                <w:webHidden/>
              </w:rPr>
            </w:r>
            <w:r>
              <w:rPr>
                <w:noProof/>
                <w:webHidden/>
              </w:rPr>
              <w:fldChar w:fldCharType="separate"/>
            </w:r>
            <w:r>
              <w:rPr>
                <w:noProof/>
                <w:webHidden/>
              </w:rPr>
              <w:t>11</w:t>
            </w:r>
            <w:r>
              <w:rPr>
                <w:noProof/>
                <w:webHidden/>
              </w:rPr>
              <w:fldChar w:fldCharType="end"/>
            </w:r>
          </w:hyperlink>
        </w:p>
        <w:p w14:paraId="4A29305C" w14:textId="5BDD8EFC" w:rsidR="009501C5" w:rsidRDefault="009501C5">
          <w:pPr>
            <w:pStyle w:val="TOC2"/>
            <w:rPr>
              <w:rFonts w:eastAsiaTheme="minorEastAsia"/>
              <w:noProof/>
              <w:kern w:val="2"/>
              <w:sz w:val="24"/>
              <w:szCs w:val="24"/>
              <w:lang w:val="en-GB" w:eastAsia="en-GB"/>
              <w14:ligatures w14:val="standardContextual"/>
            </w:rPr>
          </w:pPr>
          <w:hyperlink w:anchor="_Toc210481127" w:history="1">
            <w:r w:rsidRPr="001D03DF">
              <w:rPr>
                <w:rStyle w:val="Hyperlink"/>
                <w:noProof/>
              </w:rPr>
              <w:t>1.4 The Research Gap: Fragmented Scholarship</w:t>
            </w:r>
            <w:r>
              <w:rPr>
                <w:noProof/>
                <w:webHidden/>
              </w:rPr>
              <w:tab/>
            </w:r>
            <w:r>
              <w:rPr>
                <w:noProof/>
                <w:webHidden/>
              </w:rPr>
              <w:fldChar w:fldCharType="begin"/>
            </w:r>
            <w:r>
              <w:rPr>
                <w:noProof/>
                <w:webHidden/>
              </w:rPr>
              <w:instrText xml:space="preserve"> PAGEREF _Toc210481127 \h </w:instrText>
            </w:r>
            <w:r>
              <w:rPr>
                <w:noProof/>
                <w:webHidden/>
              </w:rPr>
            </w:r>
            <w:r>
              <w:rPr>
                <w:noProof/>
                <w:webHidden/>
              </w:rPr>
              <w:fldChar w:fldCharType="separate"/>
            </w:r>
            <w:r>
              <w:rPr>
                <w:noProof/>
                <w:webHidden/>
              </w:rPr>
              <w:t>13</w:t>
            </w:r>
            <w:r>
              <w:rPr>
                <w:noProof/>
                <w:webHidden/>
              </w:rPr>
              <w:fldChar w:fldCharType="end"/>
            </w:r>
          </w:hyperlink>
        </w:p>
        <w:p w14:paraId="29311B21" w14:textId="24B10D7A" w:rsidR="009501C5" w:rsidRDefault="009501C5">
          <w:pPr>
            <w:pStyle w:val="TOC3"/>
            <w:tabs>
              <w:tab w:val="right" w:leader="dot" w:pos="9016"/>
            </w:tabs>
            <w:rPr>
              <w:rFonts w:cstheme="minorBidi"/>
              <w:noProof/>
              <w:kern w:val="2"/>
              <w:sz w:val="24"/>
              <w:szCs w:val="24"/>
              <w14:ligatures w14:val="standardContextual"/>
            </w:rPr>
          </w:pPr>
          <w:hyperlink w:anchor="_Toc210481128" w:history="1">
            <w:r w:rsidRPr="001D03DF">
              <w:rPr>
                <w:rStyle w:val="Hyperlink"/>
                <w:noProof/>
              </w:rPr>
              <w:t>1.4.1 Critique of Existing Literature</w:t>
            </w:r>
            <w:r>
              <w:rPr>
                <w:noProof/>
                <w:webHidden/>
              </w:rPr>
              <w:tab/>
            </w:r>
            <w:r>
              <w:rPr>
                <w:noProof/>
                <w:webHidden/>
              </w:rPr>
              <w:fldChar w:fldCharType="begin"/>
            </w:r>
            <w:r>
              <w:rPr>
                <w:noProof/>
                <w:webHidden/>
              </w:rPr>
              <w:instrText xml:space="preserve"> PAGEREF _Toc210481128 \h </w:instrText>
            </w:r>
            <w:r>
              <w:rPr>
                <w:noProof/>
                <w:webHidden/>
              </w:rPr>
            </w:r>
            <w:r>
              <w:rPr>
                <w:noProof/>
                <w:webHidden/>
              </w:rPr>
              <w:fldChar w:fldCharType="separate"/>
            </w:r>
            <w:r>
              <w:rPr>
                <w:noProof/>
                <w:webHidden/>
              </w:rPr>
              <w:t>13</w:t>
            </w:r>
            <w:r>
              <w:rPr>
                <w:noProof/>
                <w:webHidden/>
              </w:rPr>
              <w:fldChar w:fldCharType="end"/>
            </w:r>
          </w:hyperlink>
        </w:p>
        <w:p w14:paraId="5BEA956E" w14:textId="476A665C" w:rsidR="009501C5" w:rsidRDefault="009501C5">
          <w:pPr>
            <w:pStyle w:val="TOC3"/>
            <w:tabs>
              <w:tab w:val="right" w:leader="dot" w:pos="9016"/>
            </w:tabs>
            <w:rPr>
              <w:rFonts w:cstheme="minorBidi"/>
              <w:noProof/>
              <w:kern w:val="2"/>
              <w:sz w:val="24"/>
              <w:szCs w:val="24"/>
              <w14:ligatures w14:val="standardContextual"/>
            </w:rPr>
          </w:pPr>
          <w:hyperlink w:anchor="_Toc210481129" w:history="1">
            <w:r w:rsidRPr="001D03DF">
              <w:rPr>
                <w:rStyle w:val="Hyperlink"/>
                <w:noProof/>
              </w:rPr>
              <w:t>1.4.2 Kaplan's Fundamental Critique: The Cost of Isolation</w:t>
            </w:r>
            <w:r>
              <w:rPr>
                <w:noProof/>
                <w:webHidden/>
              </w:rPr>
              <w:tab/>
            </w:r>
            <w:r>
              <w:rPr>
                <w:noProof/>
                <w:webHidden/>
              </w:rPr>
              <w:fldChar w:fldCharType="begin"/>
            </w:r>
            <w:r>
              <w:rPr>
                <w:noProof/>
                <w:webHidden/>
              </w:rPr>
              <w:instrText xml:space="preserve"> PAGEREF _Toc210481129 \h </w:instrText>
            </w:r>
            <w:r>
              <w:rPr>
                <w:noProof/>
                <w:webHidden/>
              </w:rPr>
            </w:r>
            <w:r>
              <w:rPr>
                <w:noProof/>
                <w:webHidden/>
              </w:rPr>
              <w:fldChar w:fldCharType="separate"/>
            </w:r>
            <w:r>
              <w:rPr>
                <w:noProof/>
                <w:webHidden/>
              </w:rPr>
              <w:t>14</w:t>
            </w:r>
            <w:r>
              <w:rPr>
                <w:noProof/>
                <w:webHidden/>
              </w:rPr>
              <w:fldChar w:fldCharType="end"/>
            </w:r>
          </w:hyperlink>
        </w:p>
        <w:p w14:paraId="51739200" w14:textId="20B195D1" w:rsidR="009501C5" w:rsidRDefault="009501C5">
          <w:pPr>
            <w:pStyle w:val="TOC2"/>
            <w:rPr>
              <w:rFonts w:eastAsiaTheme="minorEastAsia"/>
              <w:noProof/>
              <w:kern w:val="2"/>
              <w:sz w:val="24"/>
              <w:szCs w:val="24"/>
              <w:lang w:val="en-GB" w:eastAsia="en-GB"/>
              <w14:ligatures w14:val="standardContextual"/>
            </w:rPr>
          </w:pPr>
          <w:hyperlink w:anchor="_Toc210481130" w:history="1">
            <w:r w:rsidRPr="001D03DF">
              <w:rPr>
                <w:rStyle w:val="Hyperlink"/>
                <w:noProof/>
              </w:rPr>
              <w:t>1.5 Research Purpose, Questions &amp; Objectives</w:t>
            </w:r>
            <w:r>
              <w:rPr>
                <w:noProof/>
                <w:webHidden/>
              </w:rPr>
              <w:tab/>
            </w:r>
            <w:r>
              <w:rPr>
                <w:noProof/>
                <w:webHidden/>
              </w:rPr>
              <w:fldChar w:fldCharType="begin"/>
            </w:r>
            <w:r>
              <w:rPr>
                <w:noProof/>
                <w:webHidden/>
              </w:rPr>
              <w:instrText xml:space="preserve"> PAGEREF _Toc210481130 \h </w:instrText>
            </w:r>
            <w:r>
              <w:rPr>
                <w:noProof/>
                <w:webHidden/>
              </w:rPr>
            </w:r>
            <w:r>
              <w:rPr>
                <w:noProof/>
                <w:webHidden/>
              </w:rPr>
              <w:fldChar w:fldCharType="separate"/>
            </w:r>
            <w:r>
              <w:rPr>
                <w:noProof/>
                <w:webHidden/>
              </w:rPr>
              <w:t>16</w:t>
            </w:r>
            <w:r>
              <w:rPr>
                <w:noProof/>
                <w:webHidden/>
              </w:rPr>
              <w:fldChar w:fldCharType="end"/>
            </w:r>
          </w:hyperlink>
        </w:p>
        <w:p w14:paraId="59B4D933" w14:textId="77DC05D5" w:rsidR="009501C5" w:rsidRDefault="009501C5">
          <w:pPr>
            <w:pStyle w:val="TOC3"/>
            <w:tabs>
              <w:tab w:val="right" w:leader="dot" w:pos="9016"/>
            </w:tabs>
            <w:rPr>
              <w:rFonts w:cstheme="minorBidi"/>
              <w:noProof/>
              <w:kern w:val="2"/>
              <w:sz w:val="24"/>
              <w:szCs w:val="24"/>
              <w14:ligatures w14:val="standardContextual"/>
            </w:rPr>
          </w:pPr>
          <w:hyperlink w:anchor="_Toc210481131" w:history="1">
            <w:r w:rsidRPr="001D03DF">
              <w:rPr>
                <w:rStyle w:val="Hyperlink"/>
                <w:noProof/>
              </w:rPr>
              <w:t>1.5.1 Aim</w:t>
            </w:r>
            <w:r>
              <w:rPr>
                <w:noProof/>
                <w:webHidden/>
              </w:rPr>
              <w:tab/>
            </w:r>
            <w:r>
              <w:rPr>
                <w:noProof/>
                <w:webHidden/>
              </w:rPr>
              <w:fldChar w:fldCharType="begin"/>
            </w:r>
            <w:r>
              <w:rPr>
                <w:noProof/>
                <w:webHidden/>
              </w:rPr>
              <w:instrText xml:space="preserve"> PAGEREF _Toc210481131 \h </w:instrText>
            </w:r>
            <w:r>
              <w:rPr>
                <w:noProof/>
                <w:webHidden/>
              </w:rPr>
            </w:r>
            <w:r>
              <w:rPr>
                <w:noProof/>
                <w:webHidden/>
              </w:rPr>
              <w:fldChar w:fldCharType="separate"/>
            </w:r>
            <w:r>
              <w:rPr>
                <w:noProof/>
                <w:webHidden/>
              </w:rPr>
              <w:t>16</w:t>
            </w:r>
            <w:r>
              <w:rPr>
                <w:noProof/>
                <w:webHidden/>
              </w:rPr>
              <w:fldChar w:fldCharType="end"/>
            </w:r>
          </w:hyperlink>
        </w:p>
        <w:p w14:paraId="09FD5325" w14:textId="6A2C644B" w:rsidR="009501C5" w:rsidRDefault="009501C5">
          <w:pPr>
            <w:pStyle w:val="TOC3"/>
            <w:tabs>
              <w:tab w:val="right" w:leader="dot" w:pos="9016"/>
            </w:tabs>
            <w:rPr>
              <w:rFonts w:cstheme="minorBidi"/>
              <w:noProof/>
              <w:kern w:val="2"/>
              <w:sz w:val="24"/>
              <w:szCs w:val="24"/>
              <w14:ligatures w14:val="standardContextual"/>
            </w:rPr>
          </w:pPr>
          <w:hyperlink w:anchor="_Toc210481132" w:history="1">
            <w:r w:rsidRPr="001D03DF">
              <w:rPr>
                <w:rStyle w:val="Hyperlink"/>
                <w:noProof/>
              </w:rPr>
              <w:t>1.5.2 Central Research Question</w:t>
            </w:r>
            <w:r>
              <w:rPr>
                <w:noProof/>
                <w:webHidden/>
              </w:rPr>
              <w:tab/>
            </w:r>
            <w:r>
              <w:rPr>
                <w:noProof/>
                <w:webHidden/>
              </w:rPr>
              <w:fldChar w:fldCharType="begin"/>
            </w:r>
            <w:r>
              <w:rPr>
                <w:noProof/>
                <w:webHidden/>
              </w:rPr>
              <w:instrText xml:space="preserve"> PAGEREF _Toc210481132 \h </w:instrText>
            </w:r>
            <w:r>
              <w:rPr>
                <w:noProof/>
                <w:webHidden/>
              </w:rPr>
            </w:r>
            <w:r>
              <w:rPr>
                <w:noProof/>
                <w:webHidden/>
              </w:rPr>
              <w:fldChar w:fldCharType="separate"/>
            </w:r>
            <w:r>
              <w:rPr>
                <w:noProof/>
                <w:webHidden/>
              </w:rPr>
              <w:t>16</w:t>
            </w:r>
            <w:r>
              <w:rPr>
                <w:noProof/>
                <w:webHidden/>
              </w:rPr>
              <w:fldChar w:fldCharType="end"/>
            </w:r>
          </w:hyperlink>
        </w:p>
        <w:p w14:paraId="566B6F35" w14:textId="46EB8584" w:rsidR="009501C5" w:rsidRDefault="009501C5">
          <w:pPr>
            <w:pStyle w:val="TOC3"/>
            <w:tabs>
              <w:tab w:val="right" w:leader="dot" w:pos="9016"/>
            </w:tabs>
            <w:rPr>
              <w:rFonts w:cstheme="minorBidi"/>
              <w:noProof/>
              <w:kern w:val="2"/>
              <w:sz w:val="24"/>
              <w:szCs w:val="24"/>
              <w14:ligatures w14:val="standardContextual"/>
            </w:rPr>
          </w:pPr>
          <w:hyperlink w:anchor="_Toc210481133" w:history="1">
            <w:r w:rsidRPr="001D03DF">
              <w:rPr>
                <w:rStyle w:val="Hyperlink"/>
                <w:noProof/>
              </w:rPr>
              <w:t>1.5.3 Objectives</w:t>
            </w:r>
            <w:r>
              <w:rPr>
                <w:noProof/>
                <w:webHidden/>
              </w:rPr>
              <w:tab/>
            </w:r>
            <w:r>
              <w:rPr>
                <w:noProof/>
                <w:webHidden/>
              </w:rPr>
              <w:fldChar w:fldCharType="begin"/>
            </w:r>
            <w:r>
              <w:rPr>
                <w:noProof/>
                <w:webHidden/>
              </w:rPr>
              <w:instrText xml:space="preserve"> PAGEREF _Toc210481133 \h </w:instrText>
            </w:r>
            <w:r>
              <w:rPr>
                <w:noProof/>
                <w:webHidden/>
              </w:rPr>
            </w:r>
            <w:r>
              <w:rPr>
                <w:noProof/>
                <w:webHidden/>
              </w:rPr>
              <w:fldChar w:fldCharType="separate"/>
            </w:r>
            <w:r>
              <w:rPr>
                <w:noProof/>
                <w:webHidden/>
              </w:rPr>
              <w:t>17</w:t>
            </w:r>
            <w:r>
              <w:rPr>
                <w:noProof/>
                <w:webHidden/>
              </w:rPr>
              <w:fldChar w:fldCharType="end"/>
            </w:r>
          </w:hyperlink>
        </w:p>
        <w:p w14:paraId="72962A01" w14:textId="17A69754" w:rsidR="009501C5" w:rsidRDefault="009501C5">
          <w:pPr>
            <w:pStyle w:val="TOC2"/>
            <w:rPr>
              <w:rFonts w:eastAsiaTheme="minorEastAsia"/>
              <w:noProof/>
              <w:kern w:val="2"/>
              <w:sz w:val="24"/>
              <w:szCs w:val="24"/>
              <w:lang w:val="en-GB" w:eastAsia="en-GB"/>
              <w14:ligatures w14:val="standardContextual"/>
            </w:rPr>
          </w:pPr>
          <w:hyperlink w:anchor="_Toc210481134" w:history="1">
            <w:r w:rsidRPr="001D03DF">
              <w:rPr>
                <w:rStyle w:val="Hyperlink"/>
                <w:noProof/>
              </w:rPr>
              <w:t>1.6 Methodological Overview</w:t>
            </w:r>
            <w:r>
              <w:rPr>
                <w:noProof/>
                <w:webHidden/>
              </w:rPr>
              <w:tab/>
            </w:r>
            <w:r>
              <w:rPr>
                <w:noProof/>
                <w:webHidden/>
              </w:rPr>
              <w:fldChar w:fldCharType="begin"/>
            </w:r>
            <w:r>
              <w:rPr>
                <w:noProof/>
                <w:webHidden/>
              </w:rPr>
              <w:instrText xml:space="preserve"> PAGEREF _Toc210481134 \h </w:instrText>
            </w:r>
            <w:r>
              <w:rPr>
                <w:noProof/>
                <w:webHidden/>
              </w:rPr>
            </w:r>
            <w:r>
              <w:rPr>
                <w:noProof/>
                <w:webHidden/>
              </w:rPr>
              <w:fldChar w:fldCharType="separate"/>
            </w:r>
            <w:r>
              <w:rPr>
                <w:noProof/>
                <w:webHidden/>
              </w:rPr>
              <w:t>17</w:t>
            </w:r>
            <w:r>
              <w:rPr>
                <w:noProof/>
                <w:webHidden/>
              </w:rPr>
              <w:fldChar w:fldCharType="end"/>
            </w:r>
          </w:hyperlink>
        </w:p>
        <w:p w14:paraId="05D65BD5" w14:textId="6DA8089F" w:rsidR="009501C5" w:rsidRDefault="009501C5">
          <w:pPr>
            <w:pStyle w:val="TOC3"/>
            <w:tabs>
              <w:tab w:val="right" w:leader="dot" w:pos="9016"/>
            </w:tabs>
            <w:rPr>
              <w:rFonts w:cstheme="minorBidi"/>
              <w:noProof/>
              <w:kern w:val="2"/>
              <w:sz w:val="24"/>
              <w:szCs w:val="24"/>
              <w14:ligatures w14:val="standardContextual"/>
            </w:rPr>
          </w:pPr>
          <w:hyperlink w:anchor="_Toc210481135" w:history="1">
            <w:r w:rsidRPr="001D03DF">
              <w:rPr>
                <w:rStyle w:val="Hyperlink"/>
                <w:noProof/>
              </w:rPr>
              <w:t>1.6.1 Qualitative Comparative Analysis (QCA): Capturing Causal Complexity</w:t>
            </w:r>
            <w:r>
              <w:rPr>
                <w:noProof/>
                <w:webHidden/>
              </w:rPr>
              <w:tab/>
            </w:r>
            <w:r>
              <w:rPr>
                <w:noProof/>
                <w:webHidden/>
              </w:rPr>
              <w:fldChar w:fldCharType="begin"/>
            </w:r>
            <w:r>
              <w:rPr>
                <w:noProof/>
                <w:webHidden/>
              </w:rPr>
              <w:instrText xml:space="preserve"> PAGEREF _Toc210481135 \h </w:instrText>
            </w:r>
            <w:r>
              <w:rPr>
                <w:noProof/>
                <w:webHidden/>
              </w:rPr>
            </w:r>
            <w:r>
              <w:rPr>
                <w:noProof/>
                <w:webHidden/>
              </w:rPr>
              <w:fldChar w:fldCharType="separate"/>
            </w:r>
            <w:r>
              <w:rPr>
                <w:noProof/>
                <w:webHidden/>
              </w:rPr>
              <w:t>17</w:t>
            </w:r>
            <w:r>
              <w:rPr>
                <w:noProof/>
                <w:webHidden/>
              </w:rPr>
              <w:fldChar w:fldCharType="end"/>
            </w:r>
          </w:hyperlink>
        </w:p>
        <w:p w14:paraId="0B8DAA69" w14:textId="0D4D8965" w:rsidR="009501C5" w:rsidRDefault="009501C5">
          <w:pPr>
            <w:pStyle w:val="TOC3"/>
            <w:tabs>
              <w:tab w:val="right" w:leader="dot" w:pos="9016"/>
            </w:tabs>
            <w:rPr>
              <w:rFonts w:cstheme="minorBidi"/>
              <w:noProof/>
              <w:kern w:val="2"/>
              <w:sz w:val="24"/>
              <w:szCs w:val="24"/>
              <w14:ligatures w14:val="standardContextual"/>
            </w:rPr>
          </w:pPr>
          <w:hyperlink w:anchor="_Toc210481136" w:history="1">
            <w:r w:rsidRPr="001D03DF">
              <w:rPr>
                <w:rStyle w:val="Hyperlink"/>
                <w:noProof/>
              </w:rPr>
              <w:t>1.6.2 Methodological Overview: Triangulated Data Architecture and Causal Inference</w:t>
            </w:r>
            <w:r>
              <w:rPr>
                <w:noProof/>
                <w:webHidden/>
              </w:rPr>
              <w:tab/>
            </w:r>
            <w:r>
              <w:rPr>
                <w:noProof/>
                <w:webHidden/>
              </w:rPr>
              <w:fldChar w:fldCharType="begin"/>
            </w:r>
            <w:r>
              <w:rPr>
                <w:noProof/>
                <w:webHidden/>
              </w:rPr>
              <w:instrText xml:space="preserve"> PAGEREF _Toc210481136 \h </w:instrText>
            </w:r>
            <w:r>
              <w:rPr>
                <w:noProof/>
                <w:webHidden/>
              </w:rPr>
            </w:r>
            <w:r>
              <w:rPr>
                <w:noProof/>
                <w:webHidden/>
              </w:rPr>
              <w:fldChar w:fldCharType="separate"/>
            </w:r>
            <w:r>
              <w:rPr>
                <w:noProof/>
                <w:webHidden/>
              </w:rPr>
              <w:t>18</w:t>
            </w:r>
            <w:r>
              <w:rPr>
                <w:noProof/>
                <w:webHidden/>
              </w:rPr>
              <w:fldChar w:fldCharType="end"/>
            </w:r>
          </w:hyperlink>
        </w:p>
        <w:p w14:paraId="54CF422E" w14:textId="7E6C619B" w:rsidR="009501C5" w:rsidRDefault="009501C5">
          <w:pPr>
            <w:pStyle w:val="TOC2"/>
            <w:rPr>
              <w:rFonts w:eastAsiaTheme="minorEastAsia"/>
              <w:noProof/>
              <w:kern w:val="2"/>
              <w:sz w:val="24"/>
              <w:szCs w:val="24"/>
              <w:lang w:val="en-GB" w:eastAsia="en-GB"/>
              <w14:ligatures w14:val="standardContextual"/>
            </w:rPr>
          </w:pPr>
          <w:hyperlink w:anchor="_Toc210481137" w:history="1">
            <w:r w:rsidRPr="001D03DF">
              <w:rPr>
                <w:rStyle w:val="Hyperlink"/>
                <w:noProof/>
              </w:rPr>
              <w:t>1.7 Triangulation Design</w:t>
            </w:r>
            <w:r>
              <w:rPr>
                <w:noProof/>
                <w:webHidden/>
              </w:rPr>
              <w:tab/>
            </w:r>
            <w:r>
              <w:rPr>
                <w:noProof/>
                <w:webHidden/>
              </w:rPr>
              <w:fldChar w:fldCharType="begin"/>
            </w:r>
            <w:r>
              <w:rPr>
                <w:noProof/>
                <w:webHidden/>
              </w:rPr>
              <w:instrText xml:space="preserve"> PAGEREF _Toc210481137 \h </w:instrText>
            </w:r>
            <w:r>
              <w:rPr>
                <w:noProof/>
                <w:webHidden/>
              </w:rPr>
            </w:r>
            <w:r>
              <w:rPr>
                <w:noProof/>
                <w:webHidden/>
              </w:rPr>
              <w:fldChar w:fldCharType="separate"/>
            </w:r>
            <w:r>
              <w:rPr>
                <w:noProof/>
                <w:webHidden/>
              </w:rPr>
              <w:t>20</w:t>
            </w:r>
            <w:r>
              <w:rPr>
                <w:noProof/>
                <w:webHidden/>
              </w:rPr>
              <w:fldChar w:fldCharType="end"/>
            </w:r>
          </w:hyperlink>
        </w:p>
        <w:p w14:paraId="2E2AB5DB" w14:textId="7E5E258A" w:rsidR="009501C5" w:rsidRDefault="009501C5">
          <w:pPr>
            <w:pStyle w:val="TOC3"/>
            <w:tabs>
              <w:tab w:val="right" w:leader="dot" w:pos="9016"/>
            </w:tabs>
            <w:rPr>
              <w:rFonts w:cstheme="minorBidi"/>
              <w:noProof/>
              <w:kern w:val="2"/>
              <w:sz w:val="24"/>
              <w:szCs w:val="24"/>
              <w14:ligatures w14:val="standardContextual"/>
            </w:rPr>
          </w:pPr>
          <w:hyperlink w:anchor="_Toc210481138" w:history="1">
            <w:r w:rsidRPr="001D03DF">
              <w:rPr>
                <w:rStyle w:val="Hyperlink"/>
                <w:noProof/>
              </w:rPr>
              <w:t>1.7.1 Case Studies</w:t>
            </w:r>
            <w:r>
              <w:rPr>
                <w:noProof/>
                <w:webHidden/>
              </w:rPr>
              <w:tab/>
            </w:r>
            <w:r>
              <w:rPr>
                <w:noProof/>
                <w:webHidden/>
              </w:rPr>
              <w:fldChar w:fldCharType="begin"/>
            </w:r>
            <w:r>
              <w:rPr>
                <w:noProof/>
                <w:webHidden/>
              </w:rPr>
              <w:instrText xml:space="preserve"> PAGEREF _Toc210481138 \h </w:instrText>
            </w:r>
            <w:r>
              <w:rPr>
                <w:noProof/>
                <w:webHidden/>
              </w:rPr>
            </w:r>
            <w:r>
              <w:rPr>
                <w:noProof/>
                <w:webHidden/>
              </w:rPr>
              <w:fldChar w:fldCharType="separate"/>
            </w:r>
            <w:r>
              <w:rPr>
                <w:noProof/>
                <w:webHidden/>
              </w:rPr>
              <w:t>20</w:t>
            </w:r>
            <w:r>
              <w:rPr>
                <w:noProof/>
                <w:webHidden/>
              </w:rPr>
              <w:fldChar w:fldCharType="end"/>
            </w:r>
          </w:hyperlink>
        </w:p>
        <w:p w14:paraId="378F4F8D" w14:textId="499FA0FD" w:rsidR="009501C5" w:rsidRDefault="009501C5">
          <w:pPr>
            <w:pStyle w:val="TOC3"/>
            <w:tabs>
              <w:tab w:val="right" w:leader="dot" w:pos="9016"/>
            </w:tabs>
            <w:rPr>
              <w:rFonts w:cstheme="minorBidi"/>
              <w:noProof/>
              <w:kern w:val="2"/>
              <w:sz w:val="24"/>
              <w:szCs w:val="24"/>
              <w14:ligatures w14:val="standardContextual"/>
            </w:rPr>
          </w:pPr>
          <w:hyperlink w:anchor="_Toc210481139" w:history="1">
            <w:r w:rsidRPr="001D03DF">
              <w:rPr>
                <w:rStyle w:val="Hyperlink"/>
                <w:noProof/>
              </w:rPr>
              <w:t>1.7.2 Expert Interviews</w:t>
            </w:r>
            <w:r>
              <w:rPr>
                <w:noProof/>
                <w:webHidden/>
              </w:rPr>
              <w:tab/>
            </w:r>
            <w:r>
              <w:rPr>
                <w:noProof/>
                <w:webHidden/>
              </w:rPr>
              <w:fldChar w:fldCharType="begin"/>
            </w:r>
            <w:r>
              <w:rPr>
                <w:noProof/>
                <w:webHidden/>
              </w:rPr>
              <w:instrText xml:space="preserve"> PAGEREF _Toc210481139 \h </w:instrText>
            </w:r>
            <w:r>
              <w:rPr>
                <w:noProof/>
                <w:webHidden/>
              </w:rPr>
            </w:r>
            <w:r>
              <w:rPr>
                <w:noProof/>
                <w:webHidden/>
              </w:rPr>
              <w:fldChar w:fldCharType="separate"/>
            </w:r>
            <w:r>
              <w:rPr>
                <w:noProof/>
                <w:webHidden/>
              </w:rPr>
              <w:t>20</w:t>
            </w:r>
            <w:r>
              <w:rPr>
                <w:noProof/>
                <w:webHidden/>
              </w:rPr>
              <w:fldChar w:fldCharType="end"/>
            </w:r>
          </w:hyperlink>
        </w:p>
        <w:p w14:paraId="0FEBA885" w14:textId="0BA81DF2" w:rsidR="009501C5" w:rsidRDefault="009501C5">
          <w:pPr>
            <w:pStyle w:val="TOC3"/>
            <w:tabs>
              <w:tab w:val="right" w:leader="dot" w:pos="9016"/>
            </w:tabs>
            <w:rPr>
              <w:rFonts w:cstheme="minorBidi"/>
              <w:noProof/>
              <w:kern w:val="2"/>
              <w:sz w:val="24"/>
              <w:szCs w:val="24"/>
              <w14:ligatures w14:val="standardContextual"/>
            </w:rPr>
          </w:pPr>
          <w:hyperlink w:anchor="_Toc210481140" w:history="1">
            <w:r w:rsidRPr="001D03DF">
              <w:rPr>
                <w:rStyle w:val="Hyperlink"/>
                <w:noProof/>
              </w:rPr>
              <w:t>1.7.3 Data Sources</w:t>
            </w:r>
            <w:r>
              <w:rPr>
                <w:noProof/>
                <w:webHidden/>
              </w:rPr>
              <w:tab/>
            </w:r>
            <w:r>
              <w:rPr>
                <w:noProof/>
                <w:webHidden/>
              </w:rPr>
              <w:fldChar w:fldCharType="begin"/>
            </w:r>
            <w:r>
              <w:rPr>
                <w:noProof/>
                <w:webHidden/>
              </w:rPr>
              <w:instrText xml:space="preserve"> PAGEREF _Toc210481140 \h </w:instrText>
            </w:r>
            <w:r>
              <w:rPr>
                <w:noProof/>
                <w:webHidden/>
              </w:rPr>
            </w:r>
            <w:r>
              <w:rPr>
                <w:noProof/>
                <w:webHidden/>
              </w:rPr>
              <w:fldChar w:fldCharType="separate"/>
            </w:r>
            <w:r>
              <w:rPr>
                <w:noProof/>
                <w:webHidden/>
              </w:rPr>
              <w:t>21</w:t>
            </w:r>
            <w:r>
              <w:rPr>
                <w:noProof/>
                <w:webHidden/>
              </w:rPr>
              <w:fldChar w:fldCharType="end"/>
            </w:r>
          </w:hyperlink>
        </w:p>
        <w:p w14:paraId="5EACB70E" w14:textId="27451605" w:rsidR="009501C5" w:rsidRDefault="009501C5">
          <w:pPr>
            <w:pStyle w:val="TOC2"/>
            <w:rPr>
              <w:rFonts w:eastAsiaTheme="minorEastAsia"/>
              <w:noProof/>
              <w:kern w:val="2"/>
              <w:sz w:val="24"/>
              <w:szCs w:val="24"/>
              <w:lang w:val="en-GB" w:eastAsia="en-GB"/>
              <w14:ligatures w14:val="standardContextual"/>
            </w:rPr>
          </w:pPr>
          <w:hyperlink w:anchor="_Toc210481141" w:history="1">
            <w:r w:rsidRPr="001D03DF">
              <w:rPr>
                <w:rStyle w:val="Hyperlink"/>
                <w:noProof/>
              </w:rPr>
              <w:t>1.8 Scope and Delimitations</w:t>
            </w:r>
            <w:r>
              <w:rPr>
                <w:noProof/>
                <w:webHidden/>
              </w:rPr>
              <w:tab/>
            </w:r>
            <w:r>
              <w:rPr>
                <w:noProof/>
                <w:webHidden/>
              </w:rPr>
              <w:fldChar w:fldCharType="begin"/>
            </w:r>
            <w:r>
              <w:rPr>
                <w:noProof/>
                <w:webHidden/>
              </w:rPr>
              <w:instrText xml:space="preserve"> PAGEREF _Toc210481141 \h </w:instrText>
            </w:r>
            <w:r>
              <w:rPr>
                <w:noProof/>
                <w:webHidden/>
              </w:rPr>
            </w:r>
            <w:r>
              <w:rPr>
                <w:noProof/>
                <w:webHidden/>
              </w:rPr>
              <w:fldChar w:fldCharType="separate"/>
            </w:r>
            <w:r>
              <w:rPr>
                <w:noProof/>
                <w:webHidden/>
              </w:rPr>
              <w:t>21</w:t>
            </w:r>
            <w:r>
              <w:rPr>
                <w:noProof/>
                <w:webHidden/>
              </w:rPr>
              <w:fldChar w:fldCharType="end"/>
            </w:r>
          </w:hyperlink>
        </w:p>
        <w:p w14:paraId="22F76B88" w14:textId="324370FC" w:rsidR="009501C5" w:rsidRDefault="009501C5">
          <w:pPr>
            <w:pStyle w:val="TOC2"/>
            <w:rPr>
              <w:rFonts w:eastAsiaTheme="minorEastAsia"/>
              <w:noProof/>
              <w:kern w:val="2"/>
              <w:sz w:val="24"/>
              <w:szCs w:val="24"/>
              <w:lang w:val="en-GB" w:eastAsia="en-GB"/>
              <w14:ligatures w14:val="standardContextual"/>
            </w:rPr>
          </w:pPr>
          <w:hyperlink w:anchor="_Toc210481142" w:history="1">
            <w:r w:rsidRPr="001D03DF">
              <w:rPr>
                <w:rStyle w:val="Hyperlink"/>
                <w:noProof/>
              </w:rPr>
              <w:t>1.9 Definition of Key Terms</w:t>
            </w:r>
            <w:r>
              <w:rPr>
                <w:noProof/>
                <w:webHidden/>
              </w:rPr>
              <w:tab/>
            </w:r>
            <w:r>
              <w:rPr>
                <w:noProof/>
                <w:webHidden/>
              </w:rPr>
              <w:fldChar w:fldCharType="begin"/>
            </w:r>
            <w:r>
              <w:rPr>
                <w:noProof/>
                <w:webHidden/>
              </w:rPr>
              <w:instrText xml:space="preserve"> PAGEREF _Toc210481142 \h </w:instrText>
            </w:r>
            <w:r>
              <w:rPr>
                <w:noProof/>
                <w:webHidden/>
              </w:rPr>
            </w:r>
            <w:r>
              <w:rPr>
                <w:noProof/>
                <w:webHidden/>
              </w:rPr>
              <w:fldChar w:fldCharType="separate"/>
            </w:r>
            <w:r>
              <w:rPr>
                <w:noProof/>
                <w:webHidden/>
              </w:rPr>
              <w:t>22</w:t>
            </w:r>
            <w:r>
              <w:rPr>
                <w:noProof/>
                <w:webHidden/>
              </w:rPr>
              <w:fldChar w:fldCharType="end"/>
            </w:r>
          </w:hyperlink>
        </w:p>
        <w:p w14:paraId="08E4F2E9" w14:textId="4C8D0D62" w:rsidR="009501C5" w:rsidRDefault="009501C5">
          <w:pPr>
            <w:pStyle w:val="TOC2"/>
            <w:rPr>
              <w:rFonts w:eastAsiaTheme="minorEastAsia"/>
              <w:noProof/>
              <w:kern w:val="2"/>
              <w:sz w:val="24"/>
              <w:szCs w:val="24"/>
              <w:lang w:val="en-GB" w:eastAsia="en-GB"/>
              <w14:ligatures w14:val="standardContextual"/>
            </w:rPr>
          </w:pPr>
          <w:hyperlink w:anchor="_Toc210481143" w:history="1">
            <w:r w:rsidRPr="001D03DF">
              <w:rPr>
                <w:rStyle w:val="Hyperlink"/>
                <w:noProof/>
              </w:rPr>
              <w:t>1.10 Significance &amp; Contribution</w:t>
            </w:r>
            <w:r>
              <w:rPr>
                <w:noProof/>
                <w:webHidden/>
              </w:rPr>
              <w:tab/>
            </w:r>
            <w:r>
              <w:rPr>
                <w:noProof/>
                <w:webHidden/>
              </w:rPr>
              <w:fldChar w:fldCharType="begin"/>
            </w:r>
            <w:r>
              <w:rPr>
                <w:noProof/>
                <w:webHidden/>
              </w:rPr>
              <w:instrText xml:space="preserve"> PAGEREF _Toc210481143 \h </w:instrText>
            </w:r>
            <w:r>
              <w:rPr>
                <w:noProof/>
                <w:webHidden/>
              </w:rPr>
            </w:r>
            <w:r>
              <w:rPr>
                <w:noProof/>
                <w:webHidden/>
              </w:rPr>
              <w:fldChar w:fldCharType="separate"/>
            </w:r>
            <w:r>
              <w:rPr>
                <w:noProof/>
                <w:webHidden/>
              </w:rPr>
              <w:t>23</w:t>
            </w:r>
            <w:r>
              <w:rPr>
                <w:noProof/>
                <w:webHidden/>
              </w:rPr>
              <w:fldChar w:fldCharType="end"/>
            </w:r>
          </w:hyperlink>
        </w:p>
        <w:p w14:paraId="52479874" w14:textId="7BB2B060" w:rsidR="009501C5" w:rsidRDefault="009501C5">
          <w:pPr>
            <w:pStyle w:val="TOC2"/>
            <w:rPr>
              <w:rFonts w:eastAsiaTheme="minorEastAsia"/>
              <w:noProof/>
              <w:kern w:val="2"/>
              <w:sz w:val="24"/>
              <w:szCs w:val="24"/>
              <w:lang w:val="en-GB" w:eastAsia="en-GB"/>
              <w14:ligatures w14:val="standardContextual"/>
            </w:rPr>
          </w:pPr>
          <w:hyperlink w:anchor="_Toc210481144" w:history="1">
            <w:r w:rsidRPr="001D03DF">
              <w:rPr>
                <w:rStyle w:val="Hyperlink"/>
                <w:noProof/>
              </w:rPr>
              <w:t>1.11 Chapter Summary</w:t>
            </w:r>
            <w:r>
              <w:rPr>
                <w:noProof/>
                <w:webHidden/>
              </w:rPr>
              <w:tab/>
            </w:r>
            <w:r>
              <w:rPr>
                <w:noProof/>
                <w:webHidden/>
              </w:rPr>
              <w:fldChar w:fldCharType="begin"/>
            </w:r>
            <w:r>
              <w:rPr>
                <w:noProof/>
                <w:webHidden/>
              </w:rPr>
              <w:instrText xml:space="preserve"> PAGEREF _Toc210481144 \h </w:instrText>
            </w:r>
            <w:r>
              <w:rPr>
                <w:noProof/>
                <w:webHidden/>
              </w:rPr>
            </w:r>
            <w:r>
              <w:rPr>
                <w:noProof/>
                <w:webHidden/>
              </w:rPr>
              <w:fldChar w:fldCharType="separate"/>
            </w:r>
            <w:r>
              <w:rPr>
                <w:noProof/>
                <w:webHidden/>
              </w:rPr>
              <w:t>24</w:t>
            </w:r>
            <w:r>
              <w:rPr>
                <w:noProof/>
                <w:webHidden/>
              </w:rPr>
              <w:fldChar w:fldCharType="end"/>
            </w:r>
          </w:hyperlink>
        </w:p>
        <w:p w14:paraId="1FB082BE" w14:textId="5C75E01A" w:rsidR="009501C5" w:rsidRDefault="009501C5">
          <w:pPr>
            <w:pStyle w:val="TOC1"/>
            <w:tabs>
              <w:tab w:val="right" w:leader="dot" w:pos="9016"/>
            </w:tabs>
            <w:rPr>
              <w:rFonts w:asciiTheme="minorHAnsi" w:eastAsiaTheme="minorEastAsia" w:hAnsiTheme="minorHAnsi"/>
              <w:b w:val="0"/>
              <w:noProof/>
              <w:kern w:val="2"/>
              <w:sz w:val="24"/>
              <w:szCs w:val="24"/>
              <w:lang w:val="en-GB" w:eastAsia="en-GB"/>
              <w14:ligatures w14:val="standardContextual"/>
            </w:rPr>
          </w:pPr>
          <w:hyperlink w:anchor="_Toc210481145" w:history="1">
            <w:r w:rsidRPr="001D03DF">
              <w:rPr>
                <w:rStyle w:val="Hyperlink"/>
                <w:rFonts w:eastAsia="Times New Roman"/>
                <w:noProof/>
              </w:rPr>
              <w:t>Chapter Two</w:t>
            </w:r>
            <w:r>
              <w:rPr>
                <w:noProof/>
                <w:webHidden/>
              </w:rPr>
              <w:tab/>
            </w:r>
            <w:r>
              <w:rPr>
                <w:noProof/>
                <w:webHidden/>
              </w:rPr>
              <w:fldChar w:fldCharType="begin"/>
            </w:r>
            <w:r>
              <w:rPr>
                <w:noProof/>
                <w:webHidden/>
              </w:rPr>
              <w:instrText xml:space="preserve"> PAGEREF _Toc210481145 \h </w:instrText>
            </w:r>
            <w:r>
              <w:rPr>
                <w:noProof/>
                <w:webHidden/>
              </w:rPr>
            </w:r>
            <w:r>
              <w:rPr>
                <w:noProof/>
                <w:webHidden/>
              </w:rPr>
              <w:fldChar w:fldCharType="separate"/>
            </w:r>
            <w:r>
              <w:rPr>
                <w:noProof/>
                <w:webHidden/>
              </w:rPr>
              <w:t>26</w:t>
            </w:r>
            <w:r>
              <w:rPr>
                <w:noProof/>
                <w:webHidden/>
              </w:rPr>
              <w:fldChar w:fldCharType="end"/>
            </w:r>
          </w:hyperlink>
        </w:p>
        <w:p w14:paraId="51947C61" w14:textId="2E28C606" w:rsidR="009501C5" w:rsidRDefault="009501C5">
          <w:pPr>
            <w:pStyle w:val="TOC2"/>
            <w:rPr>
              <w:rFonts w:eastAsiaTheme="minorEastAsia"/>
              <w:noProof/>
              <w:kern w:val="2"/>
              <w:sz w:val="24"/>
              <w:szCs w:val="24"/>
              <w:lang w:val="en-GB" w:eastAsia="en-GB"/>
              <w14:ligatures w14:val="standardContextual"/>
            </w:rPr>
          </w:pPr>
          <w:hyperlink w:anchor="_Toc210481146" w:history="1">
            <w:r w:rsidRPr="001D03DF">
              <w:rPr>
                <w:rStyle w:val="Hyperlink"/>
                <w:rFonts w:eastAsia="Times New Roman"/>
                <w:noProof/>
              </w:rPr>
              <w:t>2 Literature Review</w:t>
            </w:r>
            <w:r>
              <w:rPr>
                <w:noProof/>
                <w:webHidden/>
              </w:rPr>
              <w:tab/>
            </w:r>
            <w:r>
              <w:rPr>
                <w:noProof/>
                <w:webHidden/>
              </w:rPr>
              <w:fldChar w:fldCharType="begin"/>
            </w:r>
            <w:r>
              <w:rPr>
                <w:noProof/>
                <w:webHidden/>
              </w:rPr>
              <w:instrText xml:space="preserve"> PAGEREF _Toc210481146 \h </w:instrText>
            </w:r>
            <w:r>
              <w:rPr>
                <w:noProof/>
                <w:webHidden/>
              </w:rPr>
            </w:r>
            <w:r>
              <w:rPr>
                <w:noProof/>
                <w:webHidden/>
              </w:rPr>
              <w:fldChar w:fldCharType="separate"/>
            </w:r>
            <w:r>
              <w:rPr>
                <w:noProof/>
                <w:webHidden/>
              </w:rPr>
              <w:t>26</w:t>
            </w:r>
            <w:r>
              <w:rPr>
                <w:noProof/>
                <w:webHidden/>
              </w:rPr>
              <w:fldChar w:fldCharType="end"/>
            </w:r>
          </w:hyperlink>
        </w:p>
        <w:p w14:paraId="48746869" w14:textId="0C5060E5" w:rsidR="009501C5" w:rsidRDefault="009501C5">
          <w:pPr>
            <w:pStyle w:val="TOC2"/>
            <w:rPr>
              <w:rFonts w:eastAsiaTheme="minorEastAsia"/>
              <w:noProof/>
              <w:kern w:val="2"/>
              <w:sz w:val="24"/>
              <w:szCs w:val="24"/>
              <w:lang w:val="en-GB" w:eastAsia="en-GB"/>
              <w14:ligatures w14:val="standardContextual"/>
            </w:rPr>
          </w:pPr>
          <w:hyperlink w:anchor="_Toc210481147" w:history="1">
            <w:r w:rsidRPr="001D03DF">
              <w:rPr>
                <w:rStyle w:val="Hyperlink"/>
                <w:rFonts w:eastAsia="Times New Roman"/>
                <w:noProof/>
              </w:rPr>
              <w:t>2.2 Overview of Chapter Content</w:t>
            </w:r>
            <w:r>
              <w:rPr>
                <w:noProof/>
                <w:webHidden/>
              </w:rPr>
              <w:tab/>
            </w:r>
            <w:r>
              <w:rPr>
                <w:noProof/>
                <w:webHidden/>
              </w:rPr>
              <w:fldChar w:fldCharType="begin"/>
            </w:r>
            <w:r>
              <w:rPr>
                <w:noProof/>
                <w:webHidden/>
              </w:rPr>
              <w:instrText xml:space="preserve"> PAGEREF _Toc210481147 \h </w:instrText>
            </w:r>
            <w:r>
              <w:rPr>
                <w:noProof/>
                <w:webHidden/>
              </w:rPr>
            </w:r>
            <w:r>
              <w:rPr>
                <w:noProof/>
                <w:webHidden/>
              </w:rPr>
              <w:fldChar w:fldCharType="separate"/>
            </w:r>
            <w:r>
              <w:rPr>
                <w:noProof/>
                <w:webHidden/>
              </w:rPr>
              <w:t>26</w:t>
            </w:r>
            <w:r>
              <w:rPr>
                <w:noProof/>
                <w:webHidden/>
              </w:rPr>
              <w:fldChar w:fldCharType="end"/>
            </w:r>
          </w:hyperlink>
        </w:p>
        <w:p w14:paraId="34D64F73" w14:textId="1ABF63EA" w:rsidR="009501C5" w:rsidRDefault="009501C5">
          <w:pPr>
            <w:pStyle w:val="TOC2"/>
            <w:rPr>
              <w:rFonts w:eastAsiaTheme="minorEastAsia"/>
              <w:noProof/>
              <w:kern w:val="2"/>
              <w:sz w:val="24"/>
              <w:szCs w:val="24"/>
              <w:lang w:val="en-GB" w:eastAsia="en-GB"/>
              <w14:ligatures w14:val="standardContextual"/>
            </w:rPr>
          </w:pPr>
          <w:hyperlink w:anchor="_Toc210481148" w:history="1">
            <w:r w:rsidRPr="001D03DF">
              <w:rPr>
                <w:rStyle w:val="Hyperlink"/>
                <w:rFonts w:eastAsia="Times New Roman"/>
                <w:noProof/>
              </w:rPr>
              <w:t>2.3 Title Searches and Documentation</w:t>
            </w:r>
            <w:r>
              <w:rPr>
                <w:noProof/>
                <w:webHidden/>
              </w:rPr>
              <w:tab/>
            </w:r>
            <w:r>
              <w:rPr>
                <w:noProof/>
                <w:webHidden/>
              </w:rPr>
              <w:fldChar w:fldCharType="begin"/>
            </w:r>
            <w:r>
              <w:rPr>
                <w:noProof/>
                <w:webHidden/>
              </w:rPr>
              <w:instrText xml:space="preserve"> PAGEREF _Toc210481148 \h </w:instrText>
            </w:r>
            <w:r>
              <w:rPr>
                <w:noProof/>
                <w:webHidden/>
              </w:rPr>
            </w:r>
            <w:r>
              <w:rPr>
                <w:noProof/>
                <w:webHidden/>
              </w:rPr>
              <w:fldChar w:fldCharType="separate"/>
            </w:r>
            <w:r>
              <w:rPr>
                <w:noProof/>
                <w:webHidden/>
              </w:rPr>
              <w:t>28</w:t>
            </w:r>
            <w:r>
              <w:rPr>
                <w:noProof/>
                <w:webHidden/>
              </w:rPr>
              <w:fldChar w:fldCharType="end"/>
            </w:r>
          </w:hyperlink>
        </w:p>
        <w:p w14:paraId="1CB2B74F" w14:textId="3B077712" w:rsidR="009501C5" w:rsidRDefault="009501C5">
          <w:pPr>
            <w:pStyle w:val="TOC2"/>
            <w:rPr>
              <w:rFonts w:eastAsiaTheme="minorEastAsia"/>
              <w:noProof/>
              <w:kern w:val="2"/>
              <w:sz w:val="24"/>
              <w:szCs w:val="24"/>
              <w:lang w:val="en-GB" w:eastAsia="en-GB"/>
              <w14:ligatures w14:val="standardContextual"/>
            </w:rPr>
          </w:pPr>
          <w:hyperlink w:anchor="_Toc210481149" w:history="1">
            <w:r w:rsidRPr="001D03DF">
              <w:rPr>
                <w:rStyle w:val="Hyperlink"/>
                <w:noProof/>
              </w:rPr>
              <w:t>2.4 Thematic Synthesis Across Sectors</w:t>
            </w:r>
            <w:r>
              <w:rPr>
                <w:noProof/>
                <w:webHidden/>
              </w:rPr>
              <w:tab/>
            </w:r>
            <w:r>
              <w:rPr>
                <w:noProof/>
                <w:webHidden/>
              </w:rPr>
              <w:fldChar w:fldCharType="begin"/>
            </w:r>
            <w:r>
              <w:rPr>
                <w:noProof/>
                <w:webHidden/>
              </w:rPr>
              <w:instrText xml:space="preserve"> PAGEREF _Toc210481149 \h </w:instrText>
            </w:r>
            <w:r>
              <w:rPr>
                <w:noProof/>
                <w:webHidden/>
              </w:rPr>
            </w:r>
            <w:r>
              <w:rPr>
                <w:noProof/>
                <w:webHidden/>
              </w:rPr>
              <w:fldChar w:fldCharType="separate"/>
            </w:r>
            <w:r>
              <w:rPr>
                <w:noProof/>
                <w:webHidden/>
              </w:rPr>
              <w:t>30</w:t>
            </w:r>
            <w:r>
              <w:rPr>
                <w:noProof/>
                <w:webHidden/>
              </w:rPr>
              <w:fldChar w:fldCharType="end"/>
            </w:r>
          </w:hyperlink>
        </w:p>
        <w:p w14:paraId="0F2F24F3" w14:textId="5F7DB13C" w:rsidR="009501C5" w:rsidRDefault="009501C5">
          <w:pPr>
            <w:pStyle w:val="TOC3"/>
            <w:tabs>
              <w:tab w:val="right" w:leader="dot" w:pos="9016"/>
            </w:tabs>
            <w:rPr>
              <w:rFonts w:cstheme="minorBidi"/>
              <w:noProof/>
              <w:kern w:val="2"/>
              <w:sz w:val="24"/>
              <w:szCs w:val="24"/>
              <w14:ligatures w14:val="standardContextual"/>
            </w:rPr>
          </w:pPr>
          <w:hyperlink w:anchor="_Toc210481150" w:history="1">
            <w:r w:rsidRPr="001D03DF">
              <w:rPr>
                <w:rStyle w:val="Hyperlink"/>
                <w:rFonts w:eastAsia="Times New Roman"/>
                <w:noProof/>
              </w:rPr>
              <w:t>2.4.1 Post-Pandemic Acceleration &amp; Digital Transformation in Healthcare</w:t>
            </w:r>
            <w:r>
              <w:rPr>
                <w:noProof/>
                <w:webHidden/>
              </w:rPr>
              <w:tab/>
            </w:r>
            <w:r>
              <w:rPr>
                <w:noProof/>
                <w:webHidden/>
              </w:rPr>
              <w:fldChar w:fldCharType="begin"/>
            </w:r>
            <w:r>
              <w:rPr>
                <w:noProof/>
                <w:webHidden/>
              </w:rPr>
              <w:instrText xml:space="preserve"> PAGEREF _Toc210481150 \h </w:instrText>
            </w:r>
            <w:r>
              <w:rPr>
                <w:noProof/>
                <w:webHidden/>
              </w:rPr>
            </w:r>
            <w:r>
              <w:rPr>
                <w:noProof/>
                <w:webHidden/>
              </w:rPr>
              <w:fldChar w:fldCharType="separate"/>
            </w:r>
            <w:r>
              <w:rPr>
                <w:noProof/>
                <w:webHidden/>
              </w:rPr>
              <w:t>30</w:t>
            </w:r>
            <w:r>
              <w:rPr>
                <w:noProof/>
                <w:webHidden/>
              </w:rPr>
              <w:fldChar w:fldCharType="end"/>
            </w:r>
          </w:hyperlink>
        </w:p>
        <w:p w14:paraId="1EA92A30" w14:textId="0435F492" w:rsidR="009501C5" w:rsidRDefault="009501C5">
          <w:pPr>
            <w:pStyle w:val="TOC3"/>
            <w:tabs>
              <w:tab w:val="right" w:leader="dot" w:pos="9016"/>
            </w:tabs>
            <w:rPr>
              <w:rFonts w:cstheme="minorBidi"/>
              <w:noProof/>
              <w:kern w:val="2"/>
              <w:sz w:val="24"/>
              <w:szCs w:val="24"/>
              <w14:ligatures w14:val="standardContextual"/>
            </w:rPr>
          </w:pPr>
          <w:hyperlink w:anchor="_Toc210481151" w:history="1">
            <w:r w:rsidRPr="001D03DF">
              <w:rPr>
                <w:rStyle w:val="Hyperlink"/>
                <w:noProof/>
              </w:rPr>
              <w:t>2.4.2 Fintech Innovation Pathways: Sandboxes, Regulation, and Governance</w:t>
            </w:r>
            <w:r>
              <w:rPr>
                <w:noProof/>
                <w:webHidden/>
              </w:rPr>
              <w:tab/>
            </w:r>
            <w:r>
              <w:rPr>
                <w:noProof/>
                <w:webHidden/>
              </w:rPr>
              <w:fldChar w:fldCharType="begin"/>
            </w:r>
            <w:r>
              <w:rPr>
                <w:noProof/>
                <w:webHidden/>
              </w:rPr>
              <w:instrText xml:space="preserve"> PAGEREF _Toc210481151 \h </w:instrText>
            </w:r>
            <w:r>
              <w:rPr>
                <w:noProof/>
                <w:webHidden/>
              </w:rPr>
            </w:r>
            <w:r>
              <w:rPr>
                <w:noProof/>
                <w:webHidden/>
              </w:rPr>
              <w:fldChar w:fldCharType="separate"/>
            </w:r>
            <w:r>
              <w:rPr>
                <w:noProof/>
                <w:webHidden/>
              </w:rPr>
              <w:t>31</w:t>
            </w:r>
            <w:r>
              <w:rPr>
                <w:noProof/>
                <w:webHidden/>
              </w:rPr>
              <w:fldChar w:fldCharType="end"/>
            </w:r>
          </w:hyperlink>
        </w:p>
        <w:p w14:paraId="5AC437D9" w14:textId="4A621805" w:rsidR="009501C5" w:rsidRDefault="009501C5">
          <w:pPr>
            <w:pStyle w:val="TOC3"/>
            <w:tabs>
              <w:tab w:val="right" w:leader="dot" w:pos="9016"/>
            </w:tabs>
            <w:rPr>
              <w:rFonts w:cstheme="minorBidi"/>
              <w:noProof/>
              <w:kern w:val="2"/>
              <w:sz w:val="24"/>
              <w:szCs w:val="24"/>
              <w14:ligatures w14:val="standardContextual"/>
            </w:rPr>
          </w:pPr>
          <w:hyperlink w:anchor="_Toc210481152" w:history="1">
            <w:r w:rsidRPr="001D03DF">
              <w:rPr>
                <w:rStyle w:val="Hyperlink"/>
                <w:noProof/>
              </w:rPr>
              <w:t>2.4.3 AI Integration: Ethical, Technical, and Sectoral Divergence</w:t>
            </w:r>
            <w:r>
              <w:rPr>
                <w:noProof/>
                <w:webHidden/>
              </w:rPr>
              <w:tab/>
            </w:r>
            <w:r>
              <w:rPr>
                <w:noProof/>
                <w:webHidden/>
              </w:rPr>
              <w:fldChar w:fldCharType="begin"/>
            </w:r>
            <w:r>
              <w:rPr>
                <w:noProof/>
                <w:webHidden/>
              </w:rPr>
              <w:instrText xml:space="preserve"> PAGEREF _Toc210481152 \h </w:instrText>
            </w:r>
            <w:r>
              <w:rPr>
                <w:noProof/>
                <w:webHidden/>
              </w:rPr>
            </w:r>
            <w:r>
              <w:rPr>
                <w:noProof/>
                <w:webHidden/>
              </w:rPr>
              <w:fldChar w:fldCharType="separate"/>
            </w:r>
            <w:r>
              <w:rPr>
                <w:noProof/>
                <w:webHidden/>
              </w:rPr>
              <w:t>32</w:t>
            </w:r>
            <w:r>
              <w:rPr>
                <w:noProof/>
                <w:webHidden/>
              </w:rPr>
              <w:fldChar w:fldCharType="end"/>
            </w:r>
          </w:hyperlink>
        </w:p>
        <w:p w14:paraId="349F5374" w14:textId="2CEB7E54" w:rsidR="009501C5" w:rsidRDefault="009501C5">
          <w:pPr>
            <w:pStyle w:val="TOC3"/>
            <w:tabs>
              <w:tab w:val="right" w:leader="dot" w:pos="9016"/>
            </w:tabs>
            <w:rPr>
              <w:rFonts w:cstheme="minorBidi"/>
              <w:noProof/>
              <w:kern w:val="2"/>
              <w:sz w:val="24"/>
              <w:szCs w:val="24"/>
              <w14:ligatures w14:val="standardContextual"/>
            </w:rPr>
          </w:pPr>
          <w:hyperlink w:anchor="_Toc210481153" w:history="1">
            <w:r w:rsidRPr="001D03DF">
              <w:rPr>
                <w:rStyle w:val="Hyperlink"/>
                <w:noProof/>
              </w:rPr>
              <w:t>2.4.4 Regulatory Philosophies and Innovation Trajectories</w:t>
            </w:r>
            <w:r>
              <w:rPr>
                <w:noProof/>
                <w:webHidden/>
              </w:rPr>
              <w:tab/>
            </w:r>
            <w:r>
              <w:rPr>
                <w:noProof/>
                <w:webHidden/>
              </w:rPr>
              <w:fldChar w:fldCharType="begin"/>
            </w:r>
            <w:r>
              <w:rPr>
                <w:noProof/>
                <w:webHidden/>
              </w:rPr>
              <w:instrText xml:space="preserve"> PAGEREF _Toc210481153 \h </w:instrText>
            </w:r>
            <w:r>
              <w:rPr>
                <w:noProof/>
                <w:webHidden/>
              </w:rPr>
            </w:r>
            <w:r>
              <w:rPr>
                <w:noProof/>
                <w:webHidden/>
              </w:rPr>
              <w:fldChar w:fldCharType="separate"/>
            </w:r>
            <w:r>
              <w:rPr>
                <w:noProof/>
                <w:webHidden/>
              </w:rPr>
              <w:t>32</w:t>
            </w:r>
            <w:r>
              <w:rPr>
                <w:noProof/>
                <w:webHidden/>
              </w:rPr>
              <w:fldChar w:fldCharType="end"/>
            </w:r>
          </w:hyperlink>
        </w:p>
        <w:p w14:paraId="5F5157E4" w14:textId="59C4F6AF" w:rsidR="009501C5" w:rsidRDefault="009501C5">
          <w:pPr>
            <w:pStyle w:val="TOC3"/>
            <w:tabs>
              <w:tab w:val="right" w:leader="dot" w:pos="9016"/>
            </w:tabs>
            <w:rPr>
              <w:rFonts w:cstheme="minorBidi"/>
              <w:noProof/>
              <w:kern w:val="2"/>
              <w:sz w:val="24"/>
              <w:szCs w:val="24"/>
              <w14:ligatures w14:val="standardContextual"/>
            </w:rPr>
          </w:pPr>
          <w:hyperlink w:anchor="_Toc210481154" w:history="1">
            <w:r w:rsidRPr="001D03DF">
              <w:rPr>
                <w:rStyle w:val="Hyperlink"/>
                <w:noProof/>
              </w:rPr>
              <w:t>2.4.5 Divergent Ethical Priorities</w:t>
            </w:r>
            <w:r>
              <w:rPr>
                <w:noProof/>
                <w:webHidden/>
              </w:rPr>
              <w:tab/>
            </w:r>
            <w:r>
              <w:rPr>
                <w:noProof/>
                <w:webHidden/>
              </w:rPr>
              <w:fldChar w:fldCharType="begin"/>
            </w:r>
            <w:r>
              <w:rPr>
                <w:noProof/>
                <w:webHidden/>
              </w:rPr>
              <w:instrText xml:space="preserve"> PAGEREF _Toc210481154 \h </w:instrText>
            </w:r>
            <w:r>
              <w:rPr>
                <w:noProof/>
                <w:webHidden/>
              </w:rPr>
            </w:r>
            <w:r>
              <w:rPr>
                <w:noProof/>
                <w:webHidden/>
              </w:rPr>
              <w:fldChar w:fldCharType="separate"/>
            </w:r>
            <w:r>
              <w:rPr>
                <w:noProof/>
                <w:webHidden/>
              </w:rPr>
              <w:t>33</w:t>
            </w:r>
            <w:r>
              <w:rPr>
                <w:noProof/>
                <w:webHidden/>
              </w:rPr>
              <w:fldChar w:fldCharType="end"/>
            </w:r>
          </w:hyperlink>
        </w:p>
        <w:p w14:paraId="4EA59BFF" w14:textId="33894B02" w:rsidR="009501C5" w:rsidRDefault="009501C5">
          <w:pPr>
            <w:pStyle w:val="TOC3"/>
            <w:tabs>
              <w:tab w:val="right" w:leader="dot" w:pos="9016"/>
            </w:tabs>
            <w:rPr>
              <w:rFonts w:cstheme="minorBidi"/>
              <w:noProof/>
              <w:kern w:val="2"/>
              <w:sz w:val="24"/>
              <w:szCs w:val="24"/>
              <w14:ligatures w14:val="standardContextual"/>
            </w:rPr>
          </w:pPr>
          <w:hyperlink w:anchor="_Toc210481155" w:history="1">
            <w:r w:rsidRPr="001D03DF">
              <w:rPr>
                <w:rStyle w:val="Hyperlink"/>
                <w:noProof/>
              </w:rPr>
              <w:t>2.4.6 Blockchain Applications: Security vs. Speed</w:t>
            </w:r>
            <w:r>
              <w:rPr>
                <w:noProof/>
                <w:webHidden/>
              </w:rPr>
              <w:tab/>
            </w:r>
            <w:r>
              <w:rPr>
                <w:noProof/>
                <w:webHidden/>
              </w:rPr>
              <w:fldChar w:fldCharType="begin"/>
            </w:r>
            <w:r>
              <w:rPr>
                <w:noProof/>
                <w:webHidden/>
              </w:rPr>
              <w:instrText xml:space="preserve"> PAGEREF _Toc210481155 \h </w:instrText>
            </w:r>
            <w:r>
              <w:rPr>
                <w:noProof/>
                <w:webHidden/>
              </w:rPr>
            </w:r>
            <w:r>
              <w:rPr>
                <w:noProof/>
                <w:webHidden/>
              </w:rPr>
              <w:fldChar w:fldCharType="separate"/>
            </w:r>
            <w:r>
              <w:rPr>
                <w:noProof/>
                <w:webHidden/>
              </w:rPr>
              <w:t>33</w:t>
            </w:r>
            <w:r>
              <w:rPr>
                <w:noProof/>
                <w:webHidden/>
              </w:rPr>
              <w:fldChar w:fldCharType="end"/>
            </w:r>
          </w:hyperlink>
        </w:p>
        <w:p w14:paraId="425E5B21" w14:textId="2B9E3301" w:rsidR="009501C5" w:rsidRDefault="009501C5">
          <w:pPr>
            <w:pStyle w:val="TOC3"/>
            <w:tabs>
              <w:tab w:val="right" w:leader="dot" w:pos="9016"/>
            </w:tabs>
            <w:rPr>
              <w:rFonts w:cstheme="minorBidi"/>
              <w:noProof/>
              <w:kern w:val="2"/>
              <w:sz w:val="24"/>
              <w:szCs w:val="24"/>
              <w14:ligatures w14:val="standardContextual"/>
            </w:rPr>
          </w:pPr>
          <w:hyperlink w:anchor="_Toc210481156" w:history="1">
            <w:r w:rsidRPr="001D03DF">
              <w:rPr>
                <w:rStyle w:val="Hyperlink"/>
                <w:noProof/>
              </w:rPr>
              <w:t>2.4.7 Innovation Funding Models</w:t>
            </w:r>
            <w:r>
              <w:rPr>
                <w:noProof/>
                <w:webHidden/>
              </w:rPr>
              <w:tab/>
            </w:r>
            <w:r>
              <w:rPr>
                <w:noProof/>
                <w:webHidden/>
              </w:rPr>
              <w:fldChar w:fldCharType="begin"/>
            </w:r>
            <w:r>
              <w:rPr>
                <w:noProof/>
                <w:webHidden/>
              </w:rPr>
              <w:instrText xml:space="preserve"> PAGEREF _Toc210481156 \h </w:instrText>
            </w:r>
            <w:r>
              <w:rPr>
                <w:noProof/>
                <w:webHidden/>
              </w:rPr>
            </w:r>
            <w:r>
              <w:rPr>
                <w:noProof/>
                <w:webHidden/>
              </w:rPr>
              <w:fldChar w:fldCharType="separate"/>
            </w:r>
            <w:r>
              <w:rPr>
                <w:noProof/>
                <w:webHidden/>
              </w:rPr>
              <w:t>34</w:t>
            </w:r>
            <w:r>
              <w:rPr>
                <w:noProof/>
                <w:webHidden/>
              </w:rPr>
              <w:fldChar w:fldCharType="end"/>
            </w:r>
          </w:hyperlink>
        </w:p>
        <w:p w14:paraId="38DAE47E" w14:textId="712F8FA7" w:rsidR="009501C5" w:rsidRDefault="009501C5">
          <w:pPr>
            <w:pStyle w:val="TOC3"/>
            <w:tabs>
              <w:tab w:val="right" w:leader="dot" w:pos="9016"/>
            </w:tabs>
            <w:rPr>
              <w:rFonts w:cstheme="minorBidi"/>
              <w:noProof/>
              <w:kern w:val="2"/>
              <w:sz w:val="24"/>
              <w:szCs w:val="24"/>
              <w14:ligatures w14:val="standardContextual"/>
            </w:rPr>
          </w:pPr>
          <w:hyperlink w:anchor="_Toc210481157" w:history="1">
            <w:r w:rsidRPr="001D03DF">
              <w:rPr>
                <w:rStyle w:val="Hyperlink"/>
                <w:noProof/>
              </w:rPr>
              <w:t>2.4.8 Cross-Sector Technology Synergies</w:t>
            </w:r>
            <w:r>
              <w:rPr>
                <w:noProof/>
                <w:webHidden/>
              </w:rPr>
              <w:tab/>
            </w:r>
            <w:r>
              <w:rPr>
                <w:noProof/>
                <w:webHidden/>
              </w:rPr>
              <w:fldChar w:fldCharType="begin"/>
            </w:r>
            <w:r>
              <w:rPr>
                <w:noProof/>
                <w:webHidden/>
              </w:rPr>
              <w:instrText xml:space="preserve"> PAGEREF _Toc210481157 \h </w:instrText>
            </w:r>
            <w:r>
              <w:rPr>
                <w:noProof/>
                <w:webHidden/>
              </w:rPr>
            </w:r>
            <w:r>
              <w:rPr>
                <w:noProof/>
                <w:webHidden/>
              </w:rPr>
              <w:fldChar w:fldCharType="separate"/>
            </w:r>
            <w:r>
              <w:rPr>
                <w:noProof/>
                <w:webHidden/>
              </w:rPr>
              <w:t>35</w:t>
            </w:r>
            <w:r>
              <w:rPr>
                <w:noProof/>
                <w:webHidden/>
              </w:rPr>
              <w:fldChar w:fldCharType="end"/>
            </w:r>
          </w:hyperlink>
        </w:p>
        <w:p w14:paraId="407C9801" w14:textId="44B660D5" w:rsidR="009501C5" w:rsidRDefault="009501C5">
          <w:pPr>
            <w:pStyle w:val="TOC3"/>
            <w:tabs>
              <w:tab w:val="right" w:leader="dot" w:pos="9016"/>
            </w:tabs>
            <w:rPr>
              <w:rFonts w:cstheme="minorBidi"/>
              <w:noProof/>
              <w:kern w:val="2"/>
              <w:sz w:val="24"/>
              <w:szCs w:val="24"/>
              <w14:ligatures w14:val="standardContextual"/>
            </w:rPr>
          </w:pPr>
          <w:hyperlink w:anchor="_Toc210481158" w:history="1">
            <w:r w:rsidRPr="001D03DF">
              <w:rPr>
                <w:rStyle w:val="Hyperlink"/>
                <w:noProof/>
              </w:rPr>
              <w:t>2.4. 9 Theoretical Frameworks</w:t>
            </w:r>
            <w:r>
              <w:rPr>
                <w:noProof/>
                <w:webHidden/>
              </w:rPr>
              <w:tab/>
            </w:r>
            <w:r>
              <w:rPr>
                <w:noProof/>
                <w:webHidden/>
              </w:rPr>
              <w:fldChar w:fldCharType="begin"/>
            </w:r>
            <w:r>
              <w:rPr>
                <w:noProof/>
                <w:webHidden/>
              </w:rPr>
              <w:instrText xml:space="preserve"> PAGEREF _Toc210481158 \h </w:instrText>
            </w:r>
            <w:r>
              <w:rPr>
                <w:noProof/>
                <w:webHidden/>
              </w:rPr>
            </w:r>
            <w:r>
              <w:rPr>
                <w:noProof/>
                <w:webHidden/>
              </w:rPr>
              <w:fldChar w:fldCharType="separate"/>
            </w:r>
            <w:r>
              <w:rPr>
                <w:noProof/>
                <w:webHidden/>
              </w:rPr>
              <w:t>35</w:t>
            </w:r>
            <w:r>
              <w:rPr>
                <w:noProof/>
                <w:webHidden/>
              </w:rPr>
              <w:fldChar w:fldCharType="end"/>
            </w:r>
          </w:hyperlink>
        </w:p>
        <w:p w14:paraId="06E03D3A" w14:textId="5937B50A" w:rsidR="009501C5" w:rsidRDefault="009501C5">
          <w:pPr>
            <w:pStyle w:val="TOC3"/>
            <w:tabs>
              <w:tab w:val="right" w:leader="dot" w:pos="9016"/>
            </w:tabs>
            <w:rPr>
              <w:rFonts w:cstheme="minorBidi"/>
              <w:noProof/>
              <w:kern w:val="2"/>
              <w:sz w:val="24"/>
              <w:szCs w:val="24"/>
              <w14:ligatures w14:val="standardContextual"/>
            </w:rPr>
          </w:pPr>
          <w:hyperlink w:anchor="_Toc210481159" w:history="1">
            <w:r w:rsidRPr="001D03DF">
              <w:rPr>
                <w:rStyle w:val="Hyperlink"/>
                <w:noProof/>
              </w:rPr>
              <w:t>2.4.10 Policy Implications</w:t>
            </w:r>
            <w:r>
              <w:rPr>
                <w:noProof/>
                <w:webHidden/>
              </w:rPr>
              <w:tab/>
            </w:r>
            <w:r>
              <w:rPr>
                <w:noProof/>
                <w:webHidden/>
              </w:rPr>
              <w:fldChar w:fldCharType="begin"/>
            </w:r>
            <w:r>
              <w:rPr>
                <w:noProof/>
                <w:webHidden/>
              </w:rPr>
              <w:instrText xml:space="preserve"> PAGEREF _Toc210481159 \h </w:instrText>
            </w:r>
            <w:r>
              <w:rPr>
                <w:noProof/>
                <w:webHidden/>
              </w:rPr>
            </w:r>
            <w:r>
              <w:rPr>
                <w:noProof/>
                <w:webHidden/>
              </w:rPr>
              <w:fldChar w:fldCharType="separate"/>
            </w:r>
            <w:r>
              <w:rPr>
                <w:noProof/>
                <w:webHidden/>
              </w:rPr>
              <w:t>36</w:t>
            </w:r>
            <w:r>
              <w:rPr>
                <w:noProof/>
                <w:webHidden/>
              </w:rPr>
              <w:fldChar w:fldCharType="end"/>
            </w:r>
          </w:hyperlink>
        </w:p>
        <w:p w14:paraId="63998BE5" w14:textId="493CC1E1" w:rsidR="009501C5" w:rsidRDefault="009501C5">
          <w:pPr>
            <w:pStyle w:val="TOC3"/>
            <w:tabs>
              <w:tab w:val="right" w:leader="dot" w:pos="9016"/>
            </w:tabs>
            <w:rPr>
              <w:rFonts w:cstheme="minorBidi"/>
              <w:noProof/>
              <w:kern w:val="2"/>
              <w:sz w:val="24"/>
              <w:szCs w:val="24"/>
              <w14:ligatures w14:val="standardContextual"/>
            </w:rPr>
          </w:pPr>
          <w:hyperlink w:anchor="_Toc210481160" w:history="1">
            <w:r w:rsidRPr="001D03DF">
              <w:rPr>
                <w:rStyle w:val="Hyperlink"/>
                <w:noProof/>
              </w:rPr>
              <w:t>2.4.11 Future Trajectories</w:t>
            </w:r>
            <w:r>
              <w:rPr>
                <w:noProof/>
                <w:webHidden/>
              </w:rPr>
              <w:tab/>
            </w:r>
            <w:r>
              <w:rPr>
                <w:noProof/>
                <w:webHidden/>
              </w:rPr>
              <w:fldChar w:fldCharType="begin"/>
            </w:r>
            <w:r>
              <w:rPr>
                <w:noProof/>
                <w:webHidden/>
              </w:rPr>
              <w:instrText xml:space="preserve"> PAGEREF _Toc210481160 \h </w:instrText>
            </w:r>
            <w:r>
              <w:rPr>
                <w:noProof/>
                <w:webHidden/>
              </w:rPr>
            </w:r>
            <w:r>
              <w:rPr>
                <w:noProof/>
                <w:webHidden/>
              </w:rPr>
              <w:fldChar w:fldCharType="separate"/>
            </w:r>
            <w:r>
              <w:rPr>
                <w:noProof/>
                <w:webHidden/>
              </w:rPr>
              <w:t>37</w:t>
            </w:r>
            <w:r>
              <w:rPr>
                <w:noProof/>
                <w:webHidden/>
              </w:rPr>
              <w:fldChar w:fldCharType="end"/>
            </w:r>
          </w:hyperlink>
        </w:p>
        <w:p w14:paraId="1498C861" w14:textId="3E095DD8" w:rsidR="009501C5" w:rsidRDefault="009501C5">
          <w:pPr>
            <w:pStyle w:val="TOC3"/>
            <w:tabs>
              <w:tab w:val="right" w:leader="dot" w:pos="9016"/>
            </w:tabs>
            <w:rPr>
              <w:rFonts w:cstheme="minorBidi"/>
              <w:noProof/>
              <w:kern w:val="2"/>
              <w:sz w:val="24"/>
              <w:szCs w:val="24"/>
              <w14:ligatures w14:val="standardContextual"/>
            </w:rPr>
          </w:pPr>
          <w:hyperlink w:anchor="_Toc210481161" w:history="1">
            <w:r w:rsidRPr="001D03DF">
              <w:rPr>
                <w:rStyle w:val="Hyperlink"/>
                <w:noProof/>
              </w:rPr>
              <w:t>2.4.12 Organisational Culture</w:t>
            </w:r>
            <w:r>
              <w:rPr>
                <w:noProof/>
                <w:webHidden/>
              </w:rPr>
              <w:tab/>
            </w:r>
            <w:r>
              <w:rPr>
                <w:noProof/>
                <w:webHidden/>
              </w:rPr>
              <w:fldChar w:fldCharType="begin"/>
            </w:r>
            <w:r>
              <w:rPr>
                <w:noProof/>
                <w:webHidden/>
              </w:rPr>
              <w:instrText xml:space="preserve"> PAGEREF _Toc210481161 \h </w:instrText>
            </w:r>
            <w:r>
              <w:rPr>
                <w:noProof/>
                <w:webHidden/>
              </w:rPr>
            </w:r>
            <w:r>
              <w:rPr>
                <w:noProof/>
                <w:webHidden/>
              </w:rPr>
              <w:fldChar w:fldCharType="separate"/>
            </w:r>
            <w:r>
              <w:rPr>
                <w:noProof/>
                <w:webHidden/>
              </w:rPr>
              <w:t>37</w:t>
            </w:r>
            <w:r>
              <w:rPr>
                <w:noProof/>
                <w:webHidden/>
              </w:rPr>
              <w:fldChar w:fldCharType="end"/>
            </w:r>
          </w:hyperlink>
        </w:p>
        <w:p w14:paraId="444BF234" w14:textId="32ADE750" w:rsidR="009501C5" w:rsidRDefault="009501C5">
          <w:pPr>
            <w:pStyle w:val="TOC3"/>
            <w:tabs>
              <w:tab w:val="right" w:leader="dot" w:pos="9016"/>
            </w:tabs>
            <w:rPr>
              <w:rFonts w:cstheme="minorBidi"/>
              <w:noProof/>
              <w:kern w:val="2"/>
              <w:sz w:val="24"/>
              <w:szCs w:val="24"/>
              <w14:ligatures w14:val="standardContextual"/>
            </w:rPr>
          </w:pPr>
          <w:hyperlink w:anchor="_Toc210481162" w:history="1">
            <w:r w:rsidRPr="001D03DF">
              <w:rPr>
                <w:rStyle w:val="Hyperlink"/>
                <w:noProof/>
              </w:rPr>
              <w:t>2.4.13 Healthtech–Fintech Synergy</w:t>
            </w:r>
            <w:r>
              <w:rPr>
                <w:noProof/>
                <w:webHidden/>
              </w:rPr>
              <w:tab/>
            </w:r>
            <w:r>
              <w:rPr>
                <w:noProof/>
                <w:webHidden/>
              </w:rPr>
              <w:fldChar w:fldCharType="begin"/>
            </w:r>
            <w:r>
              <w:rPr>
                <w:noProof/>
                <w:webHidden/>
              </w:rPr>
              <w:instrText xml:space="preserve"> PAGEREF _Toc210481162 \h </w:instrText>
            </w:r>
            <w:r>
              <w:rPr>
                <w:noProof/>
                <w:webHidden/>
              </w:rPr>
            </w:r>
            <w:r>
              <w:rPr>
                <w:noProof/>
                <w:webHidden/>
              </w:rPr>
              <w:fldChar w:fldCharType="separate"/>
            </w:r>
            <w:r>
              <w:rPr>
                <w:noProof/>
                <w:webHidden/>
              </w:rPr>
              <w:t>38</w:t>
            </w:r>
            <w:r>
              <w:rPr>
                <w:noProof/>
                <w:webHidden/>
              </w:rPr>
              <w:fldChar w:fldCharType="end"/>
            </w:r>
          </w:hyperlink>
        </w:p>
        <w:p w14:paraId="30977AE0" w14:textId="27C1471A" w:rsidR="009501C5" w:rsidRDefault="009501C5">
          <w:pPr>
            <w:pStyle w:val="TOC3"/>
            <w:tabs>
              <w:tab w:val="right" w:leader="dot" w:pos="9016"/>
            </w:tabs>
            <w:rPr>
              <w:rFonts w:cstheme="minorBidi"/>
              <w:noProof/>
              <w:kern w:val="2"/>
              <w:sz w:val="24"/>
              <w:szCs w:val="24"/>
              <w14:ligatures w14:val="standardContextual"/>
            </w:rPr>
          </w:pPr>
          <w:hyperlink w:anchor="_Toc210481163" w:history="1">
            <w:r w:rsidRPr="001D03DF">
              <w:rPr>
                <w:rStyle w:val="Hyperlink"/>
                <w:noProof/>
              </w:rPr>
              <w:t>2.4.14 Algorithmic Fairness</w:t>
            </w:r>
            <w:r>
              <w:rPr>
                <w:noProof/>
                <w:webHidden/>
              </w:rPr>
              <w:tab/>
            </w:r>
            <w:r>
              <w:rPr>
                <w:noProof/>
                <w:webHidden/>
              </w:rPr>
              <w:fldChar w:fldCharType="begin"/>
            </w:r>
            <w:r>
              <w:rPr>
                <w:noProof/>
                <w:webHidden/>
              </w:rPr>
              <w:instrText xml:space="preserve"> PAGEREF _Toc210481163 \h </w:instrText>
            </w:r>
            <w:r>
              <w:rPr>
                <w:noProof/>
                <w:webHidden/>
              </w:rPr>
            </w:r>
            <w:r>
              <w:rPr>
                <w:noProof/>
                <w:webHidden/>
              </w:rPr>
              <w:fldChar w:fldCharType="separate"/>
            </w:r>
            <w:r>
              <w:rPr>
                <w:noProof/>
                <w:webHidden/>
              </w:rPr>
              <w:t>38</w:t>
            </w:r>
            <w:r>
              <w:rPr>
                <w:noProof/>
                <w:webHidden/>
              </w:rPr>
              <w:fldChar w:fldCharType="end"/>
            </w:r>
          </w:hyperlink>
        </w:p>
        <w:p w14:paraId="3E51AFE1" w14:textId="4DC1438B" w:rsidR="009501C5" w:rsidRDefault="009501C5">
          <w:pPr>
            <w:pStyle w:val="TOC3"/>
            <w:tabs>
              <w:tab w:val="right" w:leader="dot" w:pos="9016"/>
            </w:tabs>
            <w:rPr>
              <w:rFonts w:cstheme="minorBidi"/>
              <w:noProof/>
              <w:kern w:val="2"/>
              <w:sz w:val="24"/>
              <w:szCs w:val="24"/>
              <w14:ligatures w14:val="standardContextual"/>
            </w:rPr>
          </w:pPr>
          <w:hyperlink w:anchor="_Toc210481164" w:history="1">
            <w:r w:rsidRPr="001D03DF">
              <w:rPr>
                <w:rStyle w:val="Hyperlink"/>
                <w:noProof/>
              </w:rPr>
              <w:t>2.4.15 Regulatory Harmonisation</w:t>
            </w:r>
            <w:r>
              <w:rPr>
                <w:noProof/>
                <w:webHidden/>
              </w:rPr>
              <w:tab/>
            </w:r>
            <w:r>
              <w:rPr>
                <w:noProof/>
                <w:webHidden/>
              </w:rPr>
              <w:fldChar w:fldCharType="begin"/>
            </w:r>
            <w:r>
              <w:rPr>
                <w:noProof/>
                <w:webHidden/>
              </w:rPr>
              <w:instrText xml:space="preserve"> PAGEREF _Toc210481164 \h </w:instrText>
            </w:r>
            <w:r>
              <w:rPr>
                <w:noProof/>
                <w:webHidden/>
              </w:rPr>
            </w:r>
            <w:r>
              <w:rPr>
                <w:noProof/>
                <w:webHidden/>
              </w:rPr>
              <w:fldChar w:fldCharType="separate"/>
            </w:r>
            <w:r>
              <w:rPr>
                <w:noProof/>
                <w:webHidden/>
              </w:rPr>
              <w:t>39</w:t>
            </w:r>
            <w:r>
              <w:rPr>
                <w:noProof/>
                <w:webHidden/>
              </w:rPr>
              <w:fldChar w:fldCharType="end"/>
            </w:r>
          </w:hyperlink>
        </w:p>
        <w:p w14:paraId="5ED50FAC" w14:textId="30F6880A" w:rsidR="009501C5" w:rsidRDefault="009501C5">
          <w:pPr>
            <w:pStyle w:val="TOC3"/>
            <w:tabs>
              <w:tab w:val="right" w:leader="dot" w:pos="9016"/>
            </w:tabs>
            <w:rPr>
              <w:rFonts w:cstheme="minorBidi"/>
              <w:noProof/>
              <w:kern w:val="2"/>
              <w:sz w:val="24"/>
              <w:szCs w:val="24"/>
              <w14:ligatures w14:val="standardContextual"/>
            </w:rPr>
          </w:pPr>
          <w:hyperlink w:anchor="_Toc210481165" w:history="1">
            <w:r w:rsidRPr="001D03DF">
              <w:rPr>
                <w:rStyle w:val="Hyperlink"/>
                <w:noProof/>
              </w:rPr>
              <w:t>2.4.16 Adaptive Trials vs. Regulatory Sandboxes</w:t>
            </w:r>
            <w:r>
              <w:rPr>
                <w:noProof/>
                <w:webHidden/>
              </w:rPr>
              <w:tab/>
            </w:r>
            <w:r>
              <w:rPr>
                <w:noProof/>
                <w:webHidden/>
              </w:rPr>
              <w:fldChar w:fldCharType="begin"/>
            </w:r>
            <w:r>
              <w:rPr>
                <w:noProof/>
                <w:webHidden/>
              </w:rPr>
              <w:instrText xml:space="preserve"> PAGEREF _Toc210481165 \h </w:instrText>
            </w:r>
            <w:r>
              <w:rPr>
                <w:noProof/>
                <w:webHidden/>
              </w:rPr>
            </w:r>
            <w:r>
              <w:rPr>
                <w:noProof/>
                <w:webHidden/>
              </w:rPr>
              <w:fldChar w:fldCharType="separate"/>
            </w:r>
            <w:r>
              <w:rPr>
                <w:noProof/>
                <w:webHidden/>
              </w:rPr>
              <w:t>40</w:t>
            </w:r>
            <w:r>
              <w:rPr>
                <w:noProof/>
                <w:webHidden/>
              </w:rPr>
              <w:fldChar w:fldCharType="end"/>
            </w:r>
          </w:hyperlink>
        </w:p>
        <w:p w14:paraId="2EC71785" w14:textId="7D83E51E" w:rsidR="009501C5" w:rsidRDefault="009501C5">
          <w:pPr>
            <w:pStyle w:val="TOC3"/>
            <w:tabs>
              <w:tab w:val="right" w:leader="dot" w:pos="9016"/>
            </w:tabs>
            <w:rPr>
              <w:rFonts w:cstheme="minorBidi"/>
              <w:noProof/>
              <w:kern w:val="2"/>
              <w:sz w:val="24"/>
              <w:szCs w:val="24"/>
              <w14:ligatures w14:val="standardContextual"/>
            </w:rPr>
          </w:pPr>
          <w:hyperlink w:anchor="_Toc210481166" w:history="1">
            <w:r w:rsidRPr="001D03DF">
              <w:rPr>
                <w:rStyle w:val="Hyperlink"/>
                <w:noProof/>
              </w:rPr>
              <w:t>2.4.17 Decentralised Systems: From DeFi to Distributed EHRs</w:t>
            </w:r>
            <w:r>
              <w:rPr>
                <w:noProof/>
                <w:webHidden/>
              </w:rPr>
              <w:tab/>
            </w:r>
            <w:r>
              <w:rPr>
                <w:noProof/>
                <w:webHidden/>
              </w:rPr>
              <w:fldChar w:fldCharType="begin"/>
            </w:r>
            <w:r>
              <w:rPr>
                <w:noProof/>
                <w:webHidden/>
              </w:rPr>
              <w:instrText xml:space="preserve"> PAGEREF _Toc210481166 \h </w:instrText>
            </w:r>
            <w:r>
              <w:rPr>
                <w:noProof/>
                <w:webHidden/>
              </w:rPr>
            </w:r>
            <w:r>
              <w:rPr>
                <w:noProof/>
                <w:webHidden/>
              </w:rPr>
              <w:fldChar w:fldCharType="separate"/>
            </w:r>
            <w:r>
              <w:rPr>
                <w:noProof/>
                <w:webHidden/>
              </w:rPr>
              <w:t>40</w:t>
            </w:r>
            <w:r>
              <w:rPr>
                <w:noProof/>
                <w:webHidden/>
              </w:rPr>
              <w:fldChar w:fldCharType="end"/>
            </w:r>
          </w:hyperlink>
        </w:p>
        <w:p w14:paraId="26DE2195" w14:textId="4D9E4CF4" w:rsidR="009501C5" w:rsidRDefault="009501C5">
          <w:pPr>
            <w:pStyle w:val="TOC3"/>
            <w:tabs>
              <w:tab w:val="right" w:leader="dot" w:pos="9016"/>
            </w:tabs>
            <w:rPr>
              <w:rFonts w:cstheme="minorBidi"/>
              <w:noProof/>
              <w:kern w:val="2"/>
              <w:sz w:val="24"/>
              <w:szCs w:val="24"/>
              <w14:ligatures w14:val="standardContextual"/>
            </w:rPr>
          </w:pPr>
          <w:hyperlink w:anchor="_Toc210481167" w:history="1">
            <w:r w:rsidRPr="001D03DF">
              <w:rPr>
                <w:rStyle w:val="Hyperlink"/>
                <w:noProof/>
              </w:rPr>
              <w:t>2.4.18 Human-in-the-Loop (HITL) Governance Models</w:t>
            </w:r>
            <w:r>
              <w:rPr>
                <w:noProof/>
                <w:webHidden/>
              </w:rPr>
              <w:tab/>
            </w:r>
            <w:r>
              <w:rPr>
                <w:noProof/>
                <w:webHidden/>
              </w:rPr>
              <w:fldChar w:fldCharType="begin"/>
            </w:r>
            <w:r>
              <w:rPr>
                <w:noProof/>
                <w:webHidden/>
              </w:rPr>
              <w:instrText xml:space="preserve"> PAGEREF _Toc210481167 \h </w:instrText>
            </w:r>
            <w:r>
              <w:rPr>
                <w:noProof/>
                <w:webHidden/>
              </w:rPr>
            </w:r>
            <w:r>
              <w:rPr>
                <w:noProof/>
                <w:webHidden/>
              </w:rPr>
              <w:fldChar w:fldCharType="separate"/>
            </w:r>
            <w:r>
              <w:rPr>
                <w:noProof/>
                <w:webHidden/>
              </w:rPr>
              <w:t>41</w:t>
            </w:r>
            <w:r>
              <w:rPr>
                <w:noProof/>
                <w:webHidden/>
              </w:rPr>
              <w:fldChar w:fldCharType="end"/>
            </w:r>
          </w:hyperlink>
        </w:p>
        <w:p w14:paraId="32BB29EC" w14:textId="584AEACA" w:rsidR="009501C5" w:rsidRDefault="009501C5">
          <w:pPr>
            <w:pStyle w:val="TOC3"/>
            <w:tabs>
              <w:tab w:val="right" w:leader="dot" w:pos="9016"/>
            </w:tabs>
            <w:rPr>
              <w:rFonts w:cstheme="minorBidi"/>
              <w:noProof/>
              <w:kern w:val="2"/>
              <w:sz w:val="24"/>
              <w:szCs w:val="24"/>
              <w14:ligatures w14:val="standardContextual"/>
            </w:rPr>
          </w:pPr>
          <w:hyperlink w:anchor="_Toc210481168" w:history="1">
            <w:r w:rsidRPr="001D03DF">
              <w:rPr>
                <w:rStyle w:val="Hyperlink"/>
                <w:noProof/>
              </w:rPr>
              <w:t>2.4.19 Sustainability and Green Innovation in Tech Infrastructure</w:t>
            </w:r>
            <w:r>
              <w:rPr>
                <w:noProof/>
                <w:webHidden/>
              </w:rPr>
              <w:tab/>
            </w:r>
            <w:r>
              <w:rPr>
                <w:noProof/>
                <w:webHidden/>
              </w:rPr>
              <w:fldChar w:fldCharType="begin"/>
            </w:r>
            <w:r>
              <w:rPr>
                <w:noProof/>
                <w:webHidden/>
              </w:rPr>
              <w:instrText xml:space="preserve"> PAGEREF _Toc210481168 \h </w:instrText>
            </w:r>
            <w:r>
              <w:rPr>
                <w:noProof/>
                <w:webHidden/>
              </w:rPr>
            </w:r>
            <w:r>
              <w:rPr>
                <w:noProof/>
                <w:webHidden/>
              </w:rPr>
              <w:fldChar w:fldCharType="separate"/>
            </w:r>
            <w:r>
              <w:rPr>
                <w:noProof/>
                <w:webHidden/>
              </w:rPr>
              <w:t>41</w:t>
            </w:r>
            <w:r>
              <w:rPr>
                <w:noProof/>
                <w:webHidden/>
              </w:rPr>
              <w:fldChar w:fldCharType="end"/>
            </w:r>
          </w:hyperlink>
        </w:p>
        <w:p w14:paraId="5143FF93" w14:textId="1A7F9BC4" w:rsidR="009501C5" w:rsidRDefault="009501C5">
          <w:pPr>
            <w:pStyle w:val="TOC3"/>
            <w:tabs>
              <w:tab w:val="right" w:leader="dot" w:pos="9016"/>
            </w:tabs>
            <w:rPr>
              <w:rFonts w:cstheme="minorBidi"/>
              <w:noProof/>
              <w:kern w:val="2"/>
              <w:sz w:val="24"/>
              <w:szCs w:val="24"/>
              <w14:ligatures w14:val="standardContextual"/>
            </w:rPr>
          </w:pPr>
          <w:hyperlink w:anchor="_Toc210481169" w:history="1">
            <w:r w:rsidRPr="001D03DF">
              <w:rPr>
                <w:rStyle w:val="Hyperlink"/>
                <w:noProof/>
              </w:rPr>
              <w:t>2.4.20 Platformisation of Services</w:t>
            </w:r>
            <w:r>
              <w:rPr>
                <w:noProof/>
                <w:webHidden/>
              </w:rPr>
              <w:tab/>
            </w:r>
            <w:r>
              <w:rPr>
                <w:noProof/>
                <w:webHidden/>
              </w:rPr>
              <w:fldChar w:fldCharType="begin"/>
            </w:r>
            <w:r>
              <w:rPr>
                <w:noProof/>
                <w:webHidden/>
              </w:rPr>
              <w:instrText xml:space="preserve"> PAGEREF _Toc210481169 \h </w:instrText>
            </w:r>
            <w:r>
              <w:rPr>
                <w:noProof/>
                <w:webHidden/>
              </w:rPr>
            </w:r>
            <w:r>
              <w:rPr>
                <w:noProof/>
                <w:webHidden/>
              </w:rPr>
              <w:fldChar w:fldCharType="separate"/>
            </w:r>
            <w:r>
              <w:rPr>
                <w:noProof/>
                <w:webHidden/>
              </w:rPr>
              <w:t>42</w:t>
            </w:r>
            <w:r>
              <w:rPr>
                <w:noProof/>
                <w:webHidden/>
              </w:rPr>
              <w:fldChar w:fldCharType="end"/>
            </w:r>
          </w:hyperlink>
        </w:p>
        <w:p w14:paraId="38B09720" w14:textId="62F72825" w:rsidR="009501C5" w:rsidRDefault="009501C5">
          <w:pPr>
            <w:pStyle w:val="TOC3"/>
            <w:tabs>
              <w:tab w:val="right" w:leader="dot" w:pos="9016"/>
            </w:tabs>
            <w:rPr>
              <w:rFonts w:cstheme="minorBidi"/>
              <w:noProof/>
              <w:kern w:val="2"/>
              <w:sz w:val="24"/>
              <w:szCs w:val="24"/>
              <w14:ligatures w14:val="standardContextual"/>
            </w:rPr>
          </w:pPr>
          <w:hyperlink w:anchor="_Toc210481170" w:history="1">
            <w:r w:rsidRPr="001D03DF">
              <w:rPr>
                <w:rStyle w:val="Hyperlink"/>
                <w:noProof/>
              </w:rPr>
              <w:t>2.4.21 Multi-Stakeholder Collaboration and Ecosystem Innovation</w:t>
            </w:r>
            <w:r>
              <w:rPr>
                <w:noProof/>
                <w:webHidden/>
              </w:rPr>
              <w:tab/>
            </w:r>
            <w:r>
              <w:rPr>
                <w:noProof/>
                <w:webHidden/>
              </w:rPr>
              <w:fldChar w:fldCharType="begin"/>
            </w:r>
            <w:r>
              <w:rPr>
                <w:noProof/>
                <w:webHidden/>
              </w:rPr>
              <w:instrText xml:space="preserve"> PAGEREF _Toc210481170 \h </w:instrText>
            </w:r>
            <w:r>
              <w:rPr>
                <w:noProof/>
                <w:webHidden/>
              </w:rPr>
            </w:r>
            <w:r>
              <w:rPr>
                <w:noProof/>
                <w:webHidden/>
              </w:rPr>
              <w:fldChar w:fldCharType="separate"/>
            </w:r>
            <w:r>
              <w:rPr>
                <w:noProof/>
                <w:webHidden/>
              </w:rPr>
              <w:t>43</w:t>
            </w:r>
            <w:r>
              <w:rPr>
                <w:noProof/>
                <w:webHidden/>
              </w:rPr>
              <w:fldChar w:fldCharType="end"/>
            </w:r>
          </w:hyperlink>
        </w:p>
        <w:p w14:paraId="69A26F9A" w14:textId="33DE6C5A" w:rsidR="009501C5" w:rsidRDefault="009501C5">
          <w:pPr>
            <w:pStyle w:val="TOC3"/>
            <w:tabs>
              <w:tab w:val="right" w:leader="dot" w:pos="9016"/>
            </w:tabs>
            <w:rPr>
              <w:rFonts w:cstheme="minorBidi"/>
              <w:noProof/>
              <w:kern w:val="2"/>
              <w:sz w:val="24"/>
              <w:szCs w:val="24"/>
              <w14:ligatures w14:val="standardContextual"/>
            </w:rPr>
          </w:pPr>
          <w:hyperlink w:anchor="_Toc210481171" w:history="1">
            <w:r w:rsidRPr="001D03DF">
              <w:rPr>
                <w:rStyle w:val="Hyperlink"/>
                <w:noProof/>
              </w:rPr>
              <w:t>2.4.22 Legal Liability and Accountability in AI Decisions</w:t>
            </w:r>
            <w:r>
              <w:rPr>
                <w:noProof/>
                <w:webHidden/>
              </w:rPr>
              <w:tab/>
            </w:r>
            <w:r>
              <w:rPr>
                <w:noProof/>
                <w:webHidden/>
              </w:rPr>
              <w:fldChar w:fldCharType="begin"/>
            </w:r>
            <w:r>
              <w:rPr>
                <w:noProof/>
                <w:webHidden/>
              </w:rPr>
              <w:instrText xml:space="preserve"> PAGEREF _Toc210481171 \h </w:instrText>
            </w:r>
            <w:r>
              <w:rPr>
                <w:noProof/>
                <w:webHidden/>
              </w:rPr>
            </w:r>
            <w:r>
              <w:rPr>
                <w:noProof/>
                <w:webHidden/>
              </w:rPr>
              <w:fldChar w:fldCharType="separate"/>
            </w:r>
            <w:r>
              <w:rPr>
                <w:noProof/>
                <w:webHidden/>
              </w:rPr>
              <w:t>43</w:t>
            </w:r>
            <w:r>
              <w:rPr>
                <w:noProof/>
                <w:webHidden/>
              </w:rPr>
              <w:fldChar w:fldCharType="end"/>
            </w:r>
          </w:hyperlink>
        </w:p>
        <w:p w14:paraId="17A06401" w14:textId="5C2F2D79" w:rsidR="009501C5" w:rsidRDefault="009501C5">
          <w:pPr>
            <w:pStyle w:val="TOC3"/>
            <w:tabs>
              <w:tab w:val="right" w:leader="dot" w:pos="9016"/>
            </w:tabs>
            <w:rPr>
              <w:rFonts w:cstheme="minorBidi"/>
              <w:noProof/>
              <w:kern w:val="2"/>
              <w:sz w:val="24"/>
              <w:szCs w:val="24"/>
              <w14:ligatures w14:val="standardContextual"/>
            </w:rPr>
          </w:pPr>
          <w:hyperlink w:anchor="_Toc210481172" w:history="1">
            <w:r w:rsidRPr="001D03DF">
              <w:rPr>
                <w:rStyle w:val="Hyperlink"/>
                <w:noProof/>
              </w:rPr>
              <w:t>2.4.23 Digital Identity Systems and Verification Protocols</w:t>
            </w:r>
            <w:r>
              <w:rPr>
                <w:noProof/>
                <w:webHidden/>
              </w:rPr>
              <w:tab/>
            </w:r>
            <w:r>
              <w:rPr>
                <w:noProof/>
                <w:webHidden/>
              </w:rPr>
              <w:fldChar w:fldCharType="begin"/>
            </w:r>
            <w:r>
              <w:rPr>
                <w:noProof/>
                <w:webHidden/>
              </w:rPr>
              <w:instrText xml:space="preserve"> PAGEREF _Toc210481172 \h </w:instrText>
            </w:r>
            <w:r>
              <w:rPr>
                <w:noProof/>
                <w:webHidden/>
              </w:rPr>
            </w:r>
            <w:r>
              <w:rPr>
                <w:noProof/>
                <w:webHidden/>
              </w:rPr>
              <w:fldChar w:fldCharType="separate"/>
            </w:r>
            <w:r>
              <w:rPr>
                <w:noProof/>
                <w:webHidden/>
              </w:rPr>
              <w:t>44</w:t>
            </w:r>
            <w:r>
              <w:rPr>
                <w:noProof/>
                <w:webHidden/>
              </w:rPr>
              <w:fldChar w:fldCharType="end"/>
            </w:r>
          </w:hyperlink>
        </w:p>
        <w:p w14:paraId="7F2933E8" w14:textId="56622E3F" w:rsidR="009501C5" w:rsidRDefault="009501C5">
          <w:pPr>
            <w:pStyle w:val="TOC3"/>
            <w:tabs>
              <w:tab w:val="right" w:leader="dot" w:pos="9016"/>
            </w:tabs>
            <w:rPr>
              <w:rFonts w:cstheme="minorBidi"/>
              <w:noProof/>
              <w:kern w:val="2"/>
              <w:sz w:val="24"/>
              <w:szCs w:val="24"/>
              <w14:ligatures w14:val="standardContextual"/>
            </w:rPr>
          </w:pPr>
          <w:hyperlink w:anchor="_Toc210481173" w:history="1">
            <w:r w:rsidRPr="001D03DF">
              <w:rPr>
                <w:rStyle w:val="Hyperlink"/>
                <w:noProof/>
              </w:rPr>
              <w:t>2.4.24 Explainable AI (XAI) and Trust Calibration</w:t>
            </w:r>
            <w:r>
              <w:rPr>
                <w:noProof/>
                <w:webHidden/>
              </w:rPr>
              <w:tab/>
            </w:r>
            <w:r>
              <w:rPr>
                <w:noProof/>
                <w:webHidden/>
              </w:rPr>
              <w:fldChar w:fldCharType="begin"/>
            </w:r>
            <w:r>
              <w:rPr>
                <w:noProof/>
                <w:webHidden/>
              </w:rPr>
              <w:instrText xml:space="preserve"> PAGEREF _Toc210481173 \h </w:instrText>
            </w:r>
            <w:r>
              <w:rPr>
                <w:noProof/>
                <w:webHidden/>
              </w:rPr>
            </w:r>
            <w:r>
              <w:rPr>
                <w:noProof/>
                <w:webHidden/>
              </w:rPr>
              <w:fldChar w:fldCharType="separate"/>
            </w:r>
            <w:r>
              <w:rPr>
                <w:noProof/>
                <w:webHidden/>
              </w:rPr>
              <w:t>45</w:t>
            </w:r>
            <w:r>
              <w:rPr>
                <w:noProof/>
                <w:webHidden/>
              </w:rPr>
              <w:fldChar w:fldCharType="end"/>
            </w:r>
          </w:hyperlink>
        </w:p>
        <w:p w14:paraId="6AB9384D" w14:textId="645A9972" w:rsidR="009501C5" w:rsidRDefault="009501C5">
          <w:pPr>
            <w:pStyle w:val="TOC3"/>
            <w:tabs>
              <w:tab w:val="right" w:leader="dot" w:pos="9016"/>
            </w:tabs>
            <w:rPr>
              <w:rFonts w:cstheme="minorBidi"/>
              <w:noProof/>
              <w:kern w:val="2"/>
              <w:sz w:val="24"/>
              <w:szCs w:val="24"/>
              <w14:ligatures w14:val="standardContextual"/>
            </w:rPr>
          </w:pPr>
          <w:hyperlink w:anchor="_Toc210481174" w:history="1">
            <w:r w:rsidRPr="001D03DF">
              <w:rPr>
                <w:rStyle w:val="Hyperlink"/>
                <w:noProof/>
              </w:rPr>
              <w:t>2.4.25 Ethics Committees vs. Algorithmic Audit Boards</w:t>
            </w:r>
            <w:r>
              <w:rPr>
                <w:noProof/>
                <w:webHidden/>
              </w:rPr>
              <w:tab/>
            </w:r>
            <w:r>
              <w:rPr>
                <w:noProof/>
                <w:webHidden/>
              </w:rPr>
              <w:fldChar w:fldCharType="begin"/>
            </w:r>
            <w:r>
              <w:rPr>
                <w:noProof/>
                <w:webHidden/>
              </w:rPr>
              <w:instrText xml:space="preserve"> PAGEREF _Toc210481174 \h </w:instrText>
            </w:r>
            <w:r>
              <w:rPr>
                <w:noProof/>
                <w:webHidden/>
              </w:rPr>
            </w:r>
            <w:r>
              <w:rPr>
                <w:noProof/>
                <w:webHidden/>
              </w:rPr>
              <w:fldChar w:fldCharType="separate"/>
            </w:r>
            <w:r>
              <w:rPr>
                <w:noProof/>
                <w:webHidden/>
              </w:rPr>
              <w:t>45</w:t>
            </w:r>
            <w:r>
              <w:rPr>
                <w:noProof/>
                <w:webHidden/>
              </w:rPr>
              <w:fldChar w:fldCharType="end"/>
            </w:r>
          </w:hyperlink>
        </w:p>
        <w:p w14:paraId="5EB1C6E6" w14:textId="3CCF348B" w:rsidR="009501C5" w:rsidRDefault="009501C5">
          <w:pPr>
            <w:pStyle w:val="TOC3"/>
            <w:tabs>
              <w:tab w:val="right" w:leader="dot" w:pos="9016"/>
            </w:tabs>
            <w:rPr>
              <w:rFonts w:cstheme="minorBidi"/>
              <w:noProof/>
              <w:kern w:val="2"/>
              <w:sz w:val="24"/>
              <w:szCs w:val="24"/>
              <w14:ligatures w14:val="standardContextual"/>
            </w:rPr>
          </w:pPr>
          <w:hyperlink w:anchor="_Toc210481175" w:history="1">
            <w:r w:rsidRPr="001D03DF">
              <w:rPr>
                <w:rStyle w:val="Hyperlink"/>
                <w:noProof/>
              </w:rPr>
              <w:t>2.4.26 Time-to-Market and Compliance Delays</w:t>
            </w:r>
            <w:r>
              <w:rPr>
                <w:noProof/>
                <w:webHidden/>
              </w:rPr>
              <w:tab/>
            </w:r>
            <w:r>
              <w:rPr>
                <w:noProof/>
                <w:webHidden/>
              </w:rPr>
              <w:fldChar w:fldCharType="begin"/>
            </w:r>
            <w:r>
              <w:rPr>
                <w:noProof/>
                <w:webHidden/>
              </w:rPr>
              <w:instrText xml:space="preserve"> PAGEREF _Toc210481175 \h </w:instrText>
            </w:r>
            <w:r>
              <w:rPr>
                <w:noProof/>
                <w:webHidden/>
              </w:rPr>
            </w:r>
            <w:r>
              <w:rPr>
                <w:noProof/>
                <w:webHidden/>
              </w:rPr>
              <w:fldChar w:fldCharType="separate"/>
            </w:r>
            <w:r>
              <w:rPr>
                <w:noProof/>
                <w:webHidden/>
              </w:rPr>
              <w:t>46</w:t>
            </w:r>
            <w:r>
              <w:rPr>
                <w:noProof/>
                <w:webHidden/>
              </w:rPr>
              <w:fldChar w:fldCharType="end"/>
            </w:r>
          </w:hyperlink>
        </w:p>
        <w:p w14:paraId="65285918" w14:textId="78C266FC" w:rsidR="009501C5" w:rsidRDefault="009501C5">
          <w:pPr>
            <w:pStyle w:val="TOC3"/>
            <w:tabs>
              <w:tab w:val="right" w:leader="dot" w:pos="9016"/>
            </w:tabs>
            <w:rPr>
              <w:rFonts w:cstheme="minorBidi"/>
              <w:noProof/>
              <w:kern w:val="2"/>
              <w:sz w:val="24"/>
              <w:szCs w:val="24"/>
              <w14:ligatures w14:val="standardContextual"/>
            </w:rPr>
          </w:pPr>
          <w:hyperlink w:anchor="_Toc210481176" w:history="1">
            <w:r w:rsidRPr="001D03DF">
              <w:rPr>
                <w:rStyle w:val="Hyperlink"/>
                <w:noProof/>
              </w:rPr>
              <w:t>2.4.27 AI Integration and Predictive Risk Modeling</w:t>
            </w:r>
            <w:r>
              <w:rPr>
                <w:noProof/>
                <w:webHidden/>
              </w:rPr>
              <w:tab/>
            </w:r>
            <w:r>
              <w:rPr>
                <w:noProof/>
                <w:webHidden/>
              </w:rPr>
              <w:fldChar w:fldCharType="begin"/>
            </w:r>
            <w:r>
              <w:rPr>
                <w:noProof/>
                <w:webHidden/>
              </w:rPr>
              <w:instrText xml:space="preserve"> PAGEREF _Toc210481176 \h </w:instrText>
            </w:r>
            <w:r>
              <w:rPr>
                <w:noProof/>
                <w:webHidden/>
              </w:rPr>
            </w:r>
            <w:r>
              <w:rPr>
                <w:noProof/>
                <w:webHidden/>
              </w:rPr>
              <w:fldChar w:fldCharType="separate"/>
            </w:r>
            <w:r>
              <w:rPr>
                <w:noProof/>
                <w:webHidden/>
              </w:rPr>
              <w:t>46</w:t>
            </w:r>
            <w:r>
              <w:rPr>
                <w:noProof/>
                <w:webHidden/>
              </w:rPr>
              <w:fldChar w:fldCharType="end"/>
            </w:r>
          </w:hyperlink>
        </w:p>
        <w:p w14:paraId="57EECB01" w14:textId="751AC8E4" w:rsidR="009501C5" w:rsidRDefault="009501C5">
          <w:pPr>
            <w:pStyle w:val="TOC3"/>
            <w:tabs>
              <w:tab w:val="right" w:leader="dot" w:pos="9016"/>
            </w:tabs>
            <w:rPr>
              <w:rFonts w:cstheme="minorBidi"/>
              <w:noProof/>
              <w:kern w:val="2"/>
              <w:sz w:val="24"/>
              <w:szCs w:val="24"/>
              <w14:ligatures w14:val="standardContextual"/>
            </w:rPr>
          </w:pPr>
          <w:hyperlink w:anchor="_Toc210481177" w:history="1">
            <w:r w:rsidRPr="001D03DF">
              <w:rPr>
                <w:rStyle w:val="Hyperlink"/>
                <w:noProof/>
              </w:rPr>
              <w:t>2.4.28 Resilience and Business Continuity Planning</w:t>
            </w:r>
            <w:r>
              <w:rPr>
                <w:noProof/>
                <w:webHidden/>
              </w:rPr>
              <w:tab/>
            </w:r>
            <w:r>
              <w:rPr>
                <w:noProof/>
                <w:webHidden/>
              </w:rPr>
              <w:fldChar w:fldCharType="begin"/>
            </w:r>
            <w:r>
              <w:rPr>
                <w:noProof/>
                <w:webHidden/>
              </w:rPr>
              <w:instrText xml:space="preserve"> PAGEREF _Toc210481177 \h </w:instrText>
            </w:r>
            <w:r>
              <w:rPr>
                <w:noProof/>
                <w:webHidden/>
              </w:rPr>
            </w:r>
            <w:r>
              <w:rPr>
                <w:noProof/>
                <w:webHidden/>
              </w:rPr>
              <w:fldChar w:fldCharType="separate"/>
            </w:r>
            <w:r>
              <w:rPr>
                <w:noProof/>
                <w:webHidden/>
              </w:rPr>
              <w:t>47</w:t>
            </w:r>
            <w:r>
              <w:rPr>
                <w:noProof/>
                <w:webHidden/>
              </w:rPr>
              <w:fldChar w:fldCharType="end"/>
            </w:r>
          </w:hyperlink>
        </w:p>
        <w:p w14:paraId="7EEEC4AB" w14:textId="6A3C1758" w:rsidR="009501C5" w:rsidRDefault="009501C5">
          <w:pPr>
            <w:pStyle w:val="TOC3"/>
            <w:tabs>
              <w:tab w:val="right" w:leader="dot" w:pos="9016"/>
            </w:tabs>
            <w:rPr>
              <w:rFonts w:cstheme="minorBidi"/>
              <w:noProof/>
              <w:kern w:val="2"/>
              <w:sz w:val="24"/>
              <w:szCs w:val="24"/>
              <w14:ligatures w14:val="standardContextual"/>
            </w:rPr>
          </w:pPr>
          <w:hyperlink w:anchor="_Toc210481178" w:history="1">
            <w:r w:rsidRPr="001D03DF">
              <w:rPr>
                <w:rStyle w:val="Hyperlink"/>
                <w:noProof/>
              </w:rPr>
              <w:t>2.4.29 The Rise of Embedded Services</w:t>
            </w:r>
            <w:r>
              <w:rPr>
                <w:noProof/>
                <w:webHidden/>
              </w:rPr>
              <w:tab/>
            </w:r>
            <w:r>
              <w:rPr>
                <w:noProof/>
                <w:webHidden/>
              </w:rPr>
              <w:fldChar w:fldCharType="begin"/>
            </w:r>
            <w:r>
              <w:rPr>
                <w:noProof/>
                <w:webHidden/>
              </w:rPr>
              <w:instrText xml:space="preserve"> PAGEREF _Toc210481178 \h </w:instrText>
            </w:r>
            <w:r>
              <w:rPr>
                <w:noProof/>
                <w:webHidden/>
              </w:rPr>
            </w:r>
            <w:r>
              <w:rPr>
                <w:noProof/>
                <w:webHidden/>
              </w:rPr>
              <w:fldChar w:fldCharType="separate"/>
            </w:r>
            <w:r>
              <w:rPr>
                <w:noProof/>
                <w:webHidden/>
              </w:rPr>
              <w:t>47</w:t>
            </w:r>
            <w:r>
              <w:rPr>
                <w:noProof/>
                <w:webHidden/>
              </w:rPr>
              <w:fldChar w:fldCharType="end"/>
            </w:r>
          </w:hyperlink>
        </w:p>
        <w:p w14:paraId="28FBD620" w14:textId="4484184E" w:rsidR="009501C5" w:rsidRDefault="009501C5">
          <w:pPr>
            <w:pStyle w:val="TOC3"/>
            <w:tabs>
              <w:tab w:val="right" w:leader="dot" w:pos="9016"/>
            </w:tabs>
            <w:rPr>
              <w:rFonts w:cstheme="minorBidi"/>
              <w:noProof/>
              <w:kern w:val="2"/>
              <w:sz w:val="24"/>
              <w:szCs w:val="24"/>
              <w14:ligatures w14:val="standardContextual"/>
            </w:rPr>
          </w:pPr>
          <w:hyperlink w:anchor="_Toc210481179" w:history="1">
            <w:r w:rsidRPr="001D03DF">
              <w:rPr>
                <w:rStyle w:val="Hyperlink"/>
                <w:noProof/>
              </w:rPr>
              <w:t>2.4.30 Data Architecture, Portability, and Governance</w:t>
            </w:r>
            <w:r>
              <w:rPr>
                <w:noProof/>
                <w:webHidden/>
              </w:rPr>
              <w:tab/>
            </w:r>
            <w:r>
              <w:rPr>
                <w:noProof/>
                <w:webHidden/>
              </w:rPr>
              <w:fldChar w:fldCharType="begin"/>
            </w:r>
            <w:r>
              <w:rPr>
                <w:noProof/>
                <w:webHidden/>
              </w:rPr>
              <w:instrText xml:space="preserve"> PAGEREF _Toc210481179 \h </w:instrText>
            </w:r>
            <w:r>
              <w:rPr>
                <w:noProof/>
                <w:webHidden/>
              </w:rPr>
            </w:r>
            <w:r>
              <w:rPr>
                <w:noProof/>
                <w:webHidden/>
              </w:rPr>
              <w:fldChar w:fldCharType="separate"/>
            </w:r>
            <w:r>
              <w:rPr>
                <w:noProof/>
                <w:webHidden/>
              </w:rPr>
              <w:t>48</w:t>
            </w:r>
            <w:r>
              <w:rPr>
                <w:noProof/>
                <w:webHidden/>
              </w:rPr>
              <w:fldChar w:fldCharType="end"/>
            </w:r>
          </w:hyperlink>
        </w:p>
        <w:p w14:paraId="605242CB" w14:textId="50D46AED" w:rsidR="009501C5" w:rsidRDefault="009501C5">
          <w:pPr>
            <w:pStyle w:val="TOC2"/>
            <w:rPr>
              <w:rFonts w:eastAsiaTheme="minorEastAsia"/>
              <w:noProof/>
              <w:kern w:val="2"/>
              <w:sz w:val="24"/>
              <w:szCs w:val="24"/>
              <w:lang w:val="en-GB" w:eastAsia="en-GB"/>
              <w14:ligatures w14:val="standardContextual"/>
            </w:rPr>
          </w:pPr>
          <w:hyperlink w:anchor="_Toc210481180" w:history="1">
            <w:r w:rsidRPr="001D03DF">
              <w:rPr>
                <w:rStyle w:val="Hyperlink"/>
                <w:noProof/>
              </w:rPr>
              <w:t>2.5 Theoretical Framework</w:t>
            </w:r>
            <w:r>
              <w:rPr>
                <w:noProof/>
                <w:webHidden/>
              </w:rPr>
              <w:tab/>
            </w:r>
            <w:r>
              <w:rPr>
                <w:noProof/>
                <w:webHidden/>
              </w:rPr>
              <w:fldChar w:fldCharType="begin"/>
            </w:r>
            <w:r>
              <w:rPr>
                <w:noProof/>
                <w:webHidden/>
              </w:rPr>
              <w:instrText xml:space="preserve"> PAGEREF _Toc210481180 \h </w:instrText>
            </w:r>
            <w:r>
              <w:rPr>
                <w:noProof/>
                <w:webHidden/>
              </w:rPr>
            </w:r>
            <w:r>
              <w:rPr>
                <w:noProof/>
                <w:webHidden/>
              </w:rPr>
              <w:fldChar w:fldCharType="separate"/>
            </w:r>
            <w:r>
              <w:rPr>
                <w:noProof/>
                <w:webHidden/>
              </w:rPr>
              <w:t>49</w:t>
            </w:r>
            <w:r>
              <w:rPr>
                <w:noProof/>
                <w:webHidden/>
              </w:rPr>
              <w:fldChar w:fldCharType="end"/>
            </w:r>
          </w:hyperlink>
        </w:p>
        <w:p w14:paraId="4ED9564A" w14:textId="071B7D10" w:rsidR="009501C5" w:rsidRDefault="009501C5">
          <w:pPr>
            <w:pStyle w:val="TOC3"/>
            <w:tabs>
              <w:tab w:val="right" w:leader="dot" w:pos="9016"/>
            </w:tabs>
            <w:rPr>
              <w:rFonts w:cstheme="minorBidi"/>
              <w:noProof/>
              <w:kern w:val="2"/>
              <w:sz w:val="24"/>
              <w:szCs w:val="24"/>
              <w14:ligatures w14:val="standardContextual"/>
            </w:rPr>
          </w:pPr>
          <w:hyperlink w:anchor="_Toc210481181" w:history="1">
            <w:r w:rsidRPr="001D03DF">
              <w:rPr>
                <w:rStyle w:val="Hyperlink"/>
                <w:noProof/>
              </w:rPr>
              <w:t>2.5.1 Dynamic Capabilities Theory</w:t>
            </w:r>
            <w:r>
              <w:rPr>
                <w:noProof/>
                <w:webHidden/>
              </w:rPr>
              <w:tab/>
            </w:r>
            <w:r>
              <w:rPr>
                <w:noProof/>
                <w:webHidden/>
              </w:rPr>
              <w:fldChar w:fldCharType="begin"/>
            </w:r>
            <w:r>
              <w:rPr>
                <w:noProof/>
                <w:webHidden/>
              </w:rPr>
              <w:instrText xml:space="preserve"> PAGEREF _Toc210481181 \h </w:instrText>
            </w:r>
            <w:r>
              <w:rPr>
                <w:noProof/>
                <w:webHidden/>
              </w:rPr>
            </w:r>
            <w:r>
              <w:rPr>
                <w:noProof/>
                <w:webHidden/>
              </w:rPr>
              <w:fldChar w:fldCharType="separate"/>
            </w:r>
            <w:r>
              <w:rPr>
                <w:noProof/>
                <w:webHidden/>
              </w:rPr>
              <w:t>49</w:t>
            </w:r>
            <w:r>
              <w:rPr>
                <w:noProof/>
                <w:webHidden/>
              </w:rPr>
              <w:fldChar w:fldCharType="end"/>
            </w:r>
          </w:hyperlink>
        </w:p>
        <w:p w14:paraId="02D027FB" w14:textId="51BD7DFA" w:rsidR="009501C5" w:rsidRDefault="009501C5">
          <w:pPr>
            <w:pStyle w:val="TOC3"/>
            <w:tabs>
              <w:tab w:val="right" w:leader="dot" w:pos="9016"/>
            </w:tabs>
            <w:rPr>
              <w:rFonts w:cstheme="minorBidi"/>
              <w:noProof/>
              <w:kern w:val="2"/>
              <w:sz w:val="24"/>
              <w:szCs w:val="24"/>
              <w14:ligatures w14:val="standardContextual"/>
            </w:rPr>
          </w:pPr>
          <w:hyperlink w:anchor="_Toc210481182" w:history="1">
            <w:r w:rsidRPr="001D03DF">
              <w:rPr>
                <w:rStyle w:val="Hyperlink"/>
                <w:noProof/>
              </w:rPr>
              <w:t>2.5.2 Disruptive Innovation Theory</w:t>
            </w:r>
            <w:r>
              <w:rPr>
                <w:noProof/>
                <w:webHidden/>
              </w:rPr>
              <w:tab/>
            </w:r>
            <w:r>
              <w:rPr>
                <w:noProof/>
                <w:webHidden/>
              </w:rPr>
              <w:fldChar w:fldCharType="begin"/>
            </w:r>
            <w:r>
              <w:rPr>
                <w:noProof/>
                <w:webHidden/>
              </w:rPr>
              <w:instrText xml:space="preserve"> PAGEREF _Toc210481182 \h </w:instrText>
            </w:r>
            <w:r>
              <w:rPr>
                <w:noProof/>
                <w:webHidden/>
              </w:rPr>
            </w:r>
            <w:r>
              <w:rPr>
                <w:noProof/>
                <w:webHidden/>
              </w:rPr>
              <w:fldChar w:fldCharType="separate"/>
            </w:r>
            <w:r>
              <w:rPr>
                <w:noProof/>
                <w:webHidden/>
              </w:rPr>
              <w:t>50</w:t>
            </w:r>
            <w:r>
              <w:rPr>
                <w:noProof/>
                <w:webHidden/>
              </w:rPr>
              <w:fldChar w:fldCharType="end"/>
            </w:r>
          </w:hyperlink>
        </w:p>
        <w:p w14:paraId="069A8C86" w14:textId="489CEE3E" w:rsidR="009501C5" w:rsidRDefault="009501C5">
          <w:pPr>
            <w:pStyle w:val="TOC3"/>
            <w:tabs>
              <w:tab w:val="right" w:leader="dot" w:pos="9016"/>
            </w:tabs>
            <w:rPr>
              <w:rFonts w:cstheme="minorBidi"/>
              <w:noProof/>
              <w:kern w:val="2"/>
              <w:sz w:val="24"/>
              <w:szCs w:val="24"/>
              <w14:ligatures w14:val="standardContextual"/>
            </w:rPr>
          </w:pPr>
          <w:hyperlink w:anchor="_Toc210481183" w:history="1">
            <w:r w:rsidRPr="001D03DF">
              <w:rPr>
                <w:rStyle w:val="Hyperlink"/>
                <w:noProof/>
              </w:rPr>
              <w:t>2.5.3 Theoretical Synthesis: Bridging the Divide</w:t>
            </w:r>
            <w:r>
              <w:rPr>
                <w:noProof/>
                <w:webHidden/>
              </w:rPr>
              <w:tab/>
            </w:r>
            <w:r>
              <w:rPr>
                <w:noProof/>
                <w:webHidden/>
              </w:rPr>
              <w:fldChar w:fldCharType="begin"/>
            </w:r>
            <w:r>
              <w:rPr>
                <w:noProof/>
                <w:webHidden/>
              </w:rPr>
              <w:instrText xml:space="preserve"> PAGEREF _Toc210481183 \h </w:instrText>
            </w:r>
            <w:r>
              <w:rPr>
                <w:noProof/>
                <w:webHidden/>
              </w:rPr>
            </w:r>
            <w:r>
              <w:rPr>
                <w:noProof/>
                <w:webHidden/>
              </w:rPr>
              <w:fldChar w:fldCharType="separate"/>
            </w:r>
            <w:r>
              <w:rPr>
                <w:noProof/>
                <w:webHidden/>
              </w:rPr>
              <w:t>51</w:t>
            </w:r>
            <w:r>
              <w:rPr>
                <w:noProof/>
                <w:webHidden/>
              </w:rPr>
              <w:fldChar w:fldCharType="end"/>
            </w:r>
          </w:hyperlink>
        </w:p>
        <w:p w14:paraId="720D96F8" w14:textId="2AFAC403" w:rsidR="009501C5" w:rsidRDefault="009501C5">
          <w:pPr>
            <w:pStyle w:val="TOC2"/>
            <w:rPr>
              <w:rFonts w:eastAsiaTheme="minorEastAsia"/>
              <w:noProof/>
              <w:kern w:val="2"/>
              <w:sz w:val="24"/>
              <w:szCs w:val="24"/>
              <w:lang w:val="en-GB" w:eastAsia="en-GB"/>
              <w14:ligatures w14:val="standardContextual"/>
            </w:rPr>
          </w:pPr>
          <w:hyperlink w:anchor="_Toc210481184" w:history="1">
            <w:r w:rsidRPr="001D03DF">
              <w:rPr>
                <w:rStyle w:val="Hyperlink"/>
                <w:noProof/>
              </w:rPr>
              <w:t>2.6 Methodology Literature</w:t>
            </w:r>
            <w:r>
              <w:rPr>
                <w:noProof/>
                <w:webHidden/>
              </w:rPr>
              <w:tab/>
            </w:r>
            <w:r>
              <w:rPr>
                <w:noProof/>
                <w:webHidden/>
              </w:rPr>
              <w:fldChar w:fldCharType="begin"/>
            </w:r>
            <w:r>
              <w:rPr>
                <w:noProof/>
                <w:webHidden/>
              </w:rPr>
              <w:instrText xml:space="preserve"> PAGEREF _Toc210481184 \h </w:instrText>
            </w:r>
            <w:r>
              <w:rPr>
                <w:noProof/>
                <w:webHidden/>
              </w:rPr>
            </w:r>
            <w:r>
              <w:rPr>
                <w:noProof/>
                <w:webHidden/>
              </w:rPr>
              <w:fldChar w:fldCharType="separate"/>
            </w:r>
            <w:r>
              <w:rPr>
                <w:noProof/>
                <w:webHidden/>
              </w:rPr>
              <w:t>51</w:t>
            </w:r>
            <w:r>
              <w:rPr>
                <w:noProof/>
                <w:webHidden/>
              </w:rPr>
              <w:fldChar w:fldCharType="end"/>
            </w:r>
          </w:hyperlink>
        </w:p>
        <w:p w14:paraId="0E6591F6" w14:textId="0463CD77" w:rsidR="009501C5" w:rsidRDefault="009501C5">
          <w:pPr>
            <w:pStyle w:val="TOC3"/>
            <w:tabs>
              <w:tab w:val="right" w:leader="dot" w:pos="9016"/>
            </w:tabs>
            <w:rPr>
              <w:rFonts w:cstheme="minorBidi"/>
              <w:noProof/>
              <w:kern w:val="2"/>
              <w:sz w:val="24"/>
              <w:szCs w:val="24"/>
              <w14:ligatures w14:val="standardContextual"/>
            </w:rPr>
          </w:pPr>
          <w:hyperlink w:anchor="_Toc210481185" w:history="1">
            <w:r w:rsidRPr="001D03DF">
              <w:rPr>
                <w:rStyle w:val="Hyperlink"/>
                <w:noProof/>
              </w:rPr>
              <w:t>2.6.1 Emerging Mixed-Methods Attempts &amp; Shortcomings</w:t>
            </w:r>
            <w:r>
              <w:rPr>
                <w:noProof/>
                <w:webHidden/>
              </w:rPr>
              <w:tab/>
            </w:r>
            <w:r>
              <w:rPr>
                <w:noProof/>
                <w:webHidden/>
              </w:rPr>
              <w:fldChar w:fldCharType="begin"/>
            </w:r>
            <w:r>
              <w:rPr>
                <w:noProof/>
                <w:webHidden/>
              </w:rPr>
              <w:instrText xml:space="preserve"> PAGEREF _Toc210481185 \h </w:instrText>
            </w:r>
            <w:r>
              <w:rPr>
                <w:noProof/>
                <w:webHidden/>
              </w:rPr>
            </w:r>
            <w:r>
              <w:rPr>
                <w:noProof/>
                <w:webHidden/>
              </w:rPr>
              <w:fldChar w:fldCharType="separate"/>
            </w:r>
            <w:r>
              <w:rPr>
                <w:noProof/>
                <w:webHidden/>
              </w:rPr>
              <w:t>53</w:t>
            </w:r>
            <w:r>
              <w:rPr>
                <w:noProof/>
                <w:webHidden/>
              </w:rPr>
              <w:fldChar w:fldCharType="end"/>
            </w:r>
          </w:hyperlink>
        </w:p>
        <w:p w14:paraId="699D47E2" w14:textId="1357B515" w:rsidR="009501C5" w:rsidRDefault="009501C5">
          <w:pPr>
            <w:pStyle w:val="TOC3"/>
            <w:tabs>
              <w:tab w:val="right" w:leader="dot" w:pos="9016"/>
            </w:tabs>
            <w:rPr>
              <w:rFonts w:cstheme="minorBidi"/>
              <w:noProof/>
              <w:kern w:val="2"/>
              <w:sz w:val="24"/>
              <w:szCs w:val="24"/>
              <w14:ligatures w14:val="standardContextual"/>
            </w:rPr>
          </w:pPr>
          <w:hyperlink w:anchor="_Toc210481186" w:history="1">
            <w:r w:rsidRPr="001D03DF">
              <w:rPr>
                <w:rStyle w:val="Hyperlink"/>
                <w:noProof/>
              </w:rPr>
              <w:t>2.6.2 The Methodological Gap: Absence of Causal Configurational Analysis</w:t>
            </w:r>
            <w:r>
              <w:rPr>
                <w:noProof/>
                <w:webHidden/>
              </w:rPr>
              <w:tab/>
            </w:r>
            <w:r>
              <w:rPr>
                <w:noProof/>
                <w:webHidden/>
              </w:rPr>
              <w:fldChar w:fldCharType="begin"/>
            </w:r>
            <w:r>
              <w:rPr>
                <w:noProof/>
                <w:webHidden/>
              </w:rPr>
              <w:instrText xml:space="preserve"> PAGEREF _Toc210481186 \h </w:instrText>
            </w:r>
            <w:r>
              <w:rPr>
                <w:noProof/>
                <w:webHidden/>
              </w:rPr>
            </w:r>
            <w:r>
              <w:rPr>
                <w:noProof/>
                <w:webHidden/>
              </w:rPr>
              <w:fldChar w:fldCharType="separate"/>
            </w:r>
            <w:r>
              <w:rPr>
                <w:noProof/>
                <w:webHidden/>
              </w:rPr>
              <w:t>54</w:t>
            </w:r>
            <w:r>
              <w:rPr>
                <w:noProof/>
                <w:webHidden/>
              </w:rPr>
              <w:fldChar w:fldCharType="end"/>
            </w:r>
          </w:hyperlink>
        </w:p>
        <w:p w14:paraId="51DB87CF" w14:textId="452513E1" w:rsidR="009501C5" w:rsidRDefault="009501C5">
          <w:pPr>
            <w:pStyle w:val="TOC3"/>
            <w:tabs>
              <w:tab w:val="right" w:leader="dot" w:pos="9016"/>
            </w:tabs>
            <w:rPr>
              <w:rFonts w:cstheme="minorBidi"/>
              <w:noProof/>
              <w:kern w:val="2"/>
              <w:sz w:val="24"/>
              <w:szCs w:val="24"/>
              <w14:ligatures w14:val="standardContextual"/>
            </w:rPr>
          </w:pPr>
          <w:hyperlink w:anchor="_Toc210481187" w:history="1">
            <w:r w:rsidRPr="001D03DF">
              <w:rPr>
                <w:rStyle w:val="Hyperlink"/>
                <w:noProof/>
              </w:rPr>
              <w:t>2.6.3 Causal Asymmetry and the Untapped Potential of QCA</w:t>
            </w:r>
            <w:r>
              <w:rPr>
                <w:noProof/>
                <w:webHidden/>
              </w:rPr>
              <w:tab/>
            </w:r>
            <w:r>
              <w:rPr>
                <w:noProof/>
                <w:webHidden/>
              </w:rPr>
              <w:fldChar w:fldCharType="begin"/>
            </w:r>
            <w:r>
              <w:rPr>
                <w:noProof/>
                <w:webHidden/>
              </w:rPr>
              <w:instrText xml:space="preserve"> PAGEREF _Toc210481187 \h </w:instrText>
            </w:r>
            <w:r>
              <w:rPr>
                <w:noProof/>
                <w:webHidden/>
              </w:rPr>
            </w:r>
            <w:r>
              <w:rPr>
                <w:noProof/>
                <w:webHidden/>
              </w:rPr>
              <w:fldChar w:fldCharType="separate"/>
            </w:r>
            <w:r>
              <w:rPr>
                <w:noProof/>
                <w:webHidden/>
              </w:rPr>
              <w:t>55</w:t>
            </w:r>
            <w:r>
              <w:rPr>
                <w:noProof/>
                <w:webHidden/>
              </w:rPr>
              <w:fldChar w:fldCharType="end"/>
            </w:r>
          </w:hyperlink>
        </w:p>
        <w:p w14:paraId="6DF600D0" w14:textId="38A5AF3C" w:rsidR="009501C5" w:rsidRDefault="009501C5">
          <w:pPr>
            <w:pStyle w:val="TOC3"/>
            <w:tabs>
              <w:tab w:val="right" w:leader="dot" w:pos="9016"/>
            </w:tabs>
            <w:rPr>
              <w:rFonts w:cstheme="minorBidi"/>
              <w:noProof/>
              <w:kern w:val="2"/>
              <w:sz w:val="24"/>
              <w:szCs w:val="24"/>
              <w14:ligatures w14:val="standardContextual"/>
            </w:rPr>
          </w:pPr>
          <w:hyperlink w:anchor="_Toc210481188" w:history="1">
            <w:r w:rsidRPr="001D03DF">
              <w:rPr>
                <w:rStyle w:val="Hyperlink"/>
                <w:noProof/>
              </w:rPr>
              <w:t>2.6.4 Precedents Validating QCA in Adjacent Fields</w:t>
            </w:r>
            <w:r>
              <w:rPr>
                <w:noProof/>
                <w:webHidden/>
              </w:rPr>
              <w:tab/>
            </w:r>
            <w:r>
              <w:rPr>
                <w:noProof/>
                <w:webHidden/>
              </w:rPr>
              <w:fldChar w:fldCharType="begin"/>
            </w:r>
            <w:r>
              <w:rPr>
                <w:noProof/>
                <w:webHidden/>
              </w:rPr>
              <w:instrText xml:space="preserve"> PAGEREF _Toc210481188 \h </w:instrText>
            </w:r>
            <w:r>
              <w:rPr>
                <w:noProof/>
                <w:webHidden/>
              </w:rPr>
            </w:r>
            <w:r>
              <w:rPr>
                <w:noProof/>
                <w:webHidden/>
              </w:rPr>
              <w:fldChar w:fldCharType="separate"/>
            </w:r>
            <w:r>
              <w:rPr>
                <w:noProof/>
                <w:webHidden/>
              </w:rPr>
              <w:t>55</w:t>
            </w:r>
            <w:r>
              <w:rPr>
                <w:noProof/>
                <w:webHidden/>
              </w:rPr>
              <w:fldChar w:fldCharType="end"/>
            </w:r>
          </w:hyperlink>
        </w:p>
        <w:p w14:paraId="118A2BFE" w14:textId="0BDD912F" w:rsidR="009501C5" w:rsidRDefault="009501C5">
          <w:pPr>
            <w:pStyle w:val="TOC3"/>
            <w:tabs>
              <w:tab w:val="right" w:leader="dot" w:pos="9016"/>
            </w:tabs>
            <w:rPr>
              <w:rFonts w:cstheme="minorBidi"/>
              <w:noProof/>
              <w:kern w:val="2"/>
              <w:sz w:val="24"/>
              <w:szCs w:val="24"/>
              <w14:ligatures w14:val="standardContextual"/>
            </w:rPr>
          </w:pPr>
          <w:hyperlink w:anchor="_Toc210481189" w:history="1">
            <w:r w:rsidRPr="001D03DF">
              <w:rPr>
                <w:rStyle w:val="Hyperlink"/>
                <w:noProof/>
              </w:rPr>
              <w:t>2.6.5 This Study’s Methodological Contribution</w:t>
            </w:r>
            <w:r>
              <w:rPr>
                <w:noProof/>
                <w:webHidden/>
              </w:rPr>
              <w:tab/>
            </w:r>
            <w:r>
              <w:rPr>
                <w:noProof/>
                <w:webHidden/>
              </w:rPr>
              <w:fldChar w:fldCharType="begin"/>
            </w:r>
            <w:r>
              <w:rPr>
                <w:noProof/>
                <w:webHidden/>
              </w:rPr>
              <w:instrText xml:space="preserve"> PAGEREF _Toc210481189 \h </w:instrText>
            </w:r>
            <w:r>
              <w:rPr>
                <w:noProof/>
                <w:webHidden/>
              </w:rPr>
            </w:r>
            <w:r>
              <w:rPr>
                <w:noProof/>
                <w:webHidden/>
              </w:rPr>
              <w:fldChar w:fldCharType="separate"/>
            </w:r>
            <w:r>
              <w:rPr>
                <w:noProof/>
                <w:webHidden/>
              </w:rPr>
              <w:t>56</w:t>
            </w:r>
            <w:r>
              <w:rPr>
                <w:noProof/>
                <w:webHidden/>
              </w:rPr>
              <w:fldChar w:fldCharType="end"/>
            </w:r>
          </w:hyperlink>
        </w:p>
        <w:p w14:paraId="7CC66FA2" w14:textId="76882F3B" w:rsidR="009501C5" w:rsidRDefault="009501C5">
          <w:pPr>
            <w:pStyle w:val="TOC2"/>
            <w:rPr>
              <w:rFonts w:eastAsiaTheme="minorEastAsia"/>
              <w:noProof/>
              <w:kern w:val="2"/>
              <w:sz w:val="24"/>
              <w:szCs w:val="24"/>
              <w:lang w:val="en-GB" w:eastAsia="en-GB"/>
              <w14:ligatures w14:val="standardContextual"/>
            </w:rPr>
          </w:pPr>
          <w:hyperlink w:anchor="_Toc210481190" w:history="1">
            <w:r w:rsidRPr="001D03DF">
              <w:rPr>
                <w:rStyle w:val="Hyperlink"/>
                <w:noProof/>
              </w:rPr>
              <w:t>2.7 Research Design Literature</w:t>
            </w:r>
            <w:r>
              <w:rPr>
                <w:noProof/>
                <w:webHidden/>
              </w:rPr>
              <w:tab/>
            </w:r>
            <w:r>
              <w:rPr>
                <w:noProof/>
                <w:webHidden/>
              </w:rPr>
              <w:fldChar w:fldCharType="begin"/>
            </w:r>
            <w:r>
              <w:rPr>
                <w:noProof/>
                <w:webHidden/>
              </w:rPr>
              <w:instrText xml:space="preserve"> PAGEREF _Toc210481190 \h </w:instrText>
            </w:r>
            <w:r>
              <w:rPr>
                <w:noProof/>
                <w:webHidden/>
              </w:rPr>
            </w:r>
            <w:r>
              <w:rPr>
                <w:noProof/>
                <w:webHidden/>
              </w:rPr>
              <w:fldChar w:fldCharType="separate"/>
            </w:r>
            <w:r>
              <w:rPr>
                <w:noProof/>
                <w:webHidden/>
              </w:rPr>
              <w:t>57</w:t>
            </w:r>
            <w:r>
              <w:rPr>
                <w:noProof/>
                <w:webHidden/>
              </w:rPr>
              <w:fldChar w:fldCharType="end"/>
            </w:r>
          </w:hyperlink>
        </w:p>
        <w:p w14:paraId="63B59B2D" w14:textId="5DC373C5" w:rsidR="009501C5" w:rsidRDefault="009501C5">
          <w:pPr>
            <w:pStyle w:val="TOC3"/>
            <w:tabs>
              <w:tab w:val="right" w:leader="dot" w:pos="9016"/>
            </w:tabs>
            <w:rPr>
              <w:rFonts w:cstheme="minorBidi"/>
              <w:noProof/>
              <w:kern w:val="2"/>
              <w:sz w:val="24"/>
              <w:szCs w:val="24"/>
              <w14:ligatures w14:val="standardContextual"/>
            </w:rPr>
          </w:pPr>
          <w:hyperlink w:anchor="_Toc210481191" w:history="1">
            <w:r w:rsidRPr="001D03DF">
              <w:rPr>
                <w:rStyle w:val="Hyperlink"/>
                <w:noProof/>
              </w:rPr>
              <w:t>2.7.1 Germinal Foundations of QCA</w:t>
            </w:r>
            <w:r>
              <w:rPr>
                <w:noProof/>
                <w:webHidden/>
              </w:rPr>
              <w:tab/>
            </w:r>
            <w:r>
              <w:rPr>
                <w:noProof/>
                <w:webHidden/>
              </w:rPr>
              <w:fldChar w:fldCharType="begin"/>
            </w:r>
            <w:r>
              <w:rPr>
                <w:noProof/>
                <w:webHidden/>
              </w:rPr>
              <w:instrText xml:space="preserve"> PAGEREF _Toc210481191 \h </w:instrText>
            </w:r>
            <w:r>
              <w:rPr>
                <w:noProof/>
                <w:webHidden/>
              </w:rPr>
            </w:r>
            <w:r>
              <w:rPr>
                <w:noProof/>
                <w:webHidden/>
              </w:rPr>
              <w:fldChar w:fldCharType="separate"/>
            </w:r>
            <w:r>
              <w:rPr>
                <w:noProof/>
                <w:webHidden/>
              </w:rPr>
              <w:t>57</w:t>
            </w:r>
            <w:r>
              <w:rPr>
                <w:noProof/>
                <w:webHidden/>
              </w:rPr>
              <w:fldChar w:fldCharType="end"/>
            </w:r>
          </w:hyperlink>
        </w:p>
        <w:p w14:paraId="490EFAF8" w14:textId="7C30875A" w:rsidR="009501C5" w:rsidRDefault="009501C5">
          <w:pPr>
            <w:pStyle w:val="TOC3"/>
            <w:tabs>
              <w:tab w:val="right" w:leader="dot" w:pos="9016"/>
            </w:tabs>
            <w:rPr>
              <w:rFonts w:cstheme="minorBidi"/>
              <w:noProof/>
              <w:kern w:val="2"/>
              <w:sz w:val="24"/>
              <w:szCs w:val="24"/>
              <w14:ligatures w14:val="standardContextual"/>
            </w:rPr>
          </w:pPr>
          <w:hyperlink w:anchor="_Toc210481192" w:history="1">
            <w:r w:rsidRPr="001D03DF">
              <w:rPr>
                <w:rStyle w:val="Hyperlink"/>
                <w:noProof/>
              </w:rPr>
              <w:t>2.7.2 Evolution and Validation in Policy/Innovation Research</w:t>
            </w:r>
            <w:r>
              <w:rPr>
                <w:noProof/>
                <w:webHidden/>
              </w:rPr>
              <w:tab/>
            </w:r>
            <w:r>
              <w:rPr>
                <w:noProof/>
                <w:webHidden/>
              </w:rPr>
              <w:fldChar w:fldCharType="begin"/>
            </w:r>
            <w:r>
              <w:rPr>
                <w:noProof/>
                <w:webHidden/>
              </w:rPr>
              <w:instrText xml:space="preserve"> PAGEREF _Toc210481192 \h </w:instrText>
            </w:r>
            <w:r>
              <w:rPr>
                <w:noProof/>
                <w:webHidden/>
              </w:rPr>
            </w:r>
            <w:r>
              <w:rPr>
                <w:noProof/>
                <w:webHidden/>
              </w:rPr>
              <w:fldChar w:fldCharType="separate"/>
            </w:r>
            <w:r>
              <w:rPr>
                <w:noProof/>
                <w:webHidden/>
              </w:rPr>
              <w:t>58</w:t>
            </w:r>
            <w:r>
              <w:rPr>
                <w:noProof/>
                <w:webHidden/>
              </w:rPr>
              <w:fldChar w:fldCharType="end"/>
            </w:r>
          </w:hyperlink>
        </w:p>
        <w:p w14:paraId="5EBECBF7" w14:textId="729661E1" w:rsidR="009501C5" w:rsidRDefault="009501C5">
          <w:pPr>
            <w:pStyle w:val="TOC3"/>
            <w:tabs>
              <w:tab w:val="right" w:leader="dot" w:pos="9016"/>
            </w:tabs>
            <w:rPr>
              <w:rFonts w:cstheme="minorBidi"/>
              <w:noProof/>
              <w:kern w:val="2"/>
              <w:sz w:val="24"/>
              <w:szCs w:val="24"/>
              <w14:ligatures w14:val="standardContextual"/>
            </w:rPr>
          </w:pPr>
          <w:hyperlink w:anchor="_Toc210481193" w:history="1">
            <w:r w:rsidRPr="001D03DF">
              <w:rPr>
                <w:rStyle w:val="Hyperlink"/>
                <w:noProof/>
              </w:rPr>
              <w:t>2.7.3 Addressing QCA Critiques with Triangulation</w:t>
            </w:r>
            <w:r>
              <w:rPr>
                <w:noProof/>
                <w:webHidden/>
              </w:rPr>
              <w:tab/>
            </w:r>
            <w:r>
              <w:rPr>
                <w:noProof/>
                <w:webHidden/>
              </w:rPr>
              <w:fldChar w:fldCharType="begin"/>
            </w:r>
            <w:r>
              <w:rPr>
                <w:noProof/>
                <w:webHidden/>
              </w:rPr>
              <w:instrText xml:space="preserve"> PAGEREF _Toc210481193 \h </w:instrText>
            </w:r>
            <w:r>
              <w:rPr>
                <w:noProof/>
                <w:webHidden/>
              </w:rPr>
            </w:r>
            <w:r>
              <w:rPr>
                <w:noProof/>
                <w:webHidden/>
              </w:rPr>
              <w:fldChar w:fldCharType="separate"/>
            </w:r>
            <w:r>
              <w:rPr>
                <w:noProof/>
                <w:webHidden/>
              </w:rPr>
              <w:t>59</w:t>
            </w:r>
            <w:r>
              <w:rPr>
                <w:noProof/>
                <w:webHidden/>
              </w:rPr>
              <w:fldChar w:fldCharType="end"/>
            </w:r>
          </w:hyperlink>
        </w:p>
        <w:p w14:paraId="58A3B4B2" w14:textId="46F713D1" w:rsidR="009501C5" w:rsidRDefault="009501C5">
          <w:pPr>
            <w:pStyle w:val="TOC3"/>
            <w:tabs>
              <w:tab w:val="right" w:leader="dot" w:pos="9016"/>
            </w:tabs>
            <w:rPr>
              <w:rFonts w:cstheme="minorBidi"/>
              <w:noProof/>
              <w:kern w:val="2"/>
              <w:sz w:val="24"/>
              <w:szCs w:val="24"/>
              <w14:ligatures w14:val="standardContextual"/>
            </w:rPr>
          </w:pPr>
          <w:hyperlink w:anchor="_Toc210481194" w:history="1">
            <w:r w:rsidRPr="001D03DF">
              <w:rPr>
                <w:rStyle w:val="Hyperlink"/>
                <w:noProof/>
              </w:rPr>
              <w:t>2.7.4 This Study’s Design Advancements</w:t>
            </w:r>
            <w:r>
              <w:rPr>
                <w:noProof/>
                <w:webHidden/>
              </w:rPr>
              <w:tab/>
            </w:r>
            <w:r>
              <w:rPr>
                <w:noProof/>
                <w:webHidden/>
              </w:rPr>
              <w:fldChar w:fldCharType="begin"/>
            </w:r>
            <w:r>
              <w:rPr>
                <w:noProof/>
                <w:webHidden/>
              </w:rPr>
              <w:instrText xml:space="preserve"> PAGEREF _Toc210481194 \h </w:instrText>
            </w:r>
            <w:r>
              <w:rPr>
                <w:noProof/>
                <w:webHidden/>
              </w:rPr>
            </w:r>
            <w:r>
              <w:rPr>
                <w:noProof/>
                <w:webHidden/>
              </w:rPr>
              <w:fldChar w:fldCharType="separate"/>
            </w:r>
            <w:r>
              <w:rPr>
                <w:noProof/>
                <w:webHidden/>
              </w:rPr>
              <w:t>60</w:t>
            </w:r>
            <w:r>
              <w:rPr>
                <w:noProof/>
                <w:webHidden/>
              </w:rPr>
              <w:fldChar w:fldCharType="end"/>
            </w:r>
          </w:hyperlink>
        </w:p>
        <w:p w14:paraId="1B57F512" w14:textId="544F7563" w:rsidR="009501C5" w:rsidRDefault="009501C5">
          <w:pPr>
            <w:pStyle w:val="TOC2"/>
            <w:rPr>
              <w:rFonts w:eastAsiaTheme="minorEastAsia"/>
              <w:noProof/>
              <w:kern w:val="2"/>
              <w:sz w:val="24"/>
              <w:szCs w:val="24"/>
              <w:lang w:val="en-GB" w:eastAsia="en-GB"/>
              <w14:ligatures w14:val="standardContextual"/>
            </w:rPr>
          </w:pPr>
          <w:hyperlink w:anchor="_Toc210481195" w:history="1">
            <w:r w:rsidRPr="001D03DF">
              <w:rPr>
                <w:rStyle w:val="Hyperlink"/>
                <w:noProof/>
              </w:rPr>
              <w:t>2.8 Conclusions</w:t>
            </w:r>
            <w:r>
              <w:rPr>
                <w:noProof/>
                <w:webHidden/>
              </w:rPr>
              <w:tab/>
            </w:r>
            <w:r>
              <w:rPr>
                <w:noProof/>
                <w:webHidden/>
              </w:rPr>
              <w:fldChar w:fldCharType="begin"/>
            </w:r>
            <w:r>
              <w:rPr>
                <w:noProof/>
                <w:webHidden/>
              </w:rPr>
              <w:instrText xml:space="preserve"> PAGEREF _Toc210481195 \h </w:instrText>
            </w:r>
            <w:r>
              <w:rPr>
                <w:noProof/>
                <w:webHidden/>
              </w:rPr>
            </w:r>
            <w:r>
              <w:rPr>
                <w:noProof/>
                <w:webHidden/>
              </w:rPr>
              <w:fldChar w:fldCharType="separate"/>
            </w:r>
            <w:r>
              <w:rPr>
                <w:noProof/>
                <w:webHidden/>
              </w:rPr>
              <w:t>61</w:t>
            </w:r>
            <w:r>
              <w:rPr>
                <w:noProof/>
                <w:webHidden/>
              </w:rPr>
              <w:fldChar w:fldCharType="end"/>
            </w:r>
          </w:hyperlink>
        </w:p>
        <w:p w14:paraId="1861764E" w14:textId="37067FDD" w:rsidR="009501C5" w:rsidRDefault="009501C5">
          <w:pPr>
            <w:pStyle w:val="TOC1"/>
            <w:tabs>
              <w:tab w:val="right" w:leader="dot" w:pos="9016"/>
            </w:tabs>
            <w:rPr>
              <w:rFonts w:asciiTheme="minorHAnsi" w:eastAsiaTheme="minorEastAsia" w:hAnsiTheme="minorHAnsi"/>
              <w:b w:val="0"/>
              <w:noProof/>
              <w:kern w:val="2"/>
              <w:sz w:val="24"/>
              <w:szCs w:val="24"/>
              <w:lang w:val="en-GB" w:eastAsia="en-GB"/>
              <w14:ligatures w14:val="standardContextual"/>
            </w:rPr>
          </w:pPr>
          <w:hyperlink w:anchor="_Toc210481196" w:history="1">
            <w:r w:rsidRPr="001D03DF">
              <w:rPr>
                <w:rStyle w:val="Hyperlink"/>
                <w:noProof/>
              </w:rPr>
              <w:t>References</w:t>
            </w:r>
            <w:r>
              <w:rPr>
                <w:noProof/>
                <w:webHidden/>
              </w:rPr>
              <w:tab/>
            </w:r>
            <w:r>
              <w:rPr>
                <w:noProof/>
                <w:webHidden/>
              </w:rPr>
              <w:fldChar w:fldCharType="begin"/>
            </w:r>
            <w:r>
              <w:rPr>
                <w:noProof/>
                <w:webHidden/>
              </w:rPr>
              <w:instrText xml:space="preserve"> PAGEREF _Toc210481196 \h </w:instrText>
            </w:r>
            <w:r>
              <w:rPr>
                <w:noProof/>
                <w:webHidden/>
              </w:rPr>
            </w:r>
            <w:r>
              <w:rPr>
                <w:noProof/>
                <w:webHidden/>
              </w:rPr>
              <w:fldChar w:fldCharType="separate"/>
            </w:r>
            <w:r>
              <w:rPr>
                <w:noProof/>
                <w:webHidden/>
              </w:rPr>
              <w:t>63</w:t>
            </w:r>
            <w:r>
              <w:rPr>
                <w:noProof/>
                <w:webHidden/>
              </w:rPr>
              <w:fldChar w:fldCharType="end"/>
            </w:r>
          </w:hyperlink>
        </w:p>
        <w:p w14:paraId="7D779B27" w14:textId="6E043BBD" w:rsidR="00AF0254" w:rsidRDefault="009501C5">
          <w:r>
            <w:rPr>
              <w:rFonts w:ascii="Times New Roman" w:hAnsi="Times New Roman"/>
              <w:b/>
              <w:kern w:val="0"/>
              <w:sz w:val="22"/>
              <w:szCs w:val="22"/>
              <w:lang w:val="en-US"/>
              <w14:ligatures w14:val="none"/>
            </w:rPr>
            <w:fldChar w:fldCharType="end"/>
          </w:r>
        </w:p>
      </w:sdtContent>
    </w:sdt>
    <w:p w14:paraId="75C33738" w14:textId="77777777" w:rsidR="00EA5323" w:rsidRDefault="00EA5323">
      <w:pPr>
        <w:rPr>
          <w:rFonts w:ascii="Times New Roman" w:eastAsiaTheme="majorEastAsia" w:hAnsi="Times New Roman" w:cstheme="majorBidi"/>
          <w:b/>
          <w:kern w:val="0"/>
          <w:sz w:val="32"/>
          <w:szCs w:val="32"/>
          <w14:ligatures w14:val="none"/>
        </w:rPr>
      </w:pPr>
    </w:p>
    <w:p w14:paraId="57612E9C" w14:textId="77777777" w:rsidR="00285E01" w:rsidRDefault="00285E01">
      <w:pPr>
        <w:rPr>
          <w:rFonts w:ascii="Times New Roman" w:eastAsiaTheme="majorEastAsia" w:hAnsi="Times New Roman" w:cstheme="majorBidi"/>
          <w:b/>
          <w:kern w:val="0"/>
          <w:sz w:val="32"/>
          <w:szCs w:val="32"/>
          <w14:ligatures w14:val="none"/>
        </w:rPr>
      </w:pPr>
    </w:p>
    <w:p w14:paraId="04BE1C8A" w14:textId="0C599D0C" w:rsidR="00285E01" w:rsidRDefault="00285E01">
      <w:pPr>
        <w:rPr>
          <w:rFonts w:ascii="Times New Roman" w:eastAsiaTheme="majorEastAsia" w:hAnsi="Times New Roman" w:cstheme="majorBidi"/>
          <w:b/>
          <w:kern w:val="0"/>
          <w:sz w:val="32"/>
          <w:szCs w:val="32"/>
          <w14:ligatures w14:val="none"/>
        </w:rPr>
      </w:pPr>
      <w:r>
        <w:rPr>
          <w:rFonts w:ascii="Times New Roman" w:eastAsiaTheme="majorEastAsia" w:hAnsi="Times New Roman" w:cstheme="majorBidi"/>
          <w:b/>
          <w:kern w:val="0"/>
          <w:sz w:val="32"/>
          <w:szCs w:val="32"/>
          <w14:ligatures w14:val="none"/>
        </w:rPr>
        <w:br w:type="page"/>
      </w:r>
    </w:p>
    <w:p w14:paraId="0909A2BF" w14:textId="6516A0A4" w:rsidR="001118A1" w:rsidRPr="001118A1" w:rsidRDefault="001118A1" w:rsidP="001118A1">
      <w:pPr>
        <w:pStyle w:val="Heading1"/>
      </w:pPr>
      <w:bookmarkStart w:id="0" w:name="_Toc210260611"/>
      <w:bookmarkStart w:id="1" w:name="_Toc210481120"/>
      <w:r w:rsidRPr="00AA22F9">
        <w:rPr>
          <w:rFonts w:eastAsia="Times New Roman"/>
        </w:rPr>
        <w:lastRenderedPageBreak/>
        <w:t xml:space="preserve">Chapter </w:t>
      </w:r>
      <w:bookmarkEnd w:id="0"/>
      <w:r>
        <w:rPr>
          <w:rFonts w:eastAsia="Times New Roman"/>
        </w:rPr>
        <w:t>One</w:t>
      </w:r>
      <w:bookmarkEnd w:id="1"/>
    </w:p>
    <w:p w14:paraId="51B53D0C" w14:textId="77777777" w:rsidR="001118A1" w:rsidRPr="00AA22F9" w:rsidRDefault="001118A1" w:rsidP="001118A1">
      <w:pPr>
        <w:pStyle w:val="Heading2"/>
        <w:rPr>
          <w:rFonts w:eastAsia="Times New Roman"/>
        </w:rPr>
      </w:pPr>
      <w:bookmarkStart w:id="2" w:name="_Toc210260612"/>
      <w:bookmarkStart w:id="3" w:name="_Toc210481121"/>
      <w:r w:rsidRPr="00AA22F9">
        <w:rPr>
          <w:rFonts w:eastAsia="Times New Roman"/>
        </w:rPr>
        <w:t>1.1 Introduction</w:t>
      </w:r>
      <w:bookmarkEnd w:id="2"/>
      <w:bookmarkEnd w:id="3"/>
    </w:p>
    <w:p w14:paraId="30F3D006" w14:textId="77777777" w:rsidR="001118A1" w:rsidRPr="00AA22F9" w:rsidRDefault="001118A1" w:rsidP="001118A1">
      <w:pPr>
        <w:spacing w:after="0" w:line="480" w:lineRule="auto"/>
        <w:ind w:firstLine="720"/>
        <w:contextualSpacing/>
        <w:rPr>
          <w:rFonts w:ascii="Times New Roman" w:hAnsi="Times New Roman" w:cs="Times New Roman"/>
        </w:rPr>
      </w:pPr>
      <w:r w:rsidRPr="00AA22F9">
        <w:rPr>
          <w:rFonts w:ascii="Times New Roman" w:hAnsi="Times New Roman" w:cs="Times New Roman"/>
        </w:rPr>
        <w:t xml:space="preserve">In today’s business landscape, a stark paradox confronts companies operating in highly regulated, high-stakes industries. On the one hand, technological breakthroughs make possible unprecedented efficiency, market expansion, and service value to customers; on the other hand, the maze of regulations intended to protect safety, security, and ethical integrity can be an inconveniently large brake on the pace of adoption and implementation. This tension is especially acute in sectors with consequences of failure that spread far beyond pecuniary loss to involve human health, financial stability, and the credibility of the social order </w:t>
      </w:r>
      <w:r w:rsidRPr="00AA22F9">
        <w:rPr>
          <w:rFonts w:ascii="Times New Roman" w:hAnsi="Times New Roman" w:cs="Times New Roman"/>
          <w:color w:val="000000"/>
          <w:shd w:val="clear" w:color="auto" w:fill="FFFFFF"/>
        </w:rPr>
        <w:t>(Niu et al., 2024)</w:t>
      </w:r>
      <w:r w:rsidRPr="00AA22F9">
        <w:rPr>
          <w:rFonts w:ascii="Times New Roman" w:hAnsi="Times New Roman" w:cs="Times New Roman"/>
        </w:rPr>
        <w:t xml:space="preserve">. Healthcare and financial services—the twin pillars of societal well-being and economic function—represent this friction. The allure of artificial intelligence (AI), blockchain, telemedicine and fintech solutions, within their boundaries, is undeniable, promising transformative abilities </w:t>
      </w:r>
      <w:r w:rsidRPr="00AA22F9">
        <w:rPr>
          <w:rFonts w:ascii="Times New Roman" w:hAnsi="Times New Roman" w:cs="Times New Roman"/>
          <w:color w:val="000000"/>
          <w:shd w:val="clear" w:color="auto" w:fill="FFFFFF"/>
        </w:rPr>
        <w:t xml:space="preserve">(Priti </w:t>
      </w:r>
      <w:proofErr w:type="spellStart"/>
      <w:r w:rsidRPr="00AA22F9">
        <w:rPr>
          <w:rFonts w:ascii="Times New Roman" w:hAnsi="Times New Roman" w:cs="Times New Roman"/>
          <w:color w:val="000000"/>
          <w:shd w:val="clear" w:color="auto" w:fill="FFFFFF"/>
        </w:rPr>
        <w:t>Tagde</w:t>
      </w:r>
      <w:proofErr w:type="spellEnd"/>
      <w:r w:rsidRPr="00AA22F9">
        <w:rPr>
          <w:rFonts w:ascii="Times New Roman" w:hAnsi="Times New Roman" w:cs="Times New Roman"/>
          <w:color w:val="000000"/>
          <w:shd w:val="clear" w:color="auto" w:fill="FFFFFF"/>
        </w:rPr>
        <w:t xml:space="preserve"> et al., 2021)</w:t>
      </w:r>
      <w:r w:rsidRPr="00AA22F9">
        <w:rPr>
          <w:rFonts w:ascii="Times New Roman" w:hAnsi="Times New Roman" w:cs="Times New Roman"/>
        </w:rPr>
        <w:t>. However, as HIPAA, FDA, PSD2 and Basel III impose complex regulatory frameworks and ethical considerations and operational risks are deep, this is a complex strategic tightrope to walk. Digital imperative is not just an option for competitive relevance; it is an existential necessity. Ultimately, innovation can only thrive if organisations understand and strategically navigate the evolving interplay between compliance and transformation. While this tension is well-documented, scholarly understanding remains siloed within disciplinary boundaries, preventing the development of universal strategies for navigating the innovation-compliance paradox.</w:t>
      </w:r>
    </w:p>
    <w:p w14:paraId="148047C8" w14:textId="77777777" w:rsidR="001118A1" w:rsidRPr="00AA22F9" w:rsidRDefault="001118A1" w:rsidP="00AF0254">
      <w:pPr>
        <w:pStyle w:val="Heading2"/>
      </w:pPr>
      <w:bookmarkStart w:id="4" w:name="_Toc210260613"/>
      <w:bookmarkStart w:id="5" w:name="_Toc210481122"/>
      <w:r w:rsidRPr="00AA22F9">
        <w:t>1.2 Background of the Study</w:t>
      </w:r>
      <w:bookmarkEnd w:id="4"/>
      <w:bookmarkEnd w:id="5"/>
    </w:p>
    <w:p w14:paraId="184E6FB8" w14:textId="77777777" w:rsidR="001118A1" w:rsidRPr="00AA22F9" w:rsidRDefault="001118A1" w:rsidP="001118A1">
      <w:pPr>
        <w:spacing w:after="0" w:line="480" w:lineRule="auto"/>
        <w:ind w:firstLine="720"/>
        <w:contextualSpacing/>
        <w:rPr>
          <w:rFonts w:ascii="Times New Roman" w:hAnsi="Times New Roman" w:cs="Times New Roman"/>
        </w:rPr>
      </w:pPr>
      <w:r w:rsidRPr="00AA22F9">
        <w:rPr>
          <w:rFonts w:ascii="Times New Roman" w:hAnsi="Times New Roman" w:cs="Times New Roman"/>
        </w:rPr>
        <w:t>The COVID-19 pandemic served as a catalyst for digital transformation, accelerating innovation across healthcare and financial services under intense regulatory strain. In healthcare, the need to sustain patient care during lockdowns necessitated a swift shift to telemedicine and the widespread implementation of Electronic Health Records (EHRs), marking a break from traditional, in-person delivery models (</w:t>
      </w:r>
      <w:proofErr w:type="spellStart"/>
      <w:r w:rsidRPr="00AA22F9">
        <w:rPr>
          <w:rFonts w:ascii="Times New Roman" w:hAnsi="Times New Roman" w:cs="Times New Roman"/>
        </w:rPr>
        <w:t>Nittari</w:t>
      </w:r>
      <w:proofErr w:type="spellEnd"/>
      <w:r w:rsidRPr="00AA22F9">
        <w:rPr>
          <w:rFonts w:ascii="Times New Roman" w:hAnsi="Times New Roman" w:cs="Times New Roman"/>
        </w:rPr>
        <w:t xml:space="preserve"> et al., 2022; Mauro et al., 2024). Simultaneously, the financial sector experienced a surge in demand for mobile-first banking, contactless payment systems, and </w:t>
      </w:r>
      <w:r w:rsidRPr="00AA22F9">
        <w:rPr>
          <w:rFonts w:ascii="Times New Roman" w:hAnsi="Times New Roman" w:cs="Times New Roman"/>
        </w:rPr>
        <w:lastRenderedPageBreak/>
        <w:t>real-time API integrations as branch closures disrupted conventional service models (</w:t>
      </w:r>
      <w:proofErr w:type="spellStart"/>
      <w:r w:rsidRPr="00AA22F9">
        <w:rPr>
          <w:rFonts w:ascii="Times New Roman" w:hAnsi="Times New Roman" w:cs="Times New Roman"/>
        </w:rPr>
        <w:t>Ramrakhyani</w:t>
      </w:r>
      <w:proofErr w:type="spellEnd"/>
      <w:r w:rsidRPr="00AA22F9">
        <w:rPr>
          <w:rFonts w:ascii="Times New Roman" w:hAnsi="Times New Roman" w:cs="Times New Roman"/>
        </w:rPr>
        <w:t xml:space="preserve"> &amp; Shrivastava, 2024; Saiyed, 2025). These changes, driven by necessity, collapsed years of anticipated digitisation into a matter of months. The crisis demonstrated that digital-first operations were not only viable under pressure but often superior. As a result, the baseline expectations for access, speed, and resilience have been permanently elevated across both sectors, establishing a new norm that demands a long-term digital strategy under constrained, high-stakes regulatory conditions.</w:t>
      </w:r>
    </w:p>
    <w:p w14:paraId="142091D4" w14:textId="77777777" w:rsidR="001118A1" w:rsidRPr="00AA22F9" w:rsidRDefault="001118A1" w:rsidP="001118A1">
      <w:pPr>
        <w:spacing w:after="0" w:line="480" w:lineRule="auto"/>
        <w:ind w:firstLine="720"/>
        <w:contextualSpacing/>
        <w:rPr>
          <w:rFonts w:ascii="Times New Roman" w:hAnsi="Times New Roman" w:cs="Times New Roman"/>
        </w:rPr>
      </w:pPr>
      <w:r w:rsidRPr="00AA22F9">
        <w:rPr>
          <w:rFonts w:ascii="Times New Roman" w:hAnsi="Times New Roman" w:cs="Times New Roman"/>
        </w:rPr>
        <w:t xml:space="preserve">The drivers propelling this digital imperative extend beyond pandemic reactivity and reflect deeper societal and economic forces. In healthcare, urgency accelerated long-standing pressures, particularly the demands of ageing populations and rising chronic disease burdens. Traditional systems struggle to scale care delivery, especially in rural or underserved areas, where inequities in access remain persistent </w:t>
      </w:r>
      <w:r w:rsidRPr="00AA22F9">
        <w:rPr>
          <w:rFonts w:ascii="Times New Roman" w:hAnsi="Times New Roman" w:cs="Times New Roman"/>
          <w:color w:val="000000"/>
          <w:shd w:val="clear" w:color="auto" w:fill="FFFFFF"/>
        </w:rPr>
        <w:t>(Laker, Weisz and Vassolo, 2024)</w:t>
      </w:r>
      <w:r w:rsidRPr="00AA22F9">
        <w:rPr>
          <w:rFonts w:ascii="Times New Roman" w:hAnsi="Times New Roman" w:cs="Times New Roman"/>
        </w:rPr>
        <w:t xml:space="preserve">. Equity-driven imperatives now underpin the push for telemedicine, remote monitoring, and decentralised diagnostics. Simultaneously, healthcare cost containment pressures have intensified the adoption of AI-driven diagnostics, predictive analytics, and administrative automation—tools aimed at improving efficiency without compromising care quality. As </w:t>
      </w:r>
      <w:proofErr w:type="spellStart"/>
      <w:r w:rsidRPr="00AA22F9">
        <w:rPr>
          <w:rFonts w:ascii="Times New Roman" w:hAnsi="Times New Roman" w:cs="Times New Roman"/>
        </w:rPr>
        <w:t>Nittari</w:t>
      </w:r>
      <w:proofErr w:type="spellEnd"/>
      <w:r w:rsidRPr="00AA22F9">
        <w:rPr>
          <w:rFonts w:ascii="Times New Roman" w:hAnsi="Times New Roman" w:cs="Times New Roman"/>
        </w:rPr>
        <w:t xml:space="preserve"> et al. (2022) observed, the pandemic served as a catalyst, but enduring forces such as demographic shifts, access inequities, and operational inefficiencies guarantee that digital transformation in healthcare is no longer optional. In such a mission-critical sector, digital innovation has become central to fulfilling core patient care obligations.</w:t>
      </w:r>
    </w:p>
    <w:p w14:paraId="40873D65" w14:textId="77777777" w:rsidR="001118A1" w:rsidRPr="00AA22F9" w:rsidRDefault="001118A1" w:rsidP="001118A1">
      <w:pPr>
        <w:spacing w:after="0" w:line="480" w:lineRule="auto"/>
        <w:ind w:firstLine="720"/>
        <w:contextualSpacing/>
        <w:rPr>
          <w:rFonts w:ascii="Times New Roman" w:hAnsi="Times New Roman" w:cs="Times New Roman"/>
        </w:rPr>
      </w:pPr>
      <w:r w:rsidRPr="00AA22F9">
        <w:rPr>
          <w:rFonts w:ascii="Times New Roman" w:hAnsi="Times New Roman" w:cs="Times New Roman"/>
        </w:rPr>
        <w:t xml:space="preserve">Conversely, the financial services sector is propelled by a potent mix of evolving customer expectations, relentless globalisation, and the escalating sophistication of threats. The digital giants of today's consumer retail and entertainment industry have set the bar of seamless enjoyment, instant gratification and 24/7 availability; today's consumer wants the same from their financial provider. It has led to an evaporating tolerance for cumbersome paperwork, branch visits or delayed transactions. Economies are interlinked via globalisation, requiring faster, cheaper, and more transparent cross-border payment and settlement systems, and there, blockchain and fintech APIs </w:t>
      </w:r>
      <w:r w:rsidRPr="00AA22F9">
        <w:rPr>
          <w:rFonts w:ascii="Times New Roman" w:hAnsi="Times New Roman" w:cs="Times New Roman"/>
        </w:rPr>
        <w:lastRenderedPageBreak/>
        <w:t xml:space="preserve">have strong advantages over legacy infrastructure. Although this digital expansion comes with a larger attack surface for malicious actors. A pervasive cybercrime, complex fraud and fraud schemes, and a systemic situation due to increased digital interconnectedness present an existential threat landscape. Hence, as </w:t>
      </w:r>
      <w:proofErr w:type="spellStart"/>
      <w:r w:rsidRPr="00AA22F9">
        <w:rPr>
          <w:rFonts w:ascii="Times New Roman" w:hAnsi="Times New Roman" w:cs="Times New Roman"/>
        </w:rPr>
        <w:t>Ramrakhyani</w:t>
      </w:r>
      <w:proofErr w:type="spellEnd"/>
      <w:r w:rsidRPr="00AA22F9">
        <w:rPr>
          <w:rFonts w:ascii="Times New Roman" w:hAnsi="Times New Roman" w:cs="Times New Roman"/>
        </w:rPr>
        <w:t xml:space="preserve"> &amp; Shrivastava (2024) state, in finance, innovation does not stop at opportunity but at a defensive necessity: relying on technologies such as AI for real-time fraud detection, sophisticated encryption, and robust cybersecurity protocols is an absolute must to ensure survival and uphold earned customer trust in the face of even a single data breach that can cause irreparable reputational and financial harm.</w:t>
      </w:r>
    </w:p>
    <w:p w14:paraId="1F4B1B31" w14:textId="77777777" w:rsidR="001118A1" w:rsidRPr="00AA22F9" w:rsidRDefault="001118A1" w:rsidP="001118A1">
      <w:pPr>
        <w:spacing w:after="0" w:line="480" w:lineRule="auto"/>
        <w:ind w:firstLine="720"/>
        <w:contextualSpacing/>
        <w:rPr>
          <w:rFonts w:ascii="Times New Roman" w:hAnsi="Times New Roman" w:cs="Times New Roman"/>
          <w:bCs/>
        </w:rPr>
      </w:pPr>
      <w:r w:rsidRPr="00AA22F9">
        <w:rPr>
          <w:rFonts w:ascii="Times New Roman" w:hAnsi="Times New Roman" w:cs="Times New Roman"/>
        </w:rPr>
        <w:t xml:space="preserve">The compelling nature of this digital imperative is underscored by increasingly quantifiable evidence of its transformative impact on core operational and financial metrics. In healthcare, sophisticated technologies have been integrated demonstrably and with efficiency gains and capabilities. For example, McKinsey (2024) states that the strategic application of AI in medical diagnostics and administrative automation can cut operational expenses by as much as 25%. This is a huge cost reduction, and therefore it frees up resources for healthcare providers to reallocate the funds into expanding patient care, upgrading critical equipment, or serving a broader patient population. The deployment of telemedicine </w:t>
      </w:r>
      <w:proofErr w:type="gramStart"/>
      <w:r w:rsidRPr="00AA22F9">
        <w:rPr>
          <w:rFonts w:ascii="Times New Roman" w:hAnsi="Times New Roman" w:cs="Times New Roman"/>
        </w:rPr>
        <w:t>in order to</w:t>
      </w:r>
      <w:proofErr w:type="gramEnd"/>
      <w:r w:rsidRPr="00AA22F9">
        <w:rPr>
          <w:rFonts w:ascii="Times New Roman" w:hAnsi="Times New Roman" w:cs="Times New Roman"/>
        </w:rPr>
        <w:t xml:space="preserve"> extend specialist reach to remote locations has also been shown to increase patient access by 40 per cent in some implementations and to generate a 30 per cent increase in provider revenue streams, as noted by </w:t>
      </w:r>
      <w:proofErr w:type="spellStart"/>
      <w:r w:rsidRPr="00AA22F9">
        <w:rPr>
          <w:rFonts w:ascii="Times New Roman" w:hAnsi="Times New Roman" w:cs="Times New Roman"/>
        </w:rPr>
        <w:t>Nittari</w:t>
      </w:r>
      <w:proofErr w:type="spellEnd"/>
      <w:r w:rsidRPr="00AA22F9">
        <w:rPr>
          <w:rFonts w:ascii="Times New Roman" w:hAnsi="Times New Roman" w:cs="Times New Roman"/>
        </w:rPr>
        <w:t xml:space="preserve"> et al. (2022). The impact is strikingly powerful in the financial domain as well, especially in transaction processing and security. As </w:t>
      </w:r>
      <w:proofErr w:type="spellStart"/>
      <w:r w:rsidRPr="00AA22F9">
        <w:rPr>
          <w:rFonts w:ascii="Times New Roman" w:hAnsi="Times New Roman" w:cs="Times New Roman"/>
        </w:rPr>
        <w:t>Zetzsche</w:t>
      </w:r>
      <w:proofErr w:type="spellEnd"/>
      <w:r w:rsidRPr="00AA22F9">
        <w:rPr>
          <w:rFonts w:ascii="Times New Roman" w:hAnsi="Times New Roman" w:cs="Times New Roman"/>
        </w:rPr>
        <w:t xml:space="preserve"> et al. (2023) show, innovations driven by blockchain technology are very evidently lowering transaction costs by 20-30% through cutting out intermediaries, reducing settlement times and increasing transparency. In turn, these cost savings directly translate into competitive advantages that allow financial institutions to offer more attractive prices, invest more into new market penetration, and promote faster overall market growth. The benefits of these specific digital initiatives are quantifiable, and these dimensions embody the digital imperative: Technology adoption is no longer a choice of exploration but delivers tangible, measurable benefits </w:t>
      </w:r>
      <w:r w:rsidRPr="00AA22F9">
        <w:rPr>
          <w:rFonts w:ascii="Times New Roman" w:hAnsi="Times New Roman" w:cs="Times New Roman"/>
        </w:rPr>
        <w:lastRenderedPageBreak/>
        <w:t xml:space="preserve">to directly address key sectoral challenges of cost, access, efficiency, and scale. Ignoring it is not just a strategic misstep; it is a direct threat to organisational viability and growth potential in an increasingly digital-first world. </w:t>
      </w:r>
      <w:r w:rsidRPr="00AA22F9">
        <w:rPr>
          <w:rFonts w:ascii="Times New Roman" w:hAnsi="Times New Roman" w:cs="Times New Roman"/>
          <w:bCs/>
        </w:rPr>
        <w:t>Thus, the post-pandemic landscape presents a critical juncture.</w:t>
      </w:r>
    </w:p>
    <w:p w14:paraId="1F5EF5ED" w14:textId="77777777" w:rsidR="001118A1" w:rsidRPr="00AA22F9" w:rsidRDefault="001118A1" w:rsidP="001118A1">
      <w:pPr>
        <w:spacing w:after="0" w:line="480" w:lineRule="auto"/>
        <w:ind w:firstLine="720"/>
        <w:contextualSpacing/>
        <w:rPr>
          <w:rFonts w:ascii="Times New Roman" w:hAnsi="Times New Roman" w:cs="Times New Roman"/>
        </w:rPr>
      </w:pPr>
      <w:r w:rsidRPr="00AA22F9">
        <w:rPr>
          <w:rFonts w:ascii="Times New Roman" w:hAnsi="Times New Roman" w:cs="Times New Roman"/>
        </w:rPr>
        <w:t xml:space="preserve">This compelling nature of this digital imperative is supported by more tangible amounts of evidence of its transformative effects on fundamental operating and financial metrics. In healthcare, advanced technologies have been adopted with proven gains and effectiveness and capabilities. As an illustration, McKinsey (2024) explains that AI strategic implementation in medical diagnostics and administrative automation can reduce operational costs by up to 25%. It will be a massive cost savings, and it will thus enable the providers of healthcare to use the money to redirect into increased patient care, or to modernise essential equipment, or also to provide care to more patients. Implementation of telemedicine to expand the reach of specialists to distant locations has also been reported to enhance patient reach by 40 per cent in certain applications and create a 30 per cent increment in provider revenue streams, citing </w:t>
      </w:r>
      <w:proofErr w:type="spellStart"/>
      <w:r w:rsidRPr="00AA22F9">
        <w:rPr>
          <w:rFonts w:ascii="Times New Roman" w:hAnsi="Times New Roman" w:cs="Times New Roman"/>
        </w:rPr>
        <w:t>Nittari</w:t>
      </w:r>
      <w:proofErr w:type="spellEnd"/>
      <w:r w:rsidRPr="00AA22F9">
        <w:rPr>
          <w:rFonts w:ascii="Times New Roman" w:hAnsi="Times New Roman" w:cs="Times New Roman"/>
        </w:rPr>
        <w:t xml:space="preserve"> et al. (2022). In the financial sector, the effect is also impressive, particularly in the processing and securing of transactions. Indeed, the innovations that are brought about by blockchain technology are quite clearly decreasing transaction costs (by 20-30%) by eliminating middlemen, shortening settlement time, and increasing visibility, as </w:t>
      </w:r>
      <w:proofErr w:type="spellStart"/>
      <w:r w:rsidRPr="00AA22F9">
        <w:rPr>
          <w:rFonts w:ascii="Times New Roman" w:hAnsi="Times New Roman" w:cs="Times New Roman"/>
        </w:rPr>
        <w:t>Zetzsche</w:t>
      </w:r>
      <w:proofErr w:type="spellEnd"/>
      <w:r w:rsidRPr="00AA22F9">
        <w:rPr>
          <w:rFonts w:ascii="Times New Roman" w:hAnsi="Times New Roman" w:cs="Times New Roman"/>
        </w:rPr>
        <w:t xml:space="preserve"> et al. (2023) demonstrate. These cost savings, in turn, easily translate into competitive advantages that enable the financial institutions to provide more attractive prices, invest more in new market penetration, and contribute to the overall market growth. The advantages of these targeted digital projects are measurable, and these facets reflect the digital imperative: Technology use is not </w:t>
      </w:r>
      <w:proofErr w:type="gramStart"/>
      <w:r w:rsidRPr="00AA22F9">
        <w:rPr>
          <w:rFonts w:ascii="Times New Roman" w:hAnsi="Times New Roman" w:cs="Times New Roman"/>
        </w:rPr>
        <w:t>anymore</w:t>
      </w:r>
      <w:proofErr w:type="gramEnd"/>
      <w:r w:rsidRPr="00AA22F9">
        <w:rPr>
          <w:rFonts w:ascii="Times New Roman" w:hAnsi="Times New Roman" w:cs="Times New Roman"/>
        </w:rPr>
        <w:t xml:space="preserve"> the exploration, but it brings quantifiable benefits to directly target major sectoral problems of cost, access, efficiency, and scale. It is not merely a strategic miscalculation to ignore; it is a direct existential risk to organisational viability and potential to grow in an ever-growing digital-first world. Therefore, the situation in the post-pandemic environment is a decisive moment.</w:t>
      </w:r>
    </w:p>
    <w:p w14:paraId="190D57BF" w14:textId="77777777" w:rsidR="001118A1" w:rsidRPr="00AA22F9" w:rsidRDefault="001118A1" w:rsidP="00AF0254">
      <w:pPr>
        <w:pStyle w:val="Heading2"/>
      </w:pPr>
      <w:bookmarkStart w:id="6" w:name="_Toc210260614"/>
      <w:bookmarkStart w:id="7" w:name="_Toc210481123"/>
      <w:r w:rsidRPr="00AA22F9">
        <w:lastRenderedPageBreak/>
        <w:t>1.3 The Regulatory Paradox: Innovation vs. Compliance</w:t>
      </w:r>
      <w:bookmarkEnd w:id="6"/>
      <w:bookmarkEnd w:id="7"/>
    </w:p>
    <w:p w14:paraId="2FEBFB47" w14:textId="77777777" w:rsidR="001118A1" w:rsidRPr="00AA22F9" w:rsidRDefault="001118A1" w:rsidP="00AF0254">
      <w:pPr>
        <w:pStyle w:val="Heading3"/>
      </w:pPr>
      <w:bookmarkStart w:id="8" w:name="_Toc210260615"/>
      <w:bookmarkStart w:id="9" w:name="_Toc210481124"/>
      <w:r w:rsidRPr="00AA22F9">
        <w:t>1.3.1 Divergent Regulatory Landscapes</w:t>
      </w:r>
      <w:bookmarkEnd w:id="8"/>
      <w:bookmarkEnd w:id="9"/>
    </w:p>
    <w:p w14:paraId="0B1391D0" w14:textId="77777777" w:rsidR="001118A1" w:rsidRPr="00AA22F9" w:rsidRDefault="001118A1" w:rsidP="001118A1">
      <w:pPr>
        <w:spacing w:after="0" w:line="480" w:lineRule="auto"/>
        <w:ind w:firstLine="720"/>
        <w:contextualSpacing/>
        <w:rPr>
          <w:rFonts w:ascii="Times New Roman" w:hAnsi="Times New Roman" w:cs="Times New Roman"/>
        </w:rPr>
      </w:pPr>
      <w:r w:rsidRPr="00AA22F9">
        <w:rPr>
          <w:rFonts w:ascii="Times New Roman" w:hAnsi="Times New Roman" w:cs="Times New Roman"/>
        </w:rPr>
        <w:t>The financial and healthcare regulatory landscape represents two poles of opposition that inevitably imprint the digital transformation of healthcare and finance and constrain it in most scenarios. Healthcare organisation is constructed following a patient-centred ethos that is based on safety-first that creates a roadblock to being innovative. HIPAA creates a massive technical and administrative burden that essentially compromises the data fluidity required by AI analytics and unified telemedicine systems due to the high sensitivity of PHI (Li, 2023). This is further complicated by the fact that FDA-approved medical equipment and software is scientific and evidence-based, with the procedure being time-intensive and expensive because of the multi-stage clinical testing and classification of risks (Lottes et al., 2022). This regulatory framework will have an inherent tendency towards incremental innovation as opposed to disruptive innovation, particularly during stages of AI diagnostics uptake in comparison to consumer technology. Healthcare, then, is an ecosystem designed as a highly programmed system to minimise risks to human lives and privacy, but squarely at the cost of speed, radical experimentation, and the creation of a naturally risk-averse organisational culture that defines its innovation trajectory.</w:t>
      </w:r>
    </w:p>
    <w:p w14:paraId="08CD82D3" w14:textId="77777777" w:rsidR="001118A1" w:rsidRPr="00AA22F9" w:rsidRDefault="001118A1" w:rsidP="001118A1">
      <w:pPr>
        <w:spacing w:after="0" w:line="480" w:lineRule="auto"/>
        <w:ind w:firstLine="720"/>
        <w:contextualSpacing/>
        <w:rPr>
          <w:rFonts w:ascii="Times New Roman" w:hAnsi="Times New Roman" w:cs="Times New Roman"/>
        </w:rPr>
      </w:pPr>
      <w:r w:rsidRPr="00AA22F9">
        <w:rPr>
          <w:rFonts w:ascii="Times New Roman" w:hAnsi="Times New Roman" w:cs="Times New Roman"/>
        </w:rPr>
        <w:t xml:space="preserve">Financial services are driven by a regulatory paradigm that prioritises systemic stability and consumer protection, creating a </w:t>
      </w:r>
      <w:proofErr w:type="gramStart"/>
      <w:r w:rsidRPr="00AA22F9">
        <w:rPr>
          <w:rFonts w:ascii="Times New Roman" w:hAnsi="Times New Roman" w:cs="Times New Roman"/>
        </w:rPr>
        <w:t>more nimble</w:t>
      </w:r>
      <w:proofErr w:type="gramEnd"/>
      <w:r w:rsidRPr="00AA22F9">
        <w:rPr>
          <w:rFonts w:ascii="Times New Roman" w:hAnsi="Times New Roman" w:cs="Times New Roman"/>
        </w:rPr>
        <w:t xml:space="preserve"> innovation relationship than in healthcare. Active facilitation policies, which include the PSD2, entail open banking by standardisation of APIs in which providers of third-party data must share it </w:t>
      </w:r>
      <w:proofErr w:type="gramStart"/>
      <w:r w:rsidRPr="00AA22F9">
        <w:rPr>
          <w:rFonts w:ascii="Times New Roman" w:hAnsi="Times New Roman" w:cs="Times New Roman"/>
        </w:rPr>
        <w:t>in order to</w:t>
      </w:r>
      <w:proofErr w:type="gramEnd"/>
      <w:r w:rsidRPr="00AA22F9">
        <w:rPr>
          <w:rFonts w:ascii="Times New Roman" w:hAnsi="Times New Roman" w:cs="Times New Roman"/>
        </w:rPr>
        <w:t xml:space="preserve"> encourage competition and accelerate the development of fintech (</w:t>
      </w:r>
      <w:proofErr w:type="spellStart"/>
      <w:r w:rsidRPr="00AA22F9">
        <w:rPr>
          <w:rFonts w:ascii="Times New Roman" w:hAnsi="Times New Roman" w:cs="Times New Roman"/>
        </w:rPr>
        <w:t>Gounari</w:t>
      </w:r>
      <w:proofErr w:type="spellEnd"/>
      <w:r w:rsidRPr="00AA22F9">
        <w:rPr>
          <w:rFonts w:ascii="Times New Roman" w:hAnsi="Times New Roman" w:cs="Times New Roman"/>
        </w:rPr>
        <w:t xml:space="preserve"> et al., 2024). Stability-orientated systems, in contrast, like Basel III, impose capital requirements on the resilience of incumbents possessing unintentional barriers to entry by </w:t>
      </w:r>
      <w:proofErr w:type="spellStart"/>
      <w:r w:rsidRPr="00AA22F9">
        <w:rPr>
          <w:rFonts w:ascii="Times New Roman" w:hAnsi="Times New Roman" w:cs="Times New Roman"/>
        </w:rPr>
        <w:t>fintechs</w:t>
      </w:r>
      <w:proofErr w:type="spellEnd"/>
      <w:r w:rsidRPr="00AA22F9">
        <w:rPr>
          <w:rFonts w:ascii="Times New Roman" w:hAnsi="Times New Roman" w:cs="Times New Roman"/>
        </w:rPr>
        <w:t xml:space="preserve">. Also, extensive anti-fraud and AML regulations (Allegrezza &amp; Bruzzese, 2025) establish transparency in the operations, which directly affects the design of technologies that introduce real-time KYC checks and irrevocable audit logs on blockchain and artificial intelligence. Notably, these rules control the integrity of the process and verifiability of the </w:t>
      </w:r>
      <w:r w:rsidRPr="00AA22F9">
        <w:rPr>
          <w:rFonts w:ascii="Times New Roman" w:hAnsi="Times New Roman" w:cs="Times New Roman"/>
        </w:rPr>
        <w:lastRenderedPageBreak/>
        <w:t xml:space="preserve">information, not the matters of life and death. This natural mismatch of interests allows regulatory constructs, e.g., sandboxes (Ringe &amp; Ruof, 2023), a type of controlled testing within a limited time frame under temporary </w:t>
      </w:r>
      <w:proofErr w:type="spellStart"/>
      <w:r w:rsidRPr="00AA22F9">
        <w:rPr>
          <w:rFonts w:ascii="Times New Roman" w:hAnsi="Times New Roman" w:cs="Times New Roman"/>
        </w:rPr>
        <w:t>monitorage</w:t>
      </w:r>
      <w:proofErr w:type="spellEnd"/>
      <w:r w:rsidRPr="00AA22F9">
        <w:rPr>
          <w:rFonts w:ascii="Times New Roman" w:hAnsi="Times New Roman" w:cs="Times New Roman"/>
        </w:rPr>
        <w:t>, a characteristic that supports the accelerating cycles of innovative development inherent to the disruptive curve of the industry. This regulatory DNA links compliance to market velocity with an element of structure that is not risk-averse precaution as in healthcare.</w:t>
      </w:r>
    </w:p>
    <w:p w14:paraId="4F209D36" w14:textId="77777777" w:rsidR="001118A1" w:rsidRPr="00AA22F9" w:rsidRDefault="001118A1" w:rsidP="001118A1">
      <w:pPr>
        <w:spacing w:after="0" w:line="480" w:lineRule="auto"/>
        <w:ind w:firstLine="720"/>
        <w:contextualSpacing/>
        <w:rPr>
          <w:rFonts w:ascii="Times New Roman" w:hAnsi="Times New Roman" w:cs="Times New Roman"/>
        </w:rPr>
      </w:pPr>
      <w:r w:rsidRPr="00AA22F9">
        <w:rPr>
          <w:rFonts w:ascii="Times New Roman" w:hAnsi="Times New Roman" w:cs="Times New Roman"/>
        </w:rPr>
        <w:t>The core paradox of managed innovation is a deeper division against systematic DNA: the unhurried care of medicine with the responsiveness of finance. This may be in the form of an innovation-compliance trade-off in the medical sector, wherein HIPAA and FDA restrictions, although entailed by the willingness to safeguard patient rights, are killing data flexibility and speed, just like the development of individual medicine and data reduction in costs (</w:t>
      </w:r>
      <w:proofErr w:type="spellStart"/>
      <w:r w:rsidRPr="00AA22F9">
        <w:rPr>
          <w:rFonts w:ascii="Times New Roman" w:hAnsi="Times New Roman" w:cs="Times New Roman"/>
        </w:rPr>
        <w:t>Obeagu</w:t>
      </w:r>
      <w:proofErr w:type="spellEnd"/>
      <w:r w:rsidRPr="00AA22F9">
        <w:rPr>
          <w:rFonts w:ascii="Times New Roman" w:hAnsi="Times New Roman" w:cs="Times New Roman"/>
        </w:rPr>
        <w:t xml:space="preserve"> et al., 2024; Martin and Steinmueller, 2023). On the other hand, the agile focus on disruption in finance under PSD2 and sandboxes paradoxically leaves the system weaker, broadening the scope of cyberattacks and potentially implying its implementation, which will imply catastrophic data breaches and disrupt the same rule of trusts and stability that Basel III is expected to implement (Ringe &amp; Ruof, 2023). This translates to a double-fail strategy: compliance may also mean obsolescence, and the trust may be broken by the innovation. Diffusion of balance between these conflicting forces was the strategic issue of the time. This is a direct response to this, as it creates a cross-sector model that </w:t>
      </w:r>
      <w:proofErr w:type="gramStart"/>
      <w:r w:rsidRPr="00AA22F9">
        <w:rPr>
          <w:rFonts w:ascii="Times New Roman" w:hAnsi="Times New Roman" w:cs="Times New Roman"/>
        </w:rPr>
        <w:t>cross-cuts</w:t>
      </w:r>
      <w:proofErr w:type="gramEnd"/>
      <w:r w:rsidRPr="00AA22F9">
        <w:rPr>
          <w:rFonts w:ascii="Times New Roman" w:hAnsi="Times New Roman" w:cs="Times New Roman"/>
        </w:rPr>
        <w:t xml:space="preserve"> this bogus dichotomy and offers some practical steps to balance the technologies' agile nature with a governance that is non-</w:t>
      </w:r>
      <w:proofErr w:type="gramStart"/>
      <w:r w:rsidRPr="00AA22F9">
        <w:rPr>
          <w:rFonts w:ascii="Times New Roman" w:hAnsi="Times New Roman" w:cs="Times New Roman"/>
        </w:rPr>
        <w:t>preventable</w:t>
      </w:r>
      <w:proofErr w:type="gramEnd"/>
      <w:r w:rsidRPr="00AA22F9">
        <w:rPr>
          <w:rFonts w:ascii="Times New Roman" w:hAnsi="Times New Roman" w:cs="Times New Roman"/>
        </w:rPr>
        <w:t xml:space="preserve"> and which can itself serve as a competitive tool.</w:t>
      </w:r>
    </w:p>
    <w:p w14:paraId="313C022D" w14:textId="77777777" w:rsidR="001118A1" w:rsidRPr="00AA22F9" w:rsidRDefault="001118A1" w:rsidP="00AF0254">
      <w:pPr>
        <w:pStyle w:val="Heading3"/>
      </w:pPr>
      <w:bookmarkStart w:id="10" w:name="_Toc210260616"/>
      <w:bookmarkStart w:id="11" w:name="_Toc210481125"/>
      <w:r w:rsidRPr="00AA22F9">
        <w:t>1.3.2 Cultural &amp; Ethical Barriers</w:t>
      </w:r>
      <w:bookmarkEnd w:id="10"/>
      <w:bookmarkEnd w:id="11"/>
    </w:p>
    <w:p w14:paraId="662C3EDA" w14:textId="77777777" w:rsidR="001118A1" w:rsidRPr="00AA22F9" w:rsidRDefault="001118A1" w:rsidP="001118A1">
      <w:pPr>
        <w:spacing w:after="0" w:line="480" w:lineRule="auto"/>
        <w:ind w:firstLine="720"/>
        <w:contextualSpacing/>
        <w:rPr>
          <w:rFonts w:ascii="Times New Roman" w:hAnsi="Times New Roman" w:cs="Times New Roman"/>
        </w:rPr>
      </w:pPr>
      <w:r w:rsidRPr="00AA22F9">
        <w:rPr>
          <w:rFonts w:ascii="Times New Roman" w:hAnsi="Times New Roman" w:cs="Times New Roman"/>
        </w:rPr>
        <w:t xml:space="preserve">Culture and ethical demands dictate the patterns of innovations in healthcare and finance differently. The pillars of healthcare culture, such as fiduciary duty and patient welfare, hinder high-risk innovation, including AI in diagnostics, due to the fear of algorithmic bias, the loss of physician-patient relationships, and the ethical discomfort of transferring life-altering decisions to </w:t>
      </w:r>
      <w:r w:rsidRPr="00AA22F9">
        <w:rPr>
          <w:rFonts w:ascii="Times New Roman" w:hAnsi="Times New Roman" w:cs="Times New Roman"/>
        </w:rPr>
        <w:lastRenderedPageBreak/>
        <w:t xml:space="preserve">the non-transparent process (Cross, Choma and Onofrey, 2024). These apprehensions trigger gradual, much-scrutinised adoption plans in which AI serves as a clinical assistant, and not a clinical decision-maker, and safety is prioritised above productivity. Finance, however, has a manoeuvre-based culture and a culture of risky innovation, with regulatory sandboxes allowing a temporary reprieve of regulation, user-limited experiments and liberation (Ringe and Ruof, 2023). The implementation of blockchain and AI analytics is quick because culture allows experimentation with stakes high but not deadly. Rapid innovation of the two sectors is not only divergent due to regulation but also due to the cultural willingness of the two sectors to risk gambling </w:t>
      </w:r>
      <w:proofErr w:type="gramStart"/>
      <w:r w:rsidRPr="00AA22F9">
        <w:rPr>
          <w:rFonts w:ascii="Times New Roman" w:hAnsi="Times New Roman" w:cs="Times New Roman"/>
        </w:rPr>
        <w:t>with regard to</w:t>
      </w:r>
      <w:proofErr w:type="gramEnd"/>
      <w:r w:rsidRPr="00AA22F9">
        <w:rPr>
          <w:rFonts w:ascii="Times New Roman" w:hAnsi="Times New Roman" w:cs="Times New Roman"/>
        </w:rPr>
        <w:t xml:space="preserve"> innovation.</w:t>
      </w:r>
    </w:p>
    <w:p w14:paraId="4A742E7A" w14:textId="77777777" w:rsidR="001118A1" w:rsidRPr="00AA22F9" w:rsidRDefault="001118A1" w:rsidP="001118A1">
      <w:pPr>
        <w:spacing w:after="0" w:line="480" w:lineRule="auto"/>
        <w:ind w:firstLine="720"/>
        <w:contextualSpacing/>
        <w:rPr>
          <w:rFonts w:ascii="Times New Roman" w:hAnsi="Times New Roman" w:cs="Times New Roman"/>
        </w:rPr>
      </w:pPr>
      <w:r w:rsidRPr="00AA22F9">
        <w:rPr>
          <w:rFonts w:ascii="Times New Roman" w:hAnsi="Times New Roman" w:cs="Times New Roman"/>
        </w:rPr>
        <w:t>The basis of these divergent innovation logics lies in radically different cultural values, that is, individual safety and trust in a system. The sanctity of the well-being of the patient, ethical interest review and incrementalism are the foundations of healthcare orientation, and regulatory requirements, such as HIPAA regulations and FDA regulations, entrench the trend of risk-averse innovation. The applications of such technologies as AI diagnostics and telemedicine are viewed in the context of the safety-first approach. Finance is, in its turn, interested in transactional transparency and institutional integrity, and innovation must prove to be speeding up the adaptability (Ringe and Ruof, 2023). The regulatory compliance here is created on the auditing of a process and not the actual human risk. This means that both the organisational behaviour and risk tolerance are mutually exclusive: healthcare is risk-averse to innovate and take a risk that will ruin it, or finance, conversely, is risk-tolerant to grow. This difference characterises industry-specific responses to innovation: purposeful and defensive in healthcare, rapid and systematic in finance, and influenced by its ethical commitment and cultural calculus in terms of trust, risk and expediency.</w:t>
      </w:r>
    </w:p>
    <w:p w14:paraId="6627CCC5" w14:textId="77777777" w:rsidR="001118A1" w:rsidRPr="00AA22F9" w:rsidRDefault="001118A1" w:rsidP="00AF0254">
      <w:pPr>
        <w:pStyle w:val="Heading3"/>
      </w:pPr>
      <w:bookmarkStart w:id="12" w:name="_Toc210260617"/>
      <w:bookmarkStart w:id="13" w:name="_Toc210481126"/>
      <w:r w:rsidRPr="00AA22F9">
        <w:t>1.3.3 Consequences of Imbalance</w:t>
      </w:r>
      <w:bookmarkEnd w:id="12"/>
      <w:bookmarkEnd w:id="13"/>
    </w:p>
    <w:p w14:paraId="1FE7823A" w14:textId="77777777" w:rsidR="001118A1" w:rsidRPr="00AA22F9" w:rsidRDefault="001118A1" w:rsidP="001118A1">
      <w:pPr>
        <w:spacing w:after="0" w:line="480" w:lineRule="auto"/>
        <w:ind w:firstLine="720"/>
        <w:contextualSpacing/>
        <w:rPr>
          <w:rFonts w:ascii="Times New Roman" w:hAnsi="Times New Roman" w:cs="Times New Roman"/>
        </w:rPr>
      </w:pPr>
      <w:r w:rsidRPr="00AA22F9">
        <w:rPr>
          <w:rFonts w:ascii="Times New Roman" w:hAnsi="Times New Roman" w:cs="Times New Roman"/>
        </w:rPr>
        <w:t xml:space="preserve">Safety is attached to compliance, but excessive emphasis on compliance would suppress innovation in healthcare. A case of such a delay is the multi-phase assessments of AI diagnostic </w:t>
      </w:r>
      <w:r w:rsidRPr="00AA22F9">
        <w:rPr>
          <w:rFonts w:ascii="Times New Roman" w:hAnsi="Times New Roman" w:cs="Times New Roman"/>
        </w:rPr>
        <w:lastRenderedPageBreak/>
        <w:t>tools by the FDA, which involve lengthy regulatory approvals (Lin et al., 2025</w:t>
      </w:r>
      <w:proofErr w:type="gramStart"/>
      <w:r w:rsidRPr="00AA22F9">
        <w:rPr>
          <w:rFonts w:ascii="Times New Roman" w:hAnsi="Times New Roman" w:cs="Times New Roman"/>
        </w:rPr>
        <w:t>).Research</w:t>
      </w:r>
      <w:proofErr w:type="gramEnd"/>
      <w:r w:rsidRPr="00AA22F9">
        <w:rPr>
          <w:rFonts w:ascii="Times New Roman" w:hAnsi="Times New Roman" w:cs="Times New Roman"/>
        </w:rPr>
        <w:t xml:space="preserve"> on life-saving algorithms can be released and abandoned years before a clinical implementation occurs, denying patients the benefit of the newest and most efficient treatment. Simultaneously, the implementation of data-driven technology, such as integrated EHRs or giant predictive analytics, is getting harder due to the HIPAA compliance limitations. The lack of resources and an extreme risk of punishment compel them to use out-of-date and inefficient systems in hospitals and clinics. Through the intelligent cultivation of a prudent climate, innovation is suffocated, and an investment in possibly transformative technology is deterred, which only hinders the developments the sector desperately required in the form of treatment efficacy, cost reductions, and better accessibility.</w:t>
      </w:r>
    </w:p>
    <w:p w14:paraId="0F7BAAB0" w14:textId="77777777" w:rsidR="001118A1" w:rsidRPr="00AA22F9" w:rsidRDefault="001118A1" w:rsidP="001118A1">
      <w:pPr>
        <w:spacing w:after="0" w:line="480" w:lineRule="auto"/>
        <w:ind w:firstLine="720"/>
        <w:contextualSpacing/>
        <w:rPr>
          <w:rFonts w:ascii="Times New Roman" w:hAnsi="Times New Roman" w:cs="Times New Roman"/>
        </w:rPr>
      </w:pPr>
      <w:r w:rsidRPr="00AA22F9">
        <w:rPr>
          <w:rFonts w:ascii="Times New Roman" w:hAnsi="Times New Roman" w:cs="Times New Roman"/>
        </w:rPr>
        <w:t>On the other hand, financial services cannot risk accelerating disruptive growth at the cost of sound compliance and security. New fintech applications, which are frequently driven by open banking APIs and can sometimes turn vulnerable, are subject to the new PSD2 requirements</w:t>
      </w:r>
      <w:r w:rsidRPr="00AA22F9">
        <w:rPr>
          <w:rFonts w:ascii="Times New Roman" w:hAnsi="Times New Roman" w:cs="Times New Roman"/>
          <w:color w:val="000000"/>
          <w:shd w:val="clear" w:color="auto" w:fill="FFFFFF"/>
        </w:rPr>
        <w:t xml:space="preserve"> (</w:t>
      </w:r>
      <w:proofErr w:type="spellStart"/>
      <w:r w:rsidRPr="00AA22F9">
        <w:rPr>
          <w:rFonts w:ascii="Times New Roman" w:hAnsi="Times New Roman" w:cs="Times New Roman"/>
          <w:color w:val="000000"/>
          <w:shd w:val="clear" w:color="auto" w:fill="FFFFFF"/>
        </w:rPr>
        <w:t>Hurani</w:t>
      </w:r>
      <w:proofErr w:type="spellEnd"/>
      <w:r w:rsidRPr="00AA22F9">
        <w:rPr>
          <w:rFonts w:ascii="Times New Roman" w:hAnsi="Times New Roman" w:cs="Times New Roman"/>
          <w:color w:val="000000"/>
          <w:shd w:val="clear" w:color="auto" w:fill="FFFFFF"/>
        </w:rPr>
        <w:t xml:space="preserve"> &amp; Abdel-Haq 2025)</w:t>
      </w:r>
      <w:r w:rsidRPr="00AA22F9">
        <w:rPr>
          <w:rFonts w:ascii="Times New Roman" w:hAnsi="Times New Roman" w:cs="Times New Roman"/>
        </w:rPr>
        <w:t>. Inadequate security testing or the absence of compliance deficiencies identified during the hasty development cycles exposes systems to vulnerability. This normally becomes colossal security breaches and data leakages in which clients' sensitive financial data is compromised. This practical impact is evidenced by the presence of high-profile events that reveal the exploitation of centralised fintech platforms or the vulnerabilities of the third-party payment processors. These breaches impose both short-term financial losses on customers and institutions, expensive cleanup costs, and huge regulatory fines that directly reverse the efficiency gains that must necessarily flow out of innovation.</w:t>
      </w:r>
    </w:p>
    <w:p w14:paraId="164FDD95" w14:textId="77777777" w:rsidR="001118A1" w:rsidRPr="00AA22F9" w:rsidRDefault="001118A1" w:rsidP="001118A1">
      <w:pPr>
        <w:spacing w:after="0" w:line="480" w:lineRule="auto"/>
        <w:ind w:firstLine="720"/>
        <w:contextualSpacing/>
        <w:rPr>
          <w:rFonts w:ascii="Times New Roman" w:hAnsi="Times New Roman" w:cs="Times New Roman"/>
        </w:rPr>
      </w:pPr>
      <w:r w:rsidRPr="00AA22F9">
        <w:rPr>
          <w:rFonts w:ascii="Times New Roman" w:hAnsi="Times New Roman" w:cs="Times New Roman"/>
        </w:rPr>
        <w:t xml:space="preserve">The most devastating impact is the loss of consumer confidence due to security lapses in the financial sector. When a customer has already had to resolve fraud because of a fintech break or when their sensitive information was revealed because of the absence of a security system, their confidence dissolves (Strzelecki and Mariia </w:t>
      </w:r>
      <w:proofErr w:type="spellStart"/>
      <w:r w:rsidRPr="00AA22F9">
        <w:rPr>
          <w:rFonts w:ascii="Times New Roman" w:hAnsi="Times New Roman" w:cs="Times New Roman"/>
        </w:rPr>
        <w:t>Rizun</w:t>
      </w:r>
      <w:proofErr w:type="spellEnd"/>
      <w:r w:rsidRPr="00AA22F9">
        <w:rPr>
          <w:rFonts w:ascii="Times New Roman" w:hAnsi="Times New Roman" w:cs="Times New Roman"/>
        </w:rPr>
        <w:t xml:space="preserve"> 2022). Reputation is difficult to earn, and it can be destroyed in a single larger-scale event. This loss of trust, in turn, becomes customer attrition, apprehension toward new digital services and greater regulation. Ringe and Ruof (2023) argue that </w:t>
      </w:r>
      <w:r w:rsidRPr="00AA22F9">
        <w:rPr>
          <w:rFonts w:ascii="Times New Roman" w:hAnsi="Times New Roman" w:cs="Times New Roman"/>
        </w:rPr>
        <w:lastRenderedPageBreak/>
        <w:t>these occurrences expressively associate incidents with decreased confidence in markets and the reality that failure to protect security reverses the convenience gains that drive fintech use. Violation is a disaster to growth-based financial institutions, as restoring confidence is much more challenging and expensive than offering high levels of security initially.</w:t>
      </w:r>
    </w:p>
    <w:p w14:paraId="10F46716" w14:textId="77777777" w:rsidR="001118A1" w:rsidRPr="00AA22F9" w:rsidRDefault="001118A1" w:rsidP="001118A1">
      <w:pPr>
        <w:spacing w:after="0" w:line="480" w:lineRule="auto"/>
        <w:ind w:firstLine="720"/>
        <w:contextualSpacing/>
        <w:rPr>
          <w:rFonts w:ascii="Times New Roman" w:hAnsi="Times New Roman" w:cs="Times New Roman"/>
        </w:rPr>
      </w:pPr>
      <w:r w:rsidRPr="00AA22F9">
        <w:rPr>
          <w:rFonts w:ascii="Times New Roman" w:hAnsi="Times New Roman" w:cs="Times New Roman"/>
        </w:rPr>
        <w:t xml:space="preserve">The bottom line is that stifling compliance in healthcare and insecure innovation in finance both result in diminished value and unsustainability. In healthcare, the price of delayed innovation is paid in suboptimal patient outcomes, continued inefficiencies, and ever-increasing costs while transformative tools continue to languish in regulatory limbo </w:t>
      </w:r>
      <w:r w:rsidRPr="00AA22F9">
        <w:rPr>
          <w:rFonts w:ascii="Times New Roman" w:hAnsi="Times New Roman" w:cs="Times New Roman"/>
          <w:color w:val="000000"/>
          <w:shd w:val="clear" w:color="auto" w:fill="FFFFFF"/>
        </w:rPr>
        <w:t xml:space="preserve">(Kesavan and Dy, 2020, </w:t>
      </w:r>
      <w:r w:rsidRPr="00AA22F9">
        <w:rPr>
          <w:rFonts w:ascii="Times New Roman" w:eastAsia="Times New Roman" w:hAnsi="Times New Roman" w:cs="Times New Roman"/>
        </w:rPr>
        <w:t>pp.255–262</w:t>
      </w:r>
      <w:r w:rsidRPr="00AA22F9">
        <w:rPr>
          <w:rFonts w:ascii="Times New Roman" w:hAnsi="Times New Roman" w:cs="Times New Roman"/>
          <w:color w:val="000000"/>
          <w:shd w:val="clear" w:color="auto" w:fill="FFFFFF"/>
        </w:rPr>
        <w:t>)</w:t>
      </w:r>
      <w:r w:rsidRPr="00AA22F9">
        <w:rPr>
          <w:rFonts w:ascii="Times New Roman" w:hAnsi="Times New Roman" w:cs="Times New Roman"/>
        </w:rPr>
        <w:t xml:space="preserve">. Slower medical progress falls upon society. In finance, there is a direct financial cost when agility is pursued without the appropriate guardrails; the loss of trust leads to reputational ruin, regulatory backlash and a weakened market position. </w:t>
      </w:r>
      <w:proofErr w:type="gramStart"/>
      <w:r w:rsidRPr="00AA22F9">
        <w:rPr>
          <w:rFonts w:ascii="Times New Roman" w:hAnsi="Times New Roman" w:cs="Times New Roman"/>
        </w:rPr>
        <w:t>In particular, if</w:t>
      </w:r>
      <w:proofErr w:type="gramEnd"/>
      <w:r w:rsidRPr="00AA22F9">
        <w:rPr>
          <w:rFonts w:ascii="Times New Roman" w:hAnsi="Times New Roman" w:cs="Times New Roman"/>
        </w:rPr>
        <w:t xml:space="preserve"> the fallout from security failures becomes too large to ignore, the promised growth from innovation becomes not sustainable anymore. The imbalance of compliance and innovation in these critical sectors shows that the two cannot be pursued separately; neglecting their key interdependence threatens the core mission and sustained viability of organisations in these sectors.</w:t>
      </w:r>
    </w:p>
    <w:p w14:paraId="0B237530" w14:textId="77777777" w:rsidR="001118A1" w:rsidRPr="00AA22F9" w:rsidRDefault="001118A1" w:rsidP="00AF0254">
      <w:pPr>
        <w:pStyle w:val="Heading2"/>
      </w:pPr>
      <w:bookmarkStart w:id="14" w:name="_Toc210260618"/>
      <w:bookmarkStart w:id="15" w:name="_Toc210481127"/>
      <w:r w:rsidRPr="00AA22F9">
        <w:t>1.4 The Research Gap: Fragmented Scholarship</w:t>
      </w:r>
      <w:bookmarkEnd w:id="14"/>
      <w:bookmarkEnd w:id="15"/>
    </w:p>
    <w:p w14:paraId="6A535CC5" w14:textId="77777777" w:rsidR="001118A1" w:rsidRPr="00AA22F9" w:rsidRDefault="001118A1" w:rsidP="00AF0254">
      <w:pPr>
        <w:pStyle w:val="Heading3"/>
      </w:pPr>
      <w:bookmarkStart w:id="16" w:name="_Toc210260619"/>
      <w:bookmarkStart w:id="17" w:name="_Toc210481128"/>
      <w:r w:rsidRPr="00AA22F9">
        <w:t>1.4.1 Critique of Existing Literature</w:t>
      </w:r>
      <w:bookmarkEnd w:id="16"/>
      <w:bookmarkEnd w:id="17"/>
    </w:p>
    <w:p w14:paraId="1B1AE376" w14:textId="77777777" w:rsidR="001118A1" w:rsidRPr="00AA22F9" w:rsidRDefault="001118A1" w:rsidP="001118A1">
      <w:pPr>
        <w:spacing w:after="0" w:line="480" w:lineRule="auto"/>
        <w:ind w:firstLine="720"/>
        <w:contextualSpacing/>
        <w:rPr>
          <w:rFonts w:ascii="Times New Roman" w:hAnsi="Times New Roman" w:cs="Times New Roman"/>
        </w:rPr>
      </w:pPr>
      <w:r w:rsidRPr="00AA22F9">
        <w:rPr>
          <w:rFonts w:ascii="Times New Roman" w:hAnsi="Times New Roman" w:cs="Times New Roman"/>
        </w:rPr>
        <w:t xml:space="preserve">A critical limitation in the prevailing body of research is that the research is entrenched in sector-specific silos, making learning across industries meaningless. </w:t>
      </w:r>
      <w:proofErr w:type="spellStart"/>
      <w:r w:rsidRPr="00AA22F9">
        <w:rPr>
          <w:rFonts w:ascii="Times New Roman" w:hAnsi="Times New Roman" w:cs="Times New Roman"/>
        </w:rPr>
        <w:t>Nittari</w:t>
      </w:r>
      <w:proofErr w:type="spellEnd"/>
      <w:r w:rsidRPr="00AA22F9">
        <w:rPr>
          <w:rFonts w:ascii="Times New Roman" w:hAnsi="Times New Roman" w:cs="Times New Roman"/>
        </w:rPr>
        <w:t xml:space="preserve"> et al. (2022) provide a case of a detailed healthcare innovation study, i.e., how telemedicine regulatory barriers influence data privacy under HIPAA or physician licensing across jurisdictions. Yet, they continuously overlook or miss connecting these to similar mechanisms within finance, namely fintech regulatory sandboxes (Ringe &amp; Ruof, 2023), where such mechanisms already exist and have proven their value in controlled innovation testing within regulatory guardrails. On the other hand, finance-centric research such as Arner et al.’s (2023) enquiry of potential applications of blockchain technology to promote scalability of blockchain and the disruptive potential of fintech focuses on the expansion of </w:t>
      </w:r>
      <w:r w:rsidRPr="00AA22F9">
        <w:rPr>
          <w:rFonts w:ascii="Times New Roman" w:hAnsi="Times New Roman" w:cs="Times New Roman"/>
        </w:rPr>
        <w:lastRenderedPageBreak/>
        <w:t>the market and minimal cost. However, this work tends to overlook the significant compliance constraints present in regulated markets, e.g., Basel III's capital adequacy burdens or PSD2's data portability complexities, viewing regulation as a secondary factor as opposed to a central strategic variable. This mutual isolation, however, creates fragmented knowledge that obviates the transfer of valuable lessons on how to deal with regulatory complexity to other sectors that face similar innovation compliance tensions.</w:t>
      </w:r>
    </w:p>
    <w:p w14:paraId="7194DCF0" w14:textId="77777777" w:rsidR="001118A1" w:rsidRPr="00AA22F9" w:rsidRDefault="001118A1" w:rsidP="001118A1">
      <w:pPr>
        <w:spacing w:after="0" w:line="480" w:lineRule="auto"/>
        <w:ind w:firstLine="720"/>
        <w:contextualSpacing/>
        <w:rPr>
          <w:rFonts w:ascii="Times New Roman" w:hAnsi="Times New Roman" w:cs="Times New Roman"/>
        </w:rPr>
      </w:pPr>
      <w:r w:rsidRPr="00AA22F9">
        <w:rPr>
          <w:rFonts w:ascii="Times New Roman" w:hAnsi="Times New Roman" w:cs="Times New Roman"/>
        </w:rPr>
        <w:t xml:space="preserve">A profound theoretical isolation is also compounded by the empirical silos. Foundational innovation theories have somehow stubbornly stayed within the bounds of sectoral boundaries and do not provide a full explanation. Nevertheless, dynamic capabilities theory (Teece et al., 1997), which advocates the theme of organisational capacities to sense, seize, and transform resources to create competitive advantage, is predominantly applied to healthcare's incremental innovation patterns only. For instance, Martin &amp; </w:t>
      </w:r>
      <w:proofErr w:type="spellStart"/>
      <w:r w:rsidRPr="00AA22F9">
        <w:rPr>
          <w:rFonts w:ascii="Times New Roman" w:hAnsi="Times New Roman" w:cs="Times New Roman"/>
        </w:rPr>
        <w:t>Steinmueller</w:t>
      </w:r>
      <w:proofErr w:type="spellEnd"/>
      <w:r w:rsidRPr="00AA22F9">
        <w:rPr>
          <w:rFonts w:ascii="Times New Roman" w:hAnsi="Times New Roman" w:cs="Times New Roman"/>
        </w:rPr>
        <w:t xml:space="preserve"> (2023) use it to explain healthcare's phased technology adoption of technologies like AI diagnostics under FDA oversight, in that adaptation is maintained within strict boundaries. While this lens rarely extends to finance, which ignores the dynamical reconfiguration of resources by incumbent banks to fintech disruption, it has considerable potential to do so. </w:t>
      </w:r>
      <w:r w:rsidRPr="00AA22F9">
        <w:rPr>
          <w:rFonts w:ascii="Times New Roman" w:hAnsi="Times New Roman" w:cs="Times New Roman"/>
          <w:i/>
          <w:iCs/>
        </w:rPr>
        <w:t>Finance’s agility and fintech ascendancy</w:t>
      </w:r>
      <w:r w:rsidRPr="00AA22F9">
        <w:rPr>
          <w:rFonts w:ascii="Times New Roman" w:hAnsi="Times New Roman" w:cs="Times New Roman"/>
        </w:rPr>
        <w:t xml:space="preserve"> have been almost exclusively understood using disruptive innovation theory (Christensen, 1997) — how simpler, cheaper solutions overthrow established markets. Applicable though it is to contemporary trends in fintech, this theory is seldom used in healthcare, thereby ignoring the opportunity to analyse potential disruption pathways in diagnostics and care delivery. The regressive theoretical segregation stands in the way of studying the dynamics of innovation in regulated contexts.</w:t>
      </w:r>
    </w:p>
    <w:p w14:paraId="76ECD06E" w14:textId="77777777" w:rsidR="001118A1" w:rsidRPr="00AA22F9" w:rsidRDefault="001118A1" w:rsidP="000C492F">
      <w:pPr>
        <w:pStyle w:val="Heading3"/>
      </w:pPr>
      <w:bookmarkStart w:id="18" w:name="_Toc210260620"/>
      <w:bookmarkStart w:id="19" w:name="_Toc210481129"/>
      <w:r w:rsidRPr="00AA22F9">
        <w:t>1.4.2 Kaplan's Fundamental Critique: The Cost of Isolation</w:t>
      </w:r>
      <w:bookmarkEnd w:id="18"/>
      <w:bookmarkEnd w:id="19"/>
    </w:p>
    <w:p w14:paraId="760505DE" w14:textId="77777777" w:rsidR="001118A1" w:rsidRPr="00AA22F9" w:rsidRDefault="001118A1" w:rsidP="001118A1">
      <w:pPr>
        <w:spacing w:after="0" w:line="480" w:lineRule="auto"/>
        <w:ind w:firstLine="720"/>
        <w:contextualSpacing/>
        <w:rPr>
          <w:rFonts w:ascii="Times New Roman" w:hAnsi="Times New Roman" w:cs="Times New Roman"/>
        </w:rPr>
      </w:pPr>
      <w:r w:rsidRPr="00AA22F9">
        <w:rPr>
          <w:rFonts w:ascii="Times New Roman" w:hAnsi="Times New Roman" w:cs="Times New Roman"/>
        </w:rPr>
        <w:t xml:space="preserve">The deep sectoral isolation of innovation research has attracted critical academic dissent that its practical usefulness is severely constrained. This is the central drawback that Kaplan (2023) provides, asserting that the analysis of regulatory complexity as a </w:t>
      </w:r>
      <w:proofErr w:type="gramStart"/>
      <w:r w:rsidRPr="00AA22F9">
        <w:rPr>
          <w:rFonts w:ascii="Times New Roman" w:hAnsi="Times New Roman" w:cs="Times New Roman"/>
        </w:rPr>
        <w:t>vacuum eclipses ordinary methods</w:t>
      </w:r>
      <w:proofErr w:type="gramEnd"/>
      <w:r w:rsidRPr="00AA22F9">
        <w:rPr>
          <w:rFonts w:ascii="Times New Roman" w:hAnsi="Times New Roman" w:cs="Times New Roman"/>
        </w:rPr>
        <w:t xml:space="preserve"> of applying innovation as a driver of growth. Such criticism reveals an important scholarly </w:t>
      </w:r>
      <w:r w:rsidRPr="00AA22F9">
        <w:rPr>
          <w:rFonts w:ascii="Times New Roman" w:hAnsi="Times New Roman" w:cs="Times New Roman"/>
        </w:rPr>
        <w:lastRenderedPageBreak/>
        <w:t xml:space="preserve">shortcoming: the literature makes it impossible to extract generalisable governance principles by examining frameworks such as HIPAA/FDA and PSD2/Basel III in isolation. As an example, the financial regulatory </w:t>
      </w:r>
      <w:proofErr w:type="gramStart"/>
      <w:r w:rsidRPr="00AA22F9">
        <w:rPr>
          <w:rFonts w:ascii="Times New Roman" w:hAnsi="Times New Roman" w:cs="Times New Roman"/>
        </w:rPr>
        <w:t>sandboxes controlled</w:t>
      </w:r>
      <w:proofErr w:type="gramEnd"/>
      <w:r w:rsidRPr="00AA22F9">
        <w:rPr>
          <w:rFonts w:ascii="Times New Roman" w:hAnsi="Times New Roman" w:cs="Times New Roman"/>
        </w:rPr>
        <w:t xml:space="preserve"> testing (Ringe and Ruof, 2020) is not linked to the discussion of the adaptive clinical testing of medical AI (Lottes et al., 2022), whereas the stringent risk-justification procedures commonly used in healthcare are rarely displayed as examples of enhancing fintech safety (Javaid et al., 2023). In consequence, according to Kaplan, there are synergistic strategies in which regulatory flexibility is not only permissible but can be catalytic in securing innovation. Such disciplinary outsourcing confines insights that might be of use to policymakers and business leaders who also confront analogous innovation-compliance </w:t>
      </w:r>
      <w:proofErr w:type="spellStart"/>
      <w:r w:rsidRPr="00AA22F9">
        <w:rPr>
          <w:rFonts w:ascii="Times New Roman" w:hAnsi="Times New Roman" w:cs="Times New Roman"/>
        </w:rPr>
        <w:t>tradeoffs</w:t>
      </w:r>
      <w:proofErr w:type="spellEnd"/>
      <w:r w:rsidRPr="00AA22F9">
        <w:rPr>
          <w:rFonts w:ascii="Times New Roman" w:hAnsi="Times New Roman" w:cs="Times New Roman"/>
        </w:rPr>
        <w:t xml:space="preserve"> in various high-stakes areas and thus traps these insights in echo chambers where they are practically useless, and cross-sector learning would be suboptimal.</w:t>
      </w:r>
    </w:p>
    <w:p w14:paraId="39BF03DE" w14:textId="77777777" w:rsidR="001118A1" w:rsidRPr="00AA22F9" w:rsidRDefault="001118A1" w:rsidP="001118A1">
      <w:pPr>
        <w:spacing w:after="0" w:line="480" w:lineRule="auto"/>
        <w:ind w:firstLine="720"/>
        <w:contextualSpacing/>
        <w:rPr>
          <w:rFonts w:ascii="Times New Roman" w:hAnsi="Times New Roman" w:cs="Times New Roman"/>
        </w:rPr>
      </w:pPr>
      <w:r w:rsidRPr="00AA22F9">
        <w:rPr>
          <w:rFonts w:ascii="Times New Roman" w:hAnsi="Times New Roman" w:cs="Times New Roman"/>
        </w:rPr>
        <w:t>Collectively, these critiques reveal a fundamental academic and practical void: the absence of a robust cross-sector framework linking regulatory adaptability mechanisms to scalable technology implementation. Although sector-specific research records how regulations impede telemedicine (</w:t>
      </w:r>
      <w:proofErr w:type="spellStart"/>
      <w:r w:rsidRPr="00AA22F9">
        <w:rPr>
          <w:rFonts w:ascii="Times New Roman" w:hAnsi="Times New Roman" w:cs="Times New Roman"/>
        </w:rPr>
        <w:t>Nittari</w:t>
      </w:r>
      <w:proofErr w:type="spellEnd"/>
      <w:r w:rsidRPr="00AA22F9">
        <w:rPr>
          <w:rFonts w:ascii="Times New Roman" w:hAnsi="Times New Roman" w:cs="Times New Roman"/>
        </w:rPr>
        <w:t xml:space="preserve"> et al., 2022) or permit the scaling of fintech (Arner et al., 2023), and individual theories describe why innovation proceeds in an incremental (dynamic capabilities) or disruptive (Christensen, 1997) manner, there is no synthesis of these approaches. This research fills this gap by formulating a configurational paradigm that seeks to explain the way that regulatory environments can cause organisational capabilities and risk tolerance, vice versa, and the way that strategic approaches can cause regulatory engagement. The Dynamic Capabilities and Disruptive Innovation (Teece et al., 1997) theories are also applied intentionally as opposed to others such as the Institutional Theory or RBV since they capture the external, dynamic relationship between regulation and innovation that is evident within industries. The deliverable is a comprehensive standard of sustainable development in high-stakes sectors, transcending siloed descriptions to deliver pragmatic responses to achieve a match between the technological revolution and the critical governance boundaries.</w:t>
      </w:r>
    </w:p>
    <w:p w14:paraId="70043CFA" w14:textId="77777777" w:rsidR="001118A1" w:rsidRPr="00AA22F9" w:rsidRDefault="001118A1" w:rsidP="000C492F">
      <w:pPr>
        <w:pStyle w:val="Heading2"/>
      </w:pPr>
      <w:bookmarkStart w:id="20" w:name="_Toc210260621"/>
      <w:bookmarkStart w:id="21" w:name="_Toc210481130"/>
      <w:r w:rsidRPr="00AA22F9">
        <w:lastRenderedPageBreak/>
        <w:t>1.5 Research Purpose, Questions &amp; Objectives</w:t>
      </w:r>
      <w:bookmarkEnd w:id="20"/>
      <w:bookmarkEnd w:id="21"/>
    </w:p>
    <w:p w14:paraId="6DA44126" w14:textId="77777777" w:rsidR="001118A1" w:rsidRPr="00AA22F9" w:rsidRDefault="001118A1" w:rsidP="000C492F">
      <w:pPr>
        <w:pStyle w:val="Heading3"/>
      </w:pPr>
      <w:bookmarkStart w:id="22" w:name="_Toc210260622"/>
      <w:bookmarkStart w:id="23" w:name="_Toc210481131"/>
      <w:r w:rsidRPr="00AA22F9">
        <w:t>1.5.1 Aim</w:t>
      </w:r>
      <w:bookmarkEnd w:id="22"/>
      <w:bookmarkEnd w:id="23"/>
    </w:p>
    <w:p w14:paraId="5164323C" w14:textId="77777777" w:rsidR="001118A1" w:rsidRPr="00AA22F9" w:rsidRDefault="001118A1" w:rsidP="001118A1">
      <w:pPr>
        <w:spacing w:after="0" w:line="480" w:lineRule="auto"/>
        <w:ind w:firstLine="720"/>
        <w:contextualSpacing/>
        <w:rPr>
          <w:rFonts w:ascii="Times New Roman" w:hAnsi="Times New Roman" w:cs="Times New Roman"/>
        </w:rPr>
      </w:pPr>
      <w:r w:rsidRPr="00AA22F9">
        <w:rPr>
          <w:rFonts w:ascii="Times New Roman" w:hAnsi="Times New Roman" w:cs="Times New Roman"/>
        </w:rPr>
        <w:t xml:space="preserve">This research explicitly aims to develop a novel, actionable cross-sector framework designed to harmonise the strategic deployment of technological innovation—specifically AI, blockchain, telemedicine, and fintech—with the imperatives of regulatory compliance and risk management within the distinct environments of healthcare and financial services. </w:t>
      </w:r>
      <w:proofErr w:type="gramStart"/>
      <w:r w:rsidRPr="00AA22F9">
        <w:rPr>
          <w:rFonts w:ascii="Times New Roman" w:hAnsi="Times New Roman" w:cs="Times New Roman"/>
        </w:rPr>
        <w:t>In light of</w:t>
      </w:r>
      <w:proofErr w:type="gramEnd"/>
      <w:r w:rsidRPr="00AA22F9">
        <w:rPr>
          <w:rFonts w:ascii="Times New Roman" w:hAnsi="Times New Roman" w:cs="Times New Roman"/>
        </w:rPr>
        <w:t xml:space="preserve"> Kaplan (2023)’s crucial void in sector-specific studies and siloed theoretical approaches (dynamic capabilities in healthcare, disruptive innovation in finance) that do not offer universal strategies, the study aims to close the gap. The research attempts to answer this question by systematically comparing how leading organisations contend with their individualised regulatory environments (HIPAA/FDA vs. PSD2/Basel III) and ethical priorities (patient safety vs. transactional transparency) </w:t>
      </w:r>
      <w:proofErr w:type="gramStart"/>
      <w:r w:rsidRPr="00AA22F9">
        <w:rPr>
          <w:rFonts w:ascii="Times New Roman" w:hAnsi="Times New Roman" w:cs="Times New Roman"/>
        </w:rPr>
        <w:t>in order to</w:t>
      </w:r>
      <w:proofErr w:type="gramEnd"/>
      <w:r w:rsidRPr="00AA22F9">
        <w:rPr>
          <w:rFonts w:ascii="Times New Roman" w:hAnsi="Times New Roman" w:cs="Times New Roman"/>
        </w:rPr>
        <w:t xml:space="preserve"> synthesise insights into a practical model. By following this framework, leaders from both sectors will be led to proactively balance agility and governance to allow sustainable growth and competitive advantage and mitigate the risk of noncompliance or innovation failure.</w:t>
      </w:r>
    </w:p>
    <w:p w14:paraId="0BE80323" w14:textId="77777777" w:rsidR="001118A1" w:rsidRPr="00AA22F9" w:rsidRDefault="001118A1" w:rsidP="000C492F">
      <w:pPr>
        <w:pStyle w:val="Heading3"/>
      </w:pPr>
      <w:bookmarkStart w:id="24" w:name="_Toc210260623"/>
      <w:bookmarkStart w:id="25" w:name="_Toc210481132"/>
      <w:r w:rsidRPr="00AA22F9">
        <w:t>1.5.2 Central Research Question</w:t>
      </w:r>
      <w:bookmarkEnd w:id="24"/>
      <w:bookmarkEnd w:id="25"/>
    </w:p>
    <w:p w14:paraId="5ECD194C" w14:textId="77777777" w:rsidR="001118A1" w:rsidRPr="00AA22F9" w:rsidRDefault="001118A1" w:rsidP="001118A1">
      <w:pPr>
        <w:spacing w:after="0" w:line="480" w:lineRule="auto"/>
        <w:ind w:firstLine="720"/>
        <w:contextualSpacing/>
        <w:rPr>
          <w:rFonts w:ascii="Times New Roman" w:hAnsi="Times New Roman" w:cs="Times New Roman"/>
        </w:rPr>
      </w:pPr>
      <w:r w:rsidRPr="00AA22F9">
        <w:rPr>
          <w:rFonts w:ascii="Times New Roman" w:hAnsi="Times New Roman" w:cs="Times New Roman"/>
        </w:rPr>
        <w:t>"How do healthcare and financial services organisations strategically leverage AI, blockchain, telemedicine, and fintech to drive business growth while navigating divergent regulatory constraints (e.g., HIPAA/FDA vs. PSD2/Basel III) and ethical priorities (patient safety vs. transactional transparency), and what comparative lessons can inform a cross-sector framework for sustainable, compliance-harmonised innovation?"</w:t>
      </w:r>
    </w:p>
    <w:p w14:paraId="7D5072AA" w14:textId="77777777" w:rsidR="001118A1" w:rsidRPr="00AA22F9" w:rsidRDefault="001118A1" w:rsidP="000C492F">
      <w:pPr>
        <w:pStyle w:val="Heading3"/>
      </w:pPr>
      <w:bookmarkStart w:id="26" w:name="_Toc210260624"/>
      <w:bookmarkStart w:id="27" w:name="_Toc210481133"/>
      <w:r w:rsidRPr="00AA22F9">
        <w:t>1.5.3 Objectives</w:t>
      </w:r>
      <w:bookmarkEnd w:id="26"/>
      <w:bookmarkEnd w:id="27"/>
    </w:p>
    <w:p w14:paraId="124BDFD8" w14:textId="77777777" w:rsidR="001118A1" w:rsidRPr="00AA22F9" w:rsidRDefault="001118A1" w:rsidP="001118A1">
      <w:pPr>
        <w:spacing w:after="0" w:line="480" w:lineRule="auto"/>
        <w:ind w:left="720" w:hanging="360"/>
        <w:contextualSpacing/>
        <w:rPr>
          <w:rFonts w:ascii="Times New Roman" w:hAnsi="Times New Roman" w:cs="Times New Roman"/>
        </w:rPr>
      </w:pPr>
      <w:r w:rsidRPr="00AA22F9">
        <w:rPr>
          <w:rFonts w:ascii="Times New Roman" w:hAnsi="Times New Roman" w:cs="Times New Roman"/>
        </w:rPr>
        <w:t>1) Compare sector-specific challenges in adopting AI, blockchain, and telemedicine/fintech, focusing on how regulatory constraints (e.g., FDA approvals, Basel III) shape innovation strategies.</w:t>
      </w:r>
    </w:p>
    <w:p w14:paraId="03D70D28" w14:textId="77777777" w:rsidR="001118A1" w:rsidRPr="00AA22F9" w:rsidRDefault="001118A1" w:rsidP="001118A1">
      <w:pPr>
        <w:spacing w:after="0" w:line="480" w:lineRule="auto"/>
        <w:ind w:left="720" w:hanging="360"/>
        <w:contextualSpacing/>
        <w:rPr>
          <w:rFonts w:ascii="Times New Roman" w:hAnsi="Times New Roman" w:cs="Times New Roman"/>
        </w:rPr>
      </w:pPr>
      <w:r w:rsidRPr="00AA22F9">
        <w:rPr>
          <w:rFonts w:ascii="Times New Roman" w:hAnsi="Times New Roman" w:cs="Times New Roman"/>
        </w:rPr>
        <w:lastRenderedPageBreak/>
        <w:t>2) Analyse the relationship between innovation and business growth, evaluating how technological adoption impacts operational efficiency, market expansion, and customer trust.</w:t>
      </w:r>
    </w:p>
    <w:p w14:paraId="6C206709" w14:textId="77777777" w:rsidR="001118A1" w:rsidRPr="00AA22F9" w:rsidRDefault="001118A1" w:rsidP="001118A1">
      <w:pPr>
        <w:spacing w:after="0" w:line="480" w:lineRule="auto"/>
        <w:ind w:left="720" w:hanging="360"/>
        <w:contextualSpacing/>
        <w:rPr>
          <w:rFonts w:ascii="Times New Roman" w:hAnsi="Times New Roman" w:cs="Times New Roman"/>
        </w:rPr>
      </w:pPr>
      <w:r w:rsidRPr="00AA22F9">
        <w:rPr>
          <w:rFonts w:ascii="Times New Roman" w:hAnsi="Times New Roman" w:cs="Times New Roman"/>
        </w:rPr>
        <w:t xml:space="preserve">3) Assess risk-innovation </w:t>
      </w:r>
      <w:proofErr w:type="spellStart"/>
      <w:r w:rsidRPr="00AA22F9">
        <w:rPr>
          <w:rFonts w:ascii="Times New Roman" w:hAnsi="Times New Roman" w:cs="Times New Roman"/>
        </w:rPr>
        <w:t>tradeoffs</w:t>
      </w:r>
      <w:proofErr w:type="spellEnd"/>
      <w:r w:rsidRPr="00AA22F9">
        <w:rPr>
          <w:rFonts w:ascii="Times New Roman" w:hAnsi="Times New Roman" w:cs="Times New Roman"/>
        </w:rPr>
        <w:t>, including ethical concerns (e.g., AI bias) and cybersecurity threats, to derive sector-specific mitigation strategies.</w:t>
      </w:r>
    </w:p>
    <w:p w14:paraId="321DA441" w14:textId="77777777" w:rsidR="001118A1" w:rsidRPr="00AA22F9" w:rsidRDefault="001118A1" w:rsidP="001118A1">
      <w:pPr>
        <w:spacing w:after="0" w:line="480" w:lineRule="auto"/>
        <w:ind w:left="720" w:hanging="360"/>
        <w:contextualSpacing/>
        <w:rPr>
          <w:rFonts w:ascii="Times New Roman" w:hAnsi="Times New Roman" w:cs="Times New Roman"/>
        </w:rPr>
      </w:pPr>
      <w:r w:rsidRPr="00AA22F9">
        <w:rPr>
          <w:rFonts w:ascii="Times New Roman" w:hAnsi="Times New Roman" w:cs="Times New Roman"/>
        </w:rPr>
        <w:t>4) Develop a cross-sector framework for harmonising innovation with compliance, offering actionable strategies for sustainable growth in regulated environments.</w:t>
      </w:r>
    </w:p>
    <w:p w14:paraId="36331F51" w14:textId="77777777" w:rsidR="001118A1" w:rsidRPr="00AA22F9" w:rsidRDefault="001118A1" w:rsidP="000C492F">
      <w:pPr>
        <w:pStyle w:val="Heading2"/>
      </w:pPr>
      <w:bookmarkStart w:id="28" w:name="_Toc210260625"/>
      <w:bookmarkStart w:id="29" w:name="_Toc210481134"/>
      <w:r w:rsidRPr="00AA22F9">
        <w:t>1.6 Methodological Overview</w:t>
      </w:r>
      <w:bookmarkEnd w:id="28"/>
      <w:bookmarkEnd w:id="29"/>
    </w:p>
    <w:p w14:paraId="624527C3" w14:textId="77777777" w:rsidR="001118A1" w:rsidRPr="00AA22F9" w:rsidRDefault="001118A1" w:rsidP="000C492F">
      <w:pPr>
        <w:pStyle w:val="Heading3"/>
      </w:pPr>
      <w:bookmarkStart w:id="30" w:name="_Toc210260626"/>
      <w:bookmarkStart w:id="31" w:name="_Toc210481135"/>
      <w:r w:rsidRPr="00AA22F9">
        <w:t>1.6.1 Qualitative Comparative Analysis (QCA): Capturing Causal Complexity</w:t>
      </w:r>
      <w:bookmarkEnd w:id="30"/>
      <w:bookmarkEnd w:id="31"/>
    </w:p>
    <w:p w14:paraId="12134CAB" w14:textId="77777777" w:rsidR="001118A1" w:rsidRPr="00AA22F9" w:rsidRDefault="001118A1" w:rsidP="001118A1">
      <w:pPr>
        <w:spacing w:after="0" w:line="480" w:lineRule="auto"/>
        <w:ind w:firstLine="720"/>
        <w:contextualSpacing/>
        <w:rPr>
          <w:rFonts w:ascii="Times New Roman" w:hAnsi="Times New Roman" w:cs="Times New Roman"/>
        </w:rPr>
      </w:pPr>
      <w:r w:rsidRPr="00AA22F9">
        <w:rPr>
          <w:rFonts w:ascii="Times New Roman" w:hAnsi="Times New Roman" w:cs="Times New Roman"/>
        </w:rPr>
        <w:t xml:space="preserve">The study will utilise Qualitative Comparative Analysis (QCA) as its primary methodological tool deliberately because of its ability to untangle the complex and context-specific causal dynamics that are at play in cross-sector innovation processes. In contrast to purely quantitative techniques where variables are isolated or purely qualitative techniques where depth is privileged over generalisation, QCA analyses cases as </w:t>
      </w:r>
      <w:r w:rsidRPr="00AA22F9">
        <w:rPr>
          <w:rFonts w:ascii="Times New Roman" w:hAnsi="Times New Roman" w:cs="Times New Roman"/>
          <w:i/>
          <w:iCs/>
        </w:rPr>
        <w:t>configurations of conditions</w:t>
      </w:r>
      <w:r w:rsidRPr="00AA22F9">
        <w:rPr>
          <w:rFonts w:ascii="Times New Roman" w:hAnsi="Times New Roman" w:cs="Times New Roman"/>
        </w:rPr>
        <w:t xml:space="preserve"> (Rihoux &amp; Ragin, 2009). It uses set-theoretic logic and Boolean algebra to formally compare cases (e.g., Teladoc in healthcare and Stripe in finance), finding necessary and sufficient conditions on </w:t>
      </w:r>
      <w:proofErr w:type="gramStart"/>
      <w:r w:rsidRPr="00AA22F9">
        <w:rPr>
          <w:rFonts w:ascii="Times New Roman" w:hAnsi="Times New Roman" w:cs="Times New Roman"/>
        </w:rPr>
        <w:t>particular outcomes</w:t>
      </w:r>
      <w:proofErr w:type="gramEnd"/>
      <w:r w:rsidRPr="00AA22F9">
        <w:rPr>
          <w:rFonts w:ascii="Times New Roman" w:hAnsi="Times New Roman" w:cs="Times New Roman"/>
        </w:rPr>
        <w:t xml:space="preserve"> (e.g., successful market expansion under heavy regulation). Importantly, QCA is sensitive to equifinality – the possibility of different outcomes (e.g., sustainable growth) existing (e.g., incremental FDA compliance and sandbox-facilitated disruption). This will allow it to be particularly well-positioned to unpack the interactions of factor combinations, e.g., regulatory stringency (strict FDA/HIPAA), organisational capability type (dynamic vs. disruptive), and ethical priorities (safety vs. transparency), to understand how they work together to define innovation trajectories and innovation outcomes across sectors, going beyond correlation to the identification of causal </w:t>
      </w:r>
      <w:r w:rsidRPr="00AA22F9">
        <w:rPr>
          <w:rFonts w:ascii="Times New Roman" w:hAnsi="Times New Roman" w:cs="Times New Roman"/>
          <w:i/>
          <w:iCs/>
        </w:rPr>
        <w:t>recipes</w:t>
      </w:r>
      <w:r w:rsidRPr="00AA22F9">
        <w:rPr>
          <w:rFonts w:ascii="Times New Roman" w:hAnsi="Times New Roman" w:cs="Times New Roman"/>
        </w:rPr>
        <w:t>.</w:t>
      </w:r>
    </w:p>
    <w:p w14:paraId="0970F405" w14:textId="77777777" w:rsidR="001118A1" w:rsidRPr="00AA22F9" w:rsidRDefault="001118A1" w:rsidP="000C492F">
      <w:pPr>
        <w:pStyle w:val="Heading3"/>
      </w:pPr>
      <w:bookmarkStart w:id="32" w:name="_Toc210260627"/>
      <w:bookmarkStart w:id="33" w:name="_Toc210481136"/>
      <w:r w:rsidRPr="00AA22F9">
        <w:lastRenderedPageBreak/>
        <w:t>1.6.2 Methodological Overview: Triangulated Data Architecture and Causal Inference</w:t>
      </w:r>
      <w:bookmarkEnd w:id="32"/>
      <w:bookmarkEnd w:id="33"/>
    </w:p>
    <w:p w14:paraId="4D4E2AA0" w14:textId="77777777" w:rsidR="001118A1" w:rsidRPr="00AA22F9" w:rsidRDefault="001118A1" w:rsidP="001118A1">
      <w:pPr>
        <w:spacing w:after="0" w:line="480" w:lineRule="auto"/>
        <w:ind w:firstLine="720"/>
        <w:contextualSpacing/>
        <w:rPr>
          <w:rFonts w:ascii="Times New Roman" w:hAnsi="Times New Roman" w:cs="Times New Roman"/>
        </w:rPr>
      </w:pPr>
      <w:r w:rsidRPr="00AA22F9">
        <w:rPr>
          <w:rFonts w:ascii="Times New Roman" w:hAnsi="Times New Roman" w:cs="Times New Roman"/>
        </w:rPr>
        <w:t xml:space="preserve">The fusion of two synergising pillars, i.e., longitudinal case studies and expert views, required to apply Qualitative Comparative Analysis (QCA), is the systematic triangulation of multi-layered evidence into resilient causal configurations. The four pioneer organisations are the primary units of analysis, and they were selected as they </w:t>
      </w:r>
      <w:proofErr w:type="gramStart"/>
      <w:r w:rsidRPr="00AA22F9">
        <w:rPr>
          <w:rFonts w:ascii="Times New Roman" w:hAnsi="Times New Roman" w:cs="Times New Roman"/>
        </w:rPr>
        <w:t>symbolically represent</w:t>
      </w:r>
      <w:proofErr w:type="gramEnd"/>
      <w:r w:rsidRPr="00AA22F9">
        <w:rPr>
          <w:rFonts w:ascii="Times New Roman" w:hAnsi="Times New Roman" w:cs="Times New Roman"/>
        </w:rPr>
        <w:t xml:space="preserve"> operating within sector-specific regulation constraints. The examples of AI-based insurance innovations and telemedicine scaling, respectively, within HIPAA/FDA telehealth and ACA/state insurance regulations are Teladoc Health and Oscar Health (AMERICAN HEALTH LAW ASSOCIATION, 2025). In finance, Stripe describes API-based payments development that sails through the PSD2/Basel III regulation, and Ant Financial describes the blockchain usage in cross-global anti-money laundering (AML) systems. There are multiple sources of data, such as regulatory filings (FDA 510(k) clearances, SEC 10-K reports), annual reports (presenting R&amp;D spending and market position), industry white papers (technical compliance strategies), and patent portfolios, all of which document the causes of some conditions (such as regulatory stringency vs. ethical risk profile) and outcomes (such as 5-year market share growth annual budgets).</w:t>
      </w:r>
    </w:p>
    <w:p w14:paraId="4AC6088D" w14:textId="77777777" w:rsidR="001118A1" w:rsidRPr="00AA22F9" w:rsidRDefault="001118A1" w:rsidP="001118A1">
      <w:pPr>
        <w:spacing w:after="0" w:line="480" w:lineRule="auto"/>
        <w:ind w:firstLine="720"/>
        <w:contextualSpacing/>
        <w:rPr>
          <w:rFonts w:ascii="Times New Roman" w:hAnsi="Times New Roman" w:cs="Times New Roman"/>
        </w:rPr>
      </w:pPr>
      <w:r w:rsidRPr="00AA22F9">
        <w:rPr>
          <w:rFonts w:ascii="Times New Roman" w:hAnsi="Times New Roman" w:cs="Times New Roman"/>
        </w:rPr>
        <w:t xml:space="preserve">To put these macro-level patterns into perspective, micro-level validation is achieved through semi-structured interviews with </w:t>
      </w:r>
      <w:r>
        <w:rPr>
          <w:rFonts w:ascii="Times New Roman" w:hAnsi="Times New Roman" w:cs="Times New Roman"/>
        </w:rPr>
        <w:t>16</w:t>
      </w:r>
      <w:r w:rsidRPr="00AA22F9">
        <w:rPr>
          <w:rFonts w:ascii="Times New Roman" w:hAnsi="Times New Roman" w:cs="Times New Roman"/>
        </w:rPr>
        <w:t xml:space="preserve"> domain experts. They include healthcare chief medical officers discussing challenges with AI validation, FDA policy advisors talking about approval flexibility, finance fintech CTOs explaining how they use regulatory sandboxes, and Basel III compliance officers managing risk-model governance. Interviews will use a protocol with questions that enquire about rationales in decisions (e.g., "How did GDPR limitations influence your blockchain architecture?") and will be transcribed, anonymised, and thematically coded in NVivo software. It is a process of discovering tacit themes such as "regulatory negotiation tactics" and "risk-</w:t>
      </w:r>
      <w:proofErr w:type="spellStart"/>
      <w:r w:rsidRPr="00AA22F9">
        <w:rPr>
          <w:rFonts w:ascii="Times New Roman" w:hAnsi="Times New Roman" w:cs="Times New Roman"/>
        </w:rPr>
        <w:t>tradeoff</w:t>
      </w:r>
      <w:proofErr w:type="spellEnd"/>
      <w:r w:rsidRPr="00AA22F9">
        <w:rPr>
          <w:rFonts w:ascii="Times New Roman" w:hAnsi="Times New Roman" w:cs="Times New Roman"/>
        </w:rPr>
        <w:t xml:space="preserve"> thresholds" and turning subjective expertise into analysable qualitative data that supplements case evidence.</w:t>
      </w:r>
    </w:p>
    <w:p w14:paraId="2A42ED8E" w14:textId="77777777" w:rsidR="001118A1" w:rsidRPr="00AA22F9" w:rsidRDefault="001118A1" w:rsidP="001118A1">
      <w:pPr>
        <w:spacing w:after="0" w:line="480" w:lineRule="auto"/>
        <w:ind w:firstLine="720"/>
        <w:contextualSpacing/>
        <w:rPr>
          <w:rFonts w:ascii="Times New Roman" w:hAnsi="Times New Roman" w:cs="Times New Roman"/>
        </w:rPr>
      </w:pPr>
      <w:r w:rsidRPr="00AA22F9">
        <w:rPr>
          <w:rFonts w:ascii="Times New Roman" w:hAnsi="Times New Roman" w:cs="Times New Roman"/>
        </w:rPr>
        <w:lastRenderedPageBreak/>
        <w:t xml:space="preserve">QCA methodology systematically traverses three steps to transform data into a cross-sector framework. First, calibration converts the raw metrics (such as FDA approval times and PSD2 API adoption rates) into set-membership scores ranging from 0 (completely out) to 1 (completely in), reflecting results (like high growth sustainability) and circumstances (such as high regulatory burden). Subsequently, truth table construction using </w:t>
      </w:r>
      <w:proofErr w:type="spellStart"/>
      <w:r w:rsidRPr="00AA22F9">
        <w:rPr>
          <w:rFonts w:ascii="Times New Roman" w:hAnsi="Times New Roman" w:cs="Times New Roman"/>
        </w:rPr>
        <w:t>fsQCA</w:t>
      </w:r>
      <w:proofErr w:type="spellEnd"/>
      <w:r w:rsidRPr="00AA22F9">
        <w:rPr>
          <w:rFonts w:ascii="Times New Roman" w:hAnsi="Times New Roman" w:cs="Times New Roman"/>
        </w:rPr>
        <w:t xml:space="preserve"> software provides an inventory of observed condition combinations (e.g., "High Regulation / High Patient Safety Focus / Moderate Tech Investment") and their outcomes, helping to identify major pathways through the complexity. Finally, causal recipe identification provides sufficient paths that are sector-specific:</w:t>
      </w:r>
    </w:p>
    <w:p w14:paraId="64A01C60" w14:textId="77777777" w:rsidR="001118A1" w:rsidRPr="00AA22F9" w:rsidRDefault="001118A1" w:rsidP="001118A1">
      <w:pPr>
        <w:numPr>
          <w:ilvl w:val="0"/>
          <w:numId w:val="12"/>
        </w:numPr>
        <w:spacing w:after="0" w:line="480" w:lineRule="auto"/>
        <w:contextualSpacing/>
        <w:rPr>
          <w:rFonts w:ascii="Times New Roman" w:hAnsi="Times New Roman" w:cs="Times New Roman"/>
        </w:rPr>
      </w:pPr>
      <w:r w:rsidRPr="00AA22F9">
        <w:rPr>
          <w:rFonts w:ascii="Times New Roman" w:hAnsi="Times New Roman" w:cs="Times New Roman"/>
        </w:rPr>
        <w:t>Healthcare: </w:t>
      </w:r>
      <w:r w:rsidRPr="00AA22F9">
        <w:rPr>
          <w:rFonts w:ascii="Times New Roman" w:hAnsi="Times New Roman" w:cs="Times New Roman"/>
          <w:i/>
          <w:iCs/>
        </w:rPr>
        <w:t>Stringent Regulation + High Ethical Stakes + Strong Dynamic Capabilities → Incremental Scalability</w:t>
      </w:r>
      <w:r w:rsidRPr="00AA22F9">
        <w:rPr>
          <w:rFonts w:ascii="Times New Roman" w:hAnsi="Times New Roman" w:cs="Times New Roman"/>
        </w:rPr>
        <w:t> (e.g., Teladoc’s state-by-state licensing strategy).</w:t>
      </w:r>
    </w:p>
    <w:p w14:paraId="6D6D8D20" w14:textId="77777777" w:rsidR="001118A1" w:rsidRPr="00AA22F9" w:rsidRDefault="001118A1" w:rsidP="001118A1">
      <w:pPr>
        <w:numPr>
          <w:ilvl w:val="0"/>
          <w:numId w:val="12"/>
        </w:numPr>
        <w:spacing w:after="0" w:line="480" w:lineRule="auto"/>
        <w:contextualSpacing/>
        <w:rPr>
          <w:rFonts w:ascii="Times New Roman" w:hAnsi="Times New Roman" w:cs="Times New Roman"/>
        </w:rPr>
      </w:pPr>
      <w:r w:rsidRPr="00AA22F9">
        <w:rPr>
          <w:rFonts w:ascii="Times New Roman" w:hAnsi="Times New Roman" w:cs="Times New Roman"/>
        </w:rPr>
        <w:t>Finance: </w:t>
      </w:r>
      <w:r w:rsidRPr="00AA22F9">
        <w:rPr>
          <w:rFonts w:ascii="Times New Roman" w:hAnsi="Times New Roman" w:cs="Times New Roman"/>
          <w:i/>
          <w:iCs/>
        </w:rPr>
        <w:t>Moderate Regulation + Sandbox Access + Disruptive Culture → Exponential Growth</w:t>
      </w:r>
      <w:r w:rsidRPr="00AA22F9">
        <w:rPr>
          <w:rFonts w:ascii="Times New Roman" w:hAnsi="Times New Roman" w:cs="Times New Roman"/>
        </w:rPr>
        <w:t> (e.g., Stripe’s API ecosystem under PSD2).</w:t>
      </w:r>
      <w:r w:rsidRPr="00AA22F9">
        <w:rPr>
          <w:rFonts w:ascii="Times New Roman" w:hAnsi="Times New Roman" w:cs="Times New Roman"/>
        </w:rPr>
        <w:br/>
        <w:t>Solutions are validated using consistency metrics (&gt;0.8) and coverage scores while acknowledging causal asymmetry (e.g., absence of "Sandbox Access" enables alternative growth pathways). These configurations directly achieve Objective 4, demonstrating how divergent regulatory-innovation dynamics inform a universal framework for harmonising agility and governance.</w:t>
      </w:r>
    </w:p>
    <w:p w14:paraId="1ECC074D" w14:textId="77777777" w:rsidR="001118A1" w:rsidRPr="00AA22F9" w:rsidRDefault="001118A1" w:rsidP="000C492F">
      <w:pPr>
        <w:pStyle w:val="Heading2"/>
      </w:pPr>
      <w:bookmarkStart w:id="34" w:name="_Toc210260628"/>
      <w:bookmarkStart w:id="35" w:name="_Toc210481137"/>
      <w:r w:rsidRPr="00AA22F9">
        <w:t>1.7 Triangulation Design</w:t>
      </w:r>
      <w:bookmarkEnd w:id="34"/>
      <w:bookmarkEnd w:id="35"/>
    </w:p>
    <w:p w14:paraId="1440E66C" w14:textId="77777777" w:rsidR="001118A1" w:rsidRPr="00AA22F9" w:rsidRDefault="001118A1" w:rsidP="000C492F">
      <w:pPr>
        <w:pStyle w:val="Heading3"/>
      </w:pPr>
      <w:bookmarkStart w:id="36" w:name="_Toc210260629"/>
      <w:bookmarkStart w:id="37" w:name="_Toc210481138"/>
      <w:r w:rsidRPr="00AA22F9">
        <w:t>1.7.1 Case Studies</w:t>
      </w:r>
      <w:bookmarkEnd w:id="36"/>
      <w:bookmarkEnd w:id="37"/>
    </w:p>
    <w:p w14:paraId="18D481B9" w14:textId="77777777" w:rsidR="001118A1" w:rsidRPr="00AA22F9" w:rsidRDefault="001118A1" w:rsidP="001118A1">
      <w:pPr>
        <w:spacing w:after="0" w:line="480" w:lineRule="auto"/>
        <w:ind w:firstLine="720"/>
        <w:contextualSpacing/>
        <w:rPr>
          <w:rFonts w:ascii="Times New Roman" w:hAnsi="Times New Roman" w:cs="Times New Roman"/>
        </w:rPr>
      </w:pPr>
      <w:r w:rsidRPr="00AA22F9">
        <w:rPr>
          <w:rFonts w:ascii="Times New Roman" w:hAnsi="Times New Roman" w:cs="Times New Roman"/>
        </w:rPr>
        <w:t xml:space="preserve">The triangulation design will include four case studies that are carefully chosen to show specific ways innovation happens in different sectors that are facing regulatory challenges. Teladoc Health is a major example of telemedicine in the healthcare sector, demonstrating gradual geographic development and diversification of services while operating within HIPAA data privacy requirements and FDA regulations for telehealth devices </w:t>
      </w:r>
      <w:r w:rsidRPr="00AA22F9">
        <w:rPr>
          <w:rFonts w:ascii="Times New Roman" w:hAnsi="Times New Roman" w:cs="Times New Roman"/>
          <w:color w:val="000000"/>
          <w:shd w:val="clear" w:color="auto" w:fill="FFFFFF"/>
        </w:rPr>
        <w:t>(Mathews et al., 2023)</w:t>
      </w:r>
      <w:r w:rsidRPr="00AA22F9">
        <w:rPr>
          <w:rFonts w:ascii="Times New Roman" w:hAnsi="Times New Roman" w:cs="Times New Roman"/>
        </w:rPr>
        <w:t xml:space="preserve">. Oscar Health is an example of AI-based insurance innovation, with Affordable Care Act (ACA) regulatory structures and state-specific compliance rules to understand algorithmic risk evaluation in the spotlight of </w:t>
      </w:r>
      <w:r w:rsidRPr="00AA22F9">
        <w:rPr>
          <w:rFonts w:ascii="Times New Roman" w:hAnsi="Times New Roman" w:cs="Times New Roman"/>
        </w:rPr>
        <w:lastRenderedPageBreak/>
        <w:t xml:space="preserve">ethics </w:t>
      </w:r>
      <w:r w:rsidRPr="00AA22F9">
        <w:rPr>
          <w:rFonts w:ascii="Times New Roman" w:hAnsi="Times New Roman" w:cs="Times New Roman"/>
          <w:color w:val="000000"/>
          <w:shd w:val="clear" w:color="auto" w:fill="FFFFFF"/>
        </w:rPr>
        <w:t>(Bhattacharya et al., 2025)</w:t>
      </w:r>
      <w:r w:rsidRPr="00AA22F9">
        <w:rPr>
          <w:rFonts w:ascii="Times New Roman" w:hAnsi="Times New Roman" w:cs="Times New Roman"/>
        </w:rPr>
        <w:t xml:space="preserve">. Finance API-centric Stripe is a company that is taking advantage of open banking requirements in PSD2 to construct payment ecosystems within regulatory requirements of Basel III capital controls. The example of blockchain integration shown by Ant Financial is related to cross-border transactions and concerns global Anti-Money Laundering (AML) and Know Your Customer (KYC) regulations. Together, these case studies guarantee the representation of foundational technologies, including AI, blockchain, and APIs, and the </w:t>
      </w:r>
      <w:proofErr w:type="gramStart"/>
      <w:r w:rsidRPr="00AA22F9">
        <w:rPr>
          <w:rFonts w:ascii="Times New Roman" w:hAnsi="Times New Roman" w:cs="Times New Roman"/>
        </w:rPr>
        <w:t>polar opposite</w:t>
      </w:r>
      <w:proofErr w:type="gramEnd"/>
      <w:r w:rsidRPr="00AA22F9">
        <w:rPr>
          <w:rFonts w:ascii="Times New Roman" w:hAnsi="Times New Roman" w:cs="Times New Roman"/>
        </w:rPr>
        <w:t xml:space="preserve"> types of regulations, e.g., safety- versus stability-orientated systems.</w:t>
      </w:r>
    </w:p>
    <w:p w14:paraId="2B814A6F" w14:textId="77777777" w:rsidR="001118A1" w:rsidRPr="00AA22F9" w:rsidRDefault="001118A1" w:rsidP="000C492F">
      <w:pPr>
        <w:pStyle w:val="Heading3"/>
      </w:pPr>
      <w:bookmarkStart w:id="38" w:name="_Toc210260630"/>
      <w:bookmarkStart w:id="39" w:name="_Toc210481139"/>
      <w:r w:rsidRPr="00AA22F9">
        <w:t>1.7.2 Expert Interviews</w:t>
      </w:r>
      <w:bookmarkEnd w:id="38"/>
      <w:bookmarkEnd w:id="39"/>
    </w:p>
    <w:p w14:paraId="1A114EF5" w14:textId="77777777" w:rsidR="001118A1" w:rsidRPr="00AA22F9" w:rsidRDefault="001118A1" w:rsidP="001118A1">
      <w:pPr>
        <w:spacing w:after="0" w:line="480" w:lineRule="auto"/>
        <w:ind w:firstLine="720"/>
        <w:contextualSpacing/>
        <w:rPr>
          <w:rFonts w:ascii="Times New Roman" w:hAnsi="Times New Roman" w:cs="Times New Roman"/>
        </w:rPr>
      </w:pPr>
      <w:r w:rsidRPr="00AA22F9">
        <w:rPr>
          <w:rFonts w:ascii="Times New Roman" w:hAnsi="Times New Roman" w:cs="Times New Roman"/>
        </w:rPr>
        <w:t xml:space="preserve">Semi-structured interviews with </w:t>
      </w:r>
      <w:r>
        <w:rPr>
          <w:rFonts w:ascii="Times New Roman" w:hAnsi="Times New Roman" w:cs="Times New Roman"/>
        </w:rPr>
        <w:t>16</w:t>
      </w:r>
      <w:r w:rsidRPr="00AA22F9">
        <w:rPr>
          <w:rFonts w:ascii="Times New Roman" w:hAnsi="Times New Roman" w:cs="Times New Roman"/>
        </w:rPr>
        <w:t xml:space="preserve"> domain experts (to a depth of micro-level) are used to contextualise case findings and reveal the tacit processes used in decision-making. Participants include healthcare chief technology officers (CTOs) discussing AI validation hurdles, FDA regulatory affairs specialists commenting on approval flexibility, and insurance compliance officers addressing ethical AI deployment. Financial viewpoints are comprised of fintech CTOs on sandbox applications, Basel III heads of governance on risk-model customisation, and blockchain security chiefs on AML protocol architecture. Interviews entail a guided script that enquires about risk prioritisation (e.g., how do you balance patient safety with the speed of the AI diagnosis?) and regulatory negotiation strategies (e.g., how would you plan to avoid PSD2 compliance gaps in advance?). Each of the sessions is recorded, transcribed, anonymised, and analysed in NVivo with thematic coding to reveal common patterns like dynamic compliance adaptation or sandbox-driven scalability.</w:t>
      </w:r>
    </w:p>
    <w:p w14:paraId="250EBD2F" w14:textId="77777777" w:rsidR="001118A1" w:rsidRPr="00AA22F9" w:rsidRDefault="001118A1" w:rsidP="000C492F">
      <w:pPr>
        <w:pStyle w:val="Heading3"/>
      </w:pPr>
      <w:bookmarkStart w:id="40" w:name="_Toc210260631"/>
      <w:bookmarkStart w:id="41" w:name="_Toc210481140"/>
      <w:r w:rsidRPr="00AA22F9">
        <w:t>1.7.3 Data Sources</w:t>
      </w:r>
      <w:bookmarkEnd w:id="40"/>
      <w:bookmarkEnd w:id="41"/>
    </w:p>
    <w:p w14:paraId="417C860C" w14:textId="77777777" w:rsidR="001118A1" w:rsidRPr="00AA22F9" w:rsidRDefault="001118A1" w:rsidP="001118A1">
      <w:pPr>
        <w:spacing w:after="0" w:line="480" w:lineRule="auto"/>
        <w:ind w:firstLine="720"/>
        <w:contextualSpacing/>
        <w:rPr>
          <w:rFonts w:ascii="Times New Roman" w:hAnsi="Times New Roman" w:cs="Times New Roman"/>
        </w:rPr>
      </w:pPr>
      <w:r w:rsidRPr="00AA22F9">
        <w:rPr>
          <w:rFonts w:ascii="Times New Roman" w:hAnsi="Times New Roman" w:cs="Times New Roman"/>
        </w:rPr>
        <w:t xml:space="preserve">Data synthesis and analytical rigour are ensured through triangulation, integrating multi-source evidence to validate findings. The first-hand documents, such as FDA 510(k) premarket notifications and SEC 10-K filings, disclose the schedules of regulatory compliance and investment in innovation. Technical artefacts, Teladoc HIPAA audit frameworks and Stripe PSD2 API documentation describe </w:t>
      </w:r>
      <w:proofErr w:type="gramStart"/>
      <w:r w:rsidRPr="00AA22F9">
        <w:rPr>
          <w:rFonts w:ascii="Times New Roman" w:hAnsi="Times New Roman" w:cs="Times New Roman"/>
        </w:rPr>
        <w:t>particular implementation</w:t>
      </w:r>
      <w:proofErr w:type="gramEnd"/>
      <w:r w:rsidRPr="00AA22F9">
        <w:rPr>
          <w:rFonts w:ascii="Times New Roman" w:hAnsi="Times New Roman" w:cs="Times New Roman"/>
        </w:rPr>
        <w:t xml:space="preserve"> approaches. Tangible results are measured in </w:t>
      </w:r>
      <w:r w:rsidRPr="00AA22F9">
        <w:rPr>
          <w:rFonts w:ascii="Times New Roman" w:hAnsi="Times New Roman" w:cs="Times New Roman"/>
        </w:rPr>
        <w:lastRenderedPageBreak/>
        <w:t xml:space="preserve">financial terms using annual report data, including the number of AI-based cost savings generated by Oscar Health and the number of blockchain-based transactions processed by Ant Financial. Such disparate sources of data are cross-referenced against Thomson Reuters Regulatory Intelligence to enable real-time compliance benchmarking and risk-alert mapping. Transcripts of interviews are thematically analysed using </w:t>
      </w:r>
      <w:proofErr w:type="spellStart"/>
      <w:r w:rsidRPr="00AA22F9">
        <w:rPr>
          <w:rFonts w:ascii="Times New Roman" w:hAnsi="Times New Roman" w:cs="Times New Roman"/>
        </w:rPr>
        <w:t>Atlas.ti</w:t>
      </w:r>
      <w:proofErr w:type="spellEnd"/>
      <w:r w:rsidRPr="00AA22F9">
        <w:rPr>
          <w:rFonts w:ascii="Times New Roman" w:hAnsi="Times New Roman" w:cs="Times New Roman"/>
        </w:rPr>
        <w:t xml:space="preserve"> to assist in identifying causal conditions (such as “Regulatory Lobbying Efficacy”), which are in turn cross-linked with case study timelines by NVivo. This systematic combination guarantees empirical strength and allows Qualitative Comparative Analysis (QCA) to isolate configurations in which regulatory adaptability spurs scalable growth.</w:t>
      </w:r>
    </w:p>
    <w:p w14:paraId="612F4942" w14:textId="77777777" w:rsidR="001118A1" w:rsidRPr="000C492F" w:rsidRDefault="001118A1" w:rsidP="000C492F">
      <w:pPr>
        <w:pStyle w:val="Heading2"/>
      </w:pPr>
      <w:bookmarkStart w:id="42" w:name="_Toc210260632"/>
      <w:bookmarkStart w:id="43" w:name="_Toc210481141"/>
      <w:r w:rsidRPr="00AA22F9">
        <w:t>1.8 Scope and Delimitations</w:t>
      </w:r>
      <w:bookmarkEnd w:id="42"/>
      <w:bookmarkEnd w:id="43"/>
    </w:p>
    <w:p w14:paraId="6E1A4D14" w14:textId="77777777" w:rsidR="001118A1" w:rsidRPr="00AA22F9" w:rsidRDefault="001118A1" w:rsidP="001118A1">
      <w:pPr>
        <w:spacing w:after="0" w:line="480" w:lineRule="auto"/>
        <w:ind w:firstLine="720"/>
        <w:contextualSpacing/>
        <w:rPr>
          <w:rFonts w:ascii="Times New Roman" w:hAnsi="Times New Roman" w:cs="Times New Roman"/>
          <w:bCs/>
        </w:rPr>
      </w:pPr>
      <w:r w:rsidRPr="00AA22F9">
        <w:rPr>
          <w:rFonts w:ascii="Times New Roman" w:hAnsi="Times New Roman" w:cs="Times New Roman"/>
          <w:bCs/>
        </w:rPr>
        <w:t>This paper examines regulated technological innovation</w:t>
      </w:r>
      <w:proofErr w:type="gramStart"/>
      <w:r w:rsidRPr="00AA22F9">
        <w:rPr>
          <w:rFonts w:ascii="Times New Roman" w:hAnsi="Times New Roman" w:cs="Times New Roman"/>
          <w:bCs/>
        </w:rPr>
        <w:t>, in particular, in</w:t>
      </w:r>
      <w:proofErr w:type="gramEnd"/>
      <w:r w:rsidRPr="00AA22F9">
        <w:rPr>
          <w:rFonts w:ascii="Times New Roman" w:hAnsi="Times New Roman" w:cs="Times New Roman"/>
          <w:bCs/>
        </w:rPr>
        <w:t xml:space="preserve"> the fields of healthcare and finances, primarily artificial intelligence (AI), blockchain applications, telemedicine platforms, and fintech systems. The reason these technologies were chosen is their well-developed deployment paths and regulatory frameworks, that is, HIPAA, FDA SaMD, PSD2, and sandbox models. To ensure analytical rigour, the analysis explicitly avoids covering ancillary/adjacent innovations, including IoT-based wearables, big data analytics platforms, quantum computing applications, and non-regulated consumer health apps. Although these technologies are also pertinent to the overall digital transformation story, they are beyond the scope because their compliance structures are emergent or not well defined. The analysis is also restricted to institution-level innovation and does not include peer-to-peer tools or grassroots technology adoption. This boundedness guarantees focused examination of the interplay between formal governance systems and strategically scaled, sector-specific innovations.</w:t>
      </w:r>
    </w:p>
    <w:p w14:paraId="020BEBE2" w14:textId="77777777" w:rsidR="001118A1" w:rsidRPr="00AA22F9" w:rsidRDefault="001118A1" w:rsidP="000C492F">
      <w:pPr>
        <w:pStyle w:val="Heading2"/>
      </w:pPr>
      <w:bookmarkStart w:id="44" w:name="_Toc210260633"/>
      <w:bookmarkStart w:id="45" w:name="_Toc210481142"/>
      <w:r w:rsidRPr="00AA22F9">
        <w:t>1.9 Definition of Key Terms</w:t>
      </w:r>
      <w:bookmarkEnd w:id="44"/>
      <w:bookmarkEnd w:id="45"/>
    </w:p>
    <w:p w14:paraId="1E64FB12" w14:textId="77777777" w:rsidR="001118A1" w:rsidRPr="00AA22F9" w:rsidRDefault="001118A1" w:rsidP="001118A1">
      <w:pPr>
        <w:spacing w:after="0" w:line="480" w:lineRule="auto"/>
        <w:ind w:firstLine="720"/>
        <w:contextualSpacing/>
        <w:rPr>
          <w:rFonts w:ascii="Times New Roman" w:hAnsi="Times New Roman" w:cs="Times New Roman"/>
          <w:bCs/>
        </w:rPr>
      </w:pPr>
      <w:r w:rsidRPr="00AA22F9">
        <w:rPr>
          <w:rFonts w:ascii="Times New Roman" w:hAnsi="Times New Roman" w:cs="Times New Roman"/>
          <w:bCs/>
        </w:rPr>
        <w:t>The research provides operational definitions of key terms central to interpreting innovation governance in regulated industries. These definitions ensure terminological precision and conceptual alignment throughout the comparative analysis of healthcare and finance.</w:t>
      </w:r>
    </w:p>
    <w:p w14:paraId="23009D56" w14:textId="77777777" w:rsidR="001118A1" w:rsidRPr="00AA22F9" w:rsidRDefault="001118A1" w:rsidP="001118A1">
      <w:pPr>
        <w:numPr>
          <w:ilvl w:val="0"/>
          <w:numId w:val="13"/>
        </w:numPr>
        <w:spacing w:after="0" w:line="480" w:lineRule="auto"/>
        <w:contextualSpacing/>
        <w:rPr>
          <w:rFonts w:ascii="Times New Roman" w:hAnsi="Times New Roman" w:cs="Times New Roman"/>
          <w:bCs/>
        </w:rPr>
      </w:pPr>
      <w:r w:rsidRPr="00AA22F9">
        <w:rPr>
          <w:rFonts w:ascii="Times New Roman" w:hAnsi="Times New Roman" w:cs="Times New Roman"/>
          <w:bCs/>
        </w:rPr>
        <w:lastRenderedPageBreak/>
        <w:t>Regulated Innovation: Refers to technological advancement occurring under legal and institutional oversight, where compliance requirements influence the pace, form, and scope of implementation. This study focuses on how regulatory intensity shapes innovation trajectories in high-stakes sectors (Kaplan, 2023).</w:t>
      </w:r>
    </w:p>
    <w:p w14:paraId="69A0B4C5" w14:textId="77777777" w:rsidR="001118A1" w:rsidRPr="00AA22F9" w:rsidRDefault="001118A1" w:rsidP="001118A1">
      <w:pPr>
        <w:numPr>
          <w:ilvl w:val="0"/>
          <w:numId w:val="13"/>
        </w:numPr>
        <w:spacing w:after="0" w:line="480" w:lineRule="auto"/>
        <w:contextualSpacing/>
        <w:rPr>
          <w:rFonts w:ascii="Times New Roman" w:hAnsi="Times New Roman" w:cs="Times New Roman"/>
          <w:bCs/>
        </w:rPr>
      </w:pPr>
      <w:r w:rsidRPr="00AA22F9">
        <w:rPr>
          <w:rFonts w:ascii="Times New Roman" w:hAnsi="Times New Roman" w:cs="Times New Roman"/>
          <w:bCs/>
        </w:rPr>
        <w:t>Regulatory Sandbox: A supervised testing environment where companies pilot emerging technologies under temporary regulatory relaxation, enabling experimentation with real-time oversight (Ringe &amp; Ruof, 2023).</w:t>
      </w:r>
    </w:p>
    <w:p w14:paraId="5543E32D" w14:textId="77777777" w:rsidR="001118A1" w:rsidRPr="00AA22F9" w:rsidRDefault="001118A1" w:rsidP="001118A1">
      <w:pPr>
        <w:numPr>
          <w:ilvl w:val="0"/>
          <w:numId w:val="13"/>
        </w:numPr>
        <w:spacing w:after="0" w:line="480" w:lineRule="auto"/>
        <w:contextualSpacing/>
        <w:rPr>
          <w:rFonts w:ascii="Times New Roman" w:hAnsi="Times New Roman" w:cs="Times New Roman"/>
          <w:bCs/>
        </w:rPr>
      </w:pPr>
      <w:r w:rsidRPr="00AA22F9">
        <w:rPr>
          <w:rFonts w:ascii="Times New Roman" w:hAnsi="Times New Roman" w:cs="Times New Roman"/>
          <w:bCs/>
        </w:rPr>
        <w:t>Compliance Architecture: The integrated system of rules, processes, and technological tools through which organisations ensure alignment with regulatory obligations. This study examines how sectoral compliance architectures affect AI and blockchain deployment (</w:t>
      </w:r>
      <w:proofErr w:type="spellStart"/>
      <w:r w:rsidRPr="00AA22F9">
        <w:rPr>
          <w:rFonts w:ascii="Times New Roman" w:hAnsi="Times New Roman" w:cs="Times New Roman"/>
          <w:bCs/>
        </w:rPr>
        <w:t>Zetzsche</w:t>
      </w:r>
      <w:proofErr w:type="spellEnd"/>
      <w:r w:rsidRPr="00AA22F9">
        <w:rPr>
          <w:rFonts w:ascii="Times New Roman" w:hAnsi="Times New Roman" w:cs="Times New Roman"/>
          <w:bCs/>
        </w:rPr>
        <w:t xml:space="preserve"> et al., 2020).</w:t>
      </w:r>
    </w:p>
    <w:p w14:paraId="286F079F" w14:textId="77777777" w:rsidR="001118A1" w:rsidRPr="00AA22F9" w:rsidRDefault="001118A1" w:rsidP="001118A1">
      <w:pPr>
        <w:numPr>
          <w:ilvl w:val="0"/>
          <w:numId w:val="13"/>
        </w:numPr>
        <w:spacing w:after="0" w:line="480" w:lineRule="auto"/>
        <w:contextualSpacing/>
        <w:rPr>
          <w:rFonts w:ascii="Times New Roman" w:hAnsi="Times New Roman" w:cs="Times New Roman"/>
          <w:bCs/>
        </w:rPr>
      </w:pPr>
      <w:r w:rsidRPr="00AA22F9">
        <w:rPr>
          <w:rFonts w:ascii="Times New Roman" w:hAnsi="Times New Roman" w:cs="Times New Roman"/>
          <w:bCs/>
        </w:rPr>
        <w:t>Causal Configuration: A set-theoretic approach to causality that identifies combinations of conditions leading to specific outcomes. QCA uses causal configurations to explain how variables such as leadership, compliance models, and innovation capabilities interact across sectors (Ragin, 2008; Schneider &amp; Wagemann, 2012).</w:t>
      </w:r>
    </w:p>
    <w:p w14:paraId="4684232C" w14:textId="77777777" w:rsidR="001118A1" w:rsidRPr="00AA22F9" w:rsidRDefault="001118A1" w:rsidP="000C492F">
      <w:pPr>
        <w:pStyle w:val="Heading2"/>
      </w:pPr>
      <w:bookmarkStart w:id="46" w:name="_Toc210260634"/>
      <w:bookmarkStart w:id="47" w:name="_Toc210481143"/>
      <w:r w:rsidRPr="00AA22F9">
        <w:t>1.10 Significance &amp; Contribution</w:t>
      </w:r>
      <w:bookmarkEnd w:id="46"/>
      <w:bookmarkEnd w:id="47"/>
    </w:p>
    <w:p w14:paraId="5646229A" w14:textId="77777777" w:rsidR="001118A1" w:rsidRPr="00AA22F9" w:rsidRDefault="001118A1" w:rsidP="001118A1">
      <w:pPr>
        <w:spacing w:after="0" w:line="480" w:lineRule="auto"/>
        <w:ind w:firstLine="720"/>
        <w:contextualSpacing/>
        <w:rPr>
          <w:rFonts w:ascii="Times New Roman" w:hAnsi="Times New Roman" w:cs="Times New Roman"/>
        </w:rPr>
      </w:pPr>
      <w:r w:rsidRPr="00AA22F9">
        <w:rPr>
          <w:rFonts w:ascii="Times New Roman" w:hAnsi="Times New Roman" w:cs="Times New Roman"/>
        </w:rPr>
        <w:t>A key theoretical contribution of this research is bridging Dynamic Capabilities Theory (Teece et al., 1997) and Disruptive Innovation Theory (Christensen, 1997), which have previously been used separately. Combining these lenses, this paper describes how the incremental innovation of healthcare, towards general telemedicine adoption as exemplified by Teladoc through the FDA-approved rollout, and the disruptive scaling of finance, towards an API ecosystem as facilitated by PSD2 sandboxes and exemplified by Stripe, are both valid but different responses to regulatory complexity. The combination offers a fresh way to compare how different industries handle risk, explaining why healthcare aims to reduce risk by actively monitoring and adapting to regulatory changes, while finance seeks to disrupt regulations. The outcome is a non-siloed theory of innovation governance in high-stakes settings that cuts across the siloed explanations.</w:t>
      </w:r>
    </w:p>
    <w:p w14:paraId="5BAA630F" w14:textId="77777777" w:rsidR="001118A1" w:rsidRPr="00AA22F9" w:rsidRDefault="001118A1" w:rsidP="001118A1">
      <w:pPr>
        <w:spacing w:after="0" w:line="480" w:lineRule="auto"/>
        <w:ind w:firstLine="720"/>
        <w:contextualSpacing/>
        <w:rPr>
          <w:rFonts w:ascii="Times New Roman" w:hAnsi="Times New Roman" w:cs="Times New Roman"/>
        </w:rPr>
      </w:pPr>
      <w:r w:rsidRPr="00AA22F9">
        <w:rPr>
          <w:rFonts w:ascii="Times New Roman" w:hAnsi="Times New Roman" w:cs="Times New Roman"/>
        </w:rPr>
        <w:lastRenderedPageBreak/>
        <w:t>Besides being theoretically developed, the research also provides practical value in the here and now: a cross-sector framework that can be used to align innovation and compliance. It equips business executives with pragmatic resources, including diagnostic matrices to map organisational capabilities against industry-specific regulatory risks and strategic blueprints to harness compliance bottlenecks into competitive advantages, e.g., using HIPAA compliance as a trust signal in AI-based diagnostic instruments. Policymakers and regulators can be assisted with evidence-based policy recommendations (e.g., the adaptive sandbox models) that integrate the risks of finance (e.g., capital adequacy buffers) with the safety standards of healthcare (e.g., gradual AI validation). These include new methodologies, like staged sandboxes of medical AI, with built-in ethical audits, or stability-weighted fintech licences founded on Basel III to support high-risk digital experiments. The tools allow the stakeholders to strike the optimal proportion between agility and governance at the lowest cost of compliance to facilitate safe, accelerated innovation.</w:t>
      </w:r>
    </w:p>
    <w:p w14:paraId="32A70C9E" w14:textId="77777777" w:rsidR="001118A1" w:rsidRPr="00AA22F9" w:rsidRDefault="001118A1" w:rsidP="001118A1">
      <w:pPr>
        <w:spacing w:after="0" w:line="480" w:lineRule="auto"/>
        <w:ind w:firstLine="720"/>
        <w:contextualSpacing/>
        <w:rPr>
          <w:rFonts w:ascii="Times New Roman" w:hAnsi="Times New Roman" w:cs="Times New Roman"/>
        </w:rPr>
      </w:pPr>
      <w:r w:rsidRPr="00AA22F9">
        <w:rPr>
          <w:rFonts w:ascii="Times New Roman" w:hAnsi="Times New Roman" w:cs="Times New Roman"/>
        </w:rPr>
        <w:t>In addition to healthcare and finance, the framework is designed in a manner that can be transferred to other highly regulated industries facing the same tension between innovation and compliance. In energy, companies can use these principles to generate a balance between grid-modernising AI and critical infrastructure security; in education, schools can use generative AI within student data privacy laws, like FERPA. The relative perspective of sectoral risk tolerance can guide nuclear power suppliers through safety issues versus the uptake of renewable tech, and institutions of higher learning can apply it to introduce AI into the curriculum and administration in an ethical manner. With the example of how the dynamic capabilities approach regulation aimed at stability (e.g., utility regulation) and how disruptive innovation can be aligned with growth-orientated systems (e.g., edtech accreditation), the model serves as a universal guide to sustainable, ethical adoption of technology. By so doing, it addresses the critique presented by Kaplan (2023) by providing specific “common paths” to turn regulatory complexity into scalable and responsible innovation in the wider economy.</w:t>
      </w:r>
    </w:p>
    <w:p w14:paraId="4D9BDEE4" w14:textId="77777777" w:rsidR="001118A1" w:rsidRPr="00AA22F9" w:rsidRDefault="001118A1" w:rsidP="000C492F">
      <w:pPr>
        <w:pStyle w:val="Heading2"/>
      </w:pPr>
      <w:bookmarkStart w:id="48" w:name="_Toc210260635"/>
      <w:bookmarkStart w:id="49" w:name="_Toc210481144"/>
      <w:r w:rsidRPr="00AA22F9">
        <w:lastRenderedPageBreak/>
        <w:t>1.11 Chapter Summary</w:t>
      </w:r>
      <w:bookmarkEnd w:id="48"/>
      <w:bookmarkEnd w:id="49"/>
    </w:p>
    <w:p w14:paraId="6FC2B455" w14:textId="77777777" w:rsidR="001118A1" w:rsidRPr="00AA22F9" w:rsidRDefault="001118A1" w:rsidP="001118A1">
      <w:pPr>
        <w:spacing w:after="0" w:line="480" w:lineRule="auto"/>
        <w:ind w:firstLine="720"/>
        <w:contextualSpacing/>
        <w:rPr>
          <w:rFonts w:ascii="Times New Roman" w:hAnsi="Times New Roman" w:cs="Times New Roman"/>
        </w:rPr>
      </w:pPr>
      <w:r w:rsidRPr="00AA22F9">
        <w:rPr>
          <w:rFonts w:ascii="Times New Roman" w:hAnsi="Times New Roman" w:cs="Times New Roman"/>
        </w:rPr>
        <w:t>The chapter provided a basis for exploring how innovation occurs differently in the healthcare and financial services industries with complex regulatory environments. The paradox of technological advancement versus compliance-related limitations was used to define the problem statement, purpose, and research questions. These two theories, dynamic capabilities theory and disruptive innovation theory, were presented as a pair of lenses through which to view the different innovation logics at play in these fields – the incrementalism of healthcare versus the disruption of finance. The reasons why these frameworks were chosen among the rest, including institutional theory or RBV, were also provided, focusing on the fact that these frameworks are sector-specific and adaptable to compliance. Additionally, the motivation behind the use of Qualitative Comparative Analysis (QCA) was also mentioned briefly, paving the way to the methodological appropriateness. After establishing the study on theoretical and contextual grounds, the second chapter will provide a review of the current literature in the two sectors, with respect to the innovation trajectories, the regulatory impact, methodological trends, and research gaps, which the proposed study aims to fill.</w:t>
      </w:r>
    </w:p>
    <w:p w14:paraId="1B8D031D" w14:textId="77777777" w:rsidR="001118A1" w:rsidRPr="00AA22F9" w:rsidRDefault="001118A1" w:rsidP="001118A1">
      <w:pPr>
        <w:spacing w:after="0" w:line="480" w:lineRule="auto"/>
        <w:contextualSpacing/>
        <w:rPr>
          <w:rFonts w:ascii="Times New Roman" w:hAnsi="Times New Roman" w:cs="Times New Roman"/>
        </w:rPr>
      </w:pPr>
      <w:r w:rsidRPr="00AA22F9">
        <w:rPr>
          <w:rFonts w:ascii="Times New Roman" w:hAnsi="Times New Roman" w:cs="Times New Roman"/>
        </w:rPr>
        <w:br w:type="page"/>
      </w:r>
    </w:p>
    <w:p w14:paraId="0BBD281C" w14:textId="0DE34244" w:rsidR="001118A1" w:rsidRPr="000C492F" w:rsidRDefault="001118A1" w:rsidP="000C492F">
      <w:pPr>
        <w:pStyle w:val="Heading1"/>
      </w:pPr>
      <w:bookmarkStart w:id="50" w:name="_Toc210260636"/>
      <w:bookmarkStart w:id="51" w:name="_Toc210481145"/>
      <w:r w:rsidRPr="00AA22F9">
        <w:rPr>
          <w:rFonts w:eastAsia="Times New Roman"/>
        </w:rPr>
        <w:lastRenderedPageBreak/>
        <w:t xml:space="preserve">Chapter </w:t>
      </w:r>
      <w:bookmarkEnd w:id="50"/>
      <w:r w:rsidR="000C492F">
        <w:rPr>
          <w:rFonts w:eastAsia="Times New Roman"/>
        </w:rPr>
        <w:t>Two</w:t>
      </w:r>
      <w:bookmarkEnd w:id="51"/>
    </w:p>
    <w:p w14:paraId="72B872F7" w14:textId="77777777" w:rsidR="001118A1" w:rsidRPr="00AA22F9" w:rsidRDefault="001118A1" w:rsidP="000C492F">
      <w:pPr>
        <w:pStyle w:val="Heading2"/>
        <w:rPr>
          <w:rFonts w:eastAsia="Times New Roman"/>
        </w:rPr>
      </w:pPr>
      <w:bookmarkStart w:id="52" w:name="_Toc210260637"/>
      <w:bookmarkStart w:id="53" w:name="_Toc210481146"/>
      <w:r w:rsidRPr="00AA22F9">
        <w:rPr>
          <w:rFonts w:eastAsia="Times New Roman"/>
        </w:rPr>
        <w:t>2 Literature Review</w:t>
      </w:r>
      <w:bookmarkEnd w:id="52"/>
      <w:bookmarkEnd w:id="53"/>
    </w:p>
    <w:p w14:paraId="291F61CC" w14:textId="77777777" w:rsidR="001118A1" w:rsidRPr="00AA22F9" w:rsidRDefault="001118A1" w:rsidP="001118A1">
      <w:pPr>
        <w:spacing w:after="0" w:line="480" w:lineRule="auto"/>
        <w:ind w:firstLine="720"/>
        <w:contextualSpacing/>
        <w:rPr>
          <w:rFonts w:ascii="Times New Roman" w:hAnsi="Times New Roman" w:cs="Times New Roman"/>
        </w:rPr>
      </w:pPr>
      <w:bookmarkStart w:id="54" w:name="_Toc191366484"/>
      <w:r w:rsidRPr="00AA22F9">
        <w:rPr>
          <w:rFonts w:ascii="Times New Roman" w:hAnsi="Times New Roman" w:cs="Times New Roman"/>
        </w:rPr>
        <w:t xml:space="preserve">The following literature review examines the strategic overlap of innovation and compliance in two of the most regulated industries, healthcare and financial services, through the lens of how emerging technologies, including AI, blockchain, telemedicine, and fintech, are being implemented under two dissimilar regulatory frameworks. The review is anchored in the dynamic </w:t>
      </w:r>
      <w:proofErr w:type="gramStart"/>
      <w:r w:rsidRPr="00AA22F9">
        <w:rPr>
          <w:rFonts w:ascii="Times New Roman" w:hAnsi="Times New Roman" w:cs="Times New Roman"/>
        </w:rPr>
        <w:t>capabilities</w:t>
      </w:r>
      <w:proofErr w:type="gramEnd"/>
      <w:r w:rsidRPr="00AA22F9">
        <w:rPr>
          <w:rFonts w:ascii="Times New Roman" w:hAnsi="Times New Roman" w:cs="Times New Roman"/>
        </w:rPr>
        <w:t xml:space="preserve"> theory proposed by Teece (1997) and the disruptive innovation theory by Christensen (1997) and questions how organisations sense, seize, and reconfigure capabilities to grow in the presence of regulatory friction. The chapter uses the criterion of the </w:t>
      </w:r>
      <w:proofErr w:type="spellStart"/>
      <w:r w:rsidRPr="00AA22F9">
        <w:rPr>
          <w:rFonts w:ascii="Times New Roman" w:hAnsi="Times New Roman" w:cs="Times New Roman"/>
        </w:rPr>
        <w:t>siloedness</w:t>
      </w:r>
      <w:proofErr w:type="spellEnd"/>
      <w:r w:rsidRPr="00AA22F9">
        <w:rPr>
          <w:rFonts w:ascii="Times New Roman" w:hAnsi="Times New Roman" w:cs="Times New Roman"/>
        </w:rPr>
        <w:t xml:space="preserve"> of the existing research and suggests the gaps in which the cross-sectoral learning would support the scalable, compliant innovation. </w:t>
      </w:r>
      <w:proofErr w:type="gramStart"/>
      <w:r w:rsidRPr="00AA22F9">
        <w:rPr>
          <w:rFonts w:ascii="Times New Roman" w:hAnsi="Times New Roman" w:cs="Times New Roman"/>
        </w:rPr>
        <w:t>In particular, it</w:t>
      </w:r>
      <w:proofErr w:type="gramEnd"/>
      <w:r w:rsidRPr="00AA22F9">
        <w:rPr>
          <w:rFonts w:ascii="Times New Roman" w:hAnsi="Times New Roman" w:cs="Times New Roman"/>
        </w:rPr>
        <w:t xml:space="preserve"> reviews past and recent literature to examine the existence of innovation barriers, growth linkages, and risk-governance </w:t>
      </w:r>
      <w:proofErr w:type="spellStart"/>
      <w:r w:rsidRPr="00AA22F9">
        <w:rPr>
          <w:rFonts w:ascii="Times New Roman" w:hAnsi="Times New Roman" w:cs="Times New Roman"/>
        </w:rPr>
        <w:t>tradeoffs</w:t>
      </w:r>
      <w:proofErr w:type="spellEnd"/>
      <w:r w:rsidRPr="00AA22F9">
        <w:rPr>
          <w:rFonts w:ascii="Times New Roman" w:hAnsi="Times New Roman" w:cs="Times New Roman"/>
        </w:rPr>
        <w:t xml:space="preserve"> at the sectoral level. This forms the basis of the final deliverables of the study: a sector-comparative framework to balance innovation and compliance, operational experience to reduce ethical and regulatory risks, and actionable models to inform policy, strategy and future research in complex high-stakes service ecosystems.</w:t>
      </w:r>
    </w:p>
    <w:p w14:paraId="33F79086" w14:textId="77777777" w:rsidR="001118A1" w:rsidRPr="00AA22F9" w:rsidRDefault="001118A1" w:rsidP="000C492F">
      <w:pPr>
        <w:pStyle w:val="Heading2"/>
        <w:rPr>
          <w:rFonts w:eastAsia="Times New Roman"/>
        </w:rPr>
      </w:pPr>
      <w:bookmarkStart w:id="55" w:name="_Toc210260638"/>
      <w:bookmarkStart w:id="56" w:name="_Toc210481147"/>
      <w:r w:rsidRPr="00AA22F9">
        <w:rPr>
          <w:rFonts w:eastAsia="Times New Roman"/>
        </w:rPr>
        <w:t>2.2 Overview of Chapter Content</w:t>
      </w:r>
      <w:bookmarkEnd w:id="54"/>
      <w:bookmarkEnd w:id="55"/>
      <w:bookmarkEnd w:id="56"/>
    </w:p>
    <w:p w14:paraId="3B702E1C" w14:textId="77777777" w:rsidR="001118A1" w:rsidRPr="00AA22F9" w:rsidRDefault="001118A1" w:rsidP="001118A1">
      <w:pPr>
        <w:spacing w:after="0" w:line="480" w:lineRule="auto"/>
        <w:ind w:firstLine="720"/>
        <w:contextualSpacing/>
        <w:rPr>
          <w:rFonts w:ascii="Times New Roman" w:hAnsi="Times New Roman" w:cs="Times New Roman"/>
        </w:rPr>
      </w:pPr>
      <w:r w:rsidRPr="00AA22F9">
        <w:rPr>
          <w:rFonts w:ascii="Times New Roman" w:hAnsi="Times New Roman" w:cs="Times New Roman"/>
        </w:rPr>
        <w:t xml:space="preserve">The digitalisation of healthcare and financial services is a survival-level strategic necessity, but it is executed under inherently antagonistic institutional logics. The precautionary principle of healthcare innovation enforces patient safety, data confidentiality, and ethical rigour as paramount concerns and is enshrined in regulations such as HIPAA and FDA guidelines (Williamson and </w:t>
      </w:r>
      <w:proofErr w:type="spellStart"/>
      <w:r w:rsidRPr="00AA22F9">
        <w:rPr>
          <w:rFonts w:ascii="Times New Roman" w:hAnsi="Times New Roman" w:cs="Times New Roman"/>
        </w:rPr>
        <w:t>Prybutok</w:t>
      </w:r>
      <w:proofErr w:type="spellEnd"/>
      <w:r w:rsidRPr="00AA22F9">
        <w:rPr>
          <w:rFonts w:ascii="Times New Roman" w:hAnsi="Times New Roman" w:cs="Times New Roman"/>
        </w:rPr>
        <w:t xml:space="preserve">, 2024). In contrast, financial services have a disruptive requirement to be fast and agile in the market, which is actively supported through enabling regulation such as PSD2 and regulatory sandboxes, which support rapid experimentation (Ringe &amp; Ruof, 2020). It is a contradictory base of this, as the Hippocratic oath of 'do no harm' intertwines with the fintech culture of 'disrupt or be disrupted', a critical comparative lab. This divergence is critical to analyse </w:t>
      </w:r>
      <w:proofErr w:type="gramStart"/>
      <w:r w:rsidRPr="00AA22F9">
        <w:rPr>
          <w:rFonts w:ascii="Times New Roman" w:hAnsi="Times New Roman" w:cs="Times New Roman"/>
        </w:rPr>
        <w:t>in order to</w:t>
      </w:r>
      <w:proofErr w:type="gramEnd"/>
      <w:r w:rsidRPr="00AA22F9">
        <w:rPr>
          <w:rFonts w:ascii="Times New Roman" w:hAnsi="Times New Roman" w:cs="Times New Roman"/>
        </w:rPr>
        <w:t xml:space="preserve"> know how disparate regulatory frameworks and cultural priorities can eventually fix technological destiny and </w:t>
      </w:r>
      <w:r w:rsidRPr="00AA22F9">
        <w:rPr>
          <w:rFonts w:ascii="Times New Roman" w:hAnsi="Times New Roman" w:cs="Times New Roman"/>
        </w:rPr>
        <w:lastRenderedPageBreak/>
        <w:t>determine whether innovation will be integrated into a safety-paranoid ecosystem or fired at will into a market-driven one, with far-reaching consequences of scalability, risk, and trust in society.</w:t>
      </w:r>
    </w:p>
    <w:p w14:paraId="59A5C24F" w14:textId="77777777" w:rsidR="001118A1" w:rsidRPr="00AA22F9" w:rsidRDefault="001118A1" w:rsidP="001118A1">
      <w:pPr>
        <w:spacing w:after="0" w:line="480" w:lineRule="auto"/>
        <w:ind w:firstLine="720"/>
        <w:contextualSpacing/>
        <w:rPr>
          <w:rFonts w:ascii="Times New Roman" w:hAnsi="Times New Roman" w:cs="Times New Roman"/>
        </w:rPr>
      </w:pPr>
      <w:r w:rsidRPr="00AA22F9">
        <w:rPr>
          <w:rFonts w:ascii="Times New Roman" w:hAnsi="Times New Roman" w:cs="Times New Roman"/>
        </w:rPr>
        <w:t>In a systematic examination of the existing literature, it becomes evident that the reason behind this divergence is rooted in a deep scholarly siloing, which is one of the major constraints of the existing literature. In empirical examinations of healthcare pioneering, the hurdles of a regulatory framework are cautiously documented, often portraying it as the prudent steps of safety protocol but ultimately the impediments to faster adoption. Conversely, fintech literature tends to trumpet regulatory sandboxes and open banking demands as being wholly innovation-driving and downplay the structural weaknesses they introduce. This matching yet unrelated discourse means that good learning remains bound in their circles. The strong principles of risk validation applied in the healthcare sector are seldom submitted as a potential model of fintech security promotion, and the agile experimentation performed by finance is seldom introduced as a template of fast health-tech pilot. Such dissection confounds the common ground in the innovation under constraint.</w:t>
      </w:r>
    </w:p>
    <w:p w14:paraId="471C3E3F" w14:textId="77777777" w:rsidR="001118A1" w:rsidRPr="00AA22F9" w:rsidRDefault="001118A1" w:rsidP="001118A1">
      <w:pPr>
        <w:spacing w:after="0" w:line="480" w:lineRule="auto"/>
        <w:ind w:firstLine="720"/>
        <w:contextualSpacing/>
        <w:rPr>
          <w:rFonts w:ascii="Times New Roman" w:hAnsi="Times New Roman" w:cs="Times New Roman"/>
        </w:rPr>
      </w:pPr>
      <w:r w:rsidRPr="00AA22F9">
        <w:rPr>
          <w:rFonts w:ascii="Times New Roman" w:hAnsi="Times New Roman" w:cs="Times New Roman"/>
        </w:rPr>
        <w:t>This scholarly divide is compounded by a theoretical schism that mirrors the sectoral one. The healthcare domain is predominantly analysed through the lens of Dynamic Capabilities Theory, which explains how established institutions sense, seize, and transform resources to adapt incrementally within strict regulatory boundaries (Teece, 1997). Conversely, the disruption and market-shifting rise of fintech is nearly solely detailed by Christensen's theory of disruptive innovation. This theoretical isolation is a barrier to holistic vision; it does not explain how a bank will exhibit dynamic capabilities to resist entrants or whether a health-tech startup may take a disruptive route. As a result, the literature at hand presents strong yet disaggregating explanations, without an integrated framework capable of decoding the regulatory stringency, organisational culture and technological affordance complex, and configurational recipes of success, which can foster sustainable growth in various high-stakes environments.</w:t>
      </w:r>
    </w:p>
    <w:p w14:paraId="218CBFCB" w14:textId="77777777" w:rsidR="001118A1" w:rsidRPr="00AA22F9" w:rsidRDefault="001118A1" w:rsidP="000C492F">
      <w:pPr>
        <w:pStyle w:val="Heading2"/>
        <w:rPr>
          <w:rFonts w:eastAsia="Times New Roman"/>
        </w:rPr>
      </w:pPr>
      <w:bookmarkStart w:id="57" w:name="_Toc210260639"/>
      <w:bookmarkStart w:id="58" w:name="_Toc210481148"/>
      <w:r w:rsidRPr="00AA22F9">
        <w:rPr>
          <w:rFonts w:eastAsia="Times New Roman"/>
        </w:rPr>
        <w:lastRenderedPageBreak/>
        <w:t>2.3 Title Searches and Documentation</w:t>
      </w:r>
      <w:bookmarkEnd w:id="57"/>
      <w:bookmarkEnd w:id="58"/>
    </w:p>
    <w:p w14:paraId="2FA69E79" w14:textId="77777777" w:rsidR="001118A1" w:rsidRPr="00AA22F9" w:rsidRDefault="001118A1" w:rsidP="001118A1">
      <w:pPr>
        <w:spacing w:after="0" w:line="480" w:lineRule="auto"/>
        <w:ind w:firstLine="720"/>
        <w:contextualSpacing/>
        <w:rPr>
          <w:rFonts w:ascii="Times New Roman" w:hAnsi="Times New Roman" w:cs="Times New Roman"/>
        </w:rPr>
      </w:pPr>
      <w:r w:rsidRPr="00AA22F9">
        <w:rPr>
          <w:rFonts w:ascii="Times New Roman" w:hAnsi="Times New Roman" w:cs="Times New Roman"/>
        </w:rPr>
        <w:t>A systematic analysis of the literature immediately reveals a stark disciplinary divide. The literature on healthcare innovation, including research on the adoption of telemedicine under HIPAA (</w:t>
      </w:r>
      <w:proofErr w:type="spellStart"/>
      <w:r w:rsidRPr="00AA22F9">
        <w:rPr>
          <w:rFonts w:ascii="Times New Roman" w:hAnsi="Times New Roman" w:cs="Times New Roman"/>
        </w:rPr>
        <w:t>Nittari</w:t>
      </w:r>
      <w:proofErr w:type="spellEnd"/>
      <w:r w:rsidRPr="00AA22F9">
        <w:rPr>
          <w:rFonts w:ascii="Times New Roman" w:hAnsi="Times New Roman" w:cs="Times New Roman"/>
        </w:rPr>
        <w:t xml:space="preserve"> et al., 2022), is detailed about clinical validation and ethical governance, though it remains closed except in discussing similar governance experiments in finance, like the addition of regulatory sandboxes (Ringe &amp; Ruof, 2020). In contrast, fintech scholarship emphasises market dynamics and scalability and frequently looks at regulation as a variable to optimise instead of a complex ecosystem to traverse (Arner et al., 2016). The first and most important discovery of this review is this self-isolation: it generates a staggered knowledge base that hides the very cross-sector lessons that might boost compliant innovation.</w:t>
      </w:r>
    </w:p>
    <w:p w14:paraId="261A45A0" w14:textId="77777777" w:rsidR="001118A1" w:rsidRPr="00AA22F9" w:rsidRDefault="001118A1" w:rsidP="001118A1">
      <w:pPr>
        <w:spacing w:after="0" w:line="480" w:lineRule="auto"/>
        <w:ind w:firstLine="720"/>
        <w:contextualSpacing/>
        <w:rPr>
          <w:rFonts w:ascii="Times New Roman" w:hAnsi="Times New Roman" w:cs="Times New Roman"/>
        </w:rPr>
      </w:pPr>
      <w:r w:rsidRPr="00AA22F9">
        <w:rPr>
          <w:rFonts w:ascii="Times New Roman" w:hAnsi="Times New Roman" w:cs="Times New Roman"/>
        </w:rPr>
        <w:t xml:space="preserve">The studies of healthcare innovation demonstrate a sector trapped in an existential paradox. Although the drivers of digitalisation—pandemic urgency, cost pressures, and demographic shifts—are universally accepted, the literature suggests a disjointed diagnosis of the main hindrance. On the one hand, researchers such as Junaid et al. (2022) and </w:t>
      </w:r>
      <w:proofErr w:type="spellStart"/>
      <w:r w:rsidRPr="00AA22F9">
        <w:rPr>
          <w:rFonts w:ascii="Times New Roman" w:hAnsi="Times New Roman" w:cs="Times New Roman"/>
        </w:rPr>
        <w:t>Nittari</w:t>
      </w:r>
      <w:proofErr w:type="spellEnd"/>
      <w:r w:rsidRPr="00AA22F9">
        <w:rPr>
          <w:rFonts w:ascii="Times New Roman" w:hAnsi="Times New Roman" w:cs="Times New Roman"/>
        </w:rPr>
        <w:t xml:space="preserve"> et al. (2022) record the pandemic and crisis-related development of telemedicine, noting its untapped potential. On the other hand, studies point to a persistent "innovation inertia", attributing it either to an ingrained, risk-averse organisational culture (Fascia et al., 2023) or to the deliberate, policy-technical delays inherent in frameworks like HIPAA and FDA approvals (Lottes et al., 2022; Amaral et al., 2024). This academic division speaks volumes; it shows how the barrier is not monolithic but a complicated interaction of inner cultural disposition and outer regulatory framework. As a result, a two-pronged strategy is required to study regulatory friction in healthcare beyond simplistic labelling and study the causal loop between institutional caution and the governance mechanisms that propagate it.</w:t>
      </w:r>
    </w:p>
    <w:p w14:paraId="58EDD168" w14:textId="77777777" w:rsidR="001118A1" w:rsidRPr="00AA22F9" w:rsidRDefault="001118A1" w:rsidP="001118A1">
      <w:pPr>
        <w:spacing w:after="0" w:line="480" w:lineRule="auto"/>
        <w:ind w:firstLine="720"/>
        <w:contextualSpacing/>
        <w:rPr>
          <w:rFonts w:ascii="Times New Roman" w:hAnsi="Times New Roman" w:cs="Times New Roman"/>
        </w:rPr>
      </w:pPr>
      <w:r w:rsidRPr="00AA22F9">
        <w:rPr>
          <w:rFonts w:ascii="Times New Roman" w:hAnsi="Times New Roman" w:cs="Times New Roman"/>
        </w:rPr>
        <w:t xml:space="preserve">In stark contrast, the financial services literature constructs a narrative of accelerated adoption and calculated risk-taking. Researchers such as Saiyed (2025) and </w:t>
      </w:r>
      <w:proofErr w:type="spellStart"/>
      <w:r w:rsidRPr="00AA22F9">
        <w:rPr>
          <w:rFonts w:ascii="Times New Roman" w:hAnsi="Times New Roman" w:cs="Times New Roman"/>
        </w:rPr>
        <w:t>Ramrakhyani</w:t>
      </w:r>
      <w:proofErr w:type="spellEnd"/>
      <w:r w:rsidRPr="00AA22F9">
        <w:rPr>
          <w:rFonts w:ascii="Times New Roman" w:hAnsi="Times New Roman" w:cs="Times New Roman"/>
        </w:rPr>
        <w:t xml:space="preserve"> and Shrivastava (2024) project the enabling nature of standards and sandboxes such as PSD2, which create a favourable environment in which fintech can develop via APIs and blockchain. </w:t>
      </w:r>
      <w:r w:rsidRPr="00AA22F9">
        <w:rPr>
          <w:rFonts w:ascii="Times New Roman" w:hAnsi="Times New Roman" w:cs="Times New Roman"/>
        </w:rPr>
        <w:lastRenderedPageBreak/>
        <w:t>Nevertheless, a critical reading indicates that there is an emergent yet crucial counter-narrative in this field that does not ignore the repercussions of this speed. Yaseen and Al-</w:t>
      </w:r>
      <w:proofErr w:type="spellStart"/>
      <w:r w:rsidRPr="00AA22F9">
        <w:rPr>
          <w:rFonts w:ascii="Times New Roman" w:hAnsi="Times New Roman" w:cs="Times New Roman"/>
        </w:rPr>
        <w:t>Amarneh</w:t>
      </w:r>
      <w:proofErr w:type="spellEnd"/>
      <w:r w:rsidRPr="00AA22F9">
        <w:rPr>
          <w:rFonts w:ascii="Times New Roman" w:hAnsi="Times New Roman" w:cs="Times New Roman"/>
        </w:rPr>
        <w:t xml:space="preserve"> (2025) provide an essential warning, as their research explores how the pursuit of a competitive advantage in an AI-driven fashion might unintentionally diminish consumer trust, either due to unethical actions or lack of transparency in decision-making. This in-house conflict of disruptive agility celebration versus sustainable trust anxiety reflects the very safety-speed balance in health care, although the cost is not bodily but financial. The fintech conversation, then, is not unitary, but it is more characterised by its struggle to reconcile its disruptive mandate with the requirement of sound governance.</w:t>
      </w:r>
    </w:p>
    <w:p w14:paraId="36876B28" w14:textId="77777777" w:rsidR="001118A1" w:rsidRPr="00AA22F9" w:rsidRDefault="001118A1" w:rsidP="001118A1">
      <w:pPr>
        <w:spacing w:after="0" w:line="480" w:lineRule="auto"/>
        <w:ind w:firstLine="720"/>
        <w:contextualSpacing/>
        <w:rPr>
          <w:rFonts w:ascii="Times New Roman" w:hAnsi="Times New Roman" w:cs="Times New Roman"/>
        </w:rPr>
      </w:pPr>
      <w:r w:rsidRPr="00AA22F9">
        <w:rPr>
          <w:rFonts w:ascii="Times New Roman" w:hAnsi="Times New Roman" w:cs="Times New Roman"/>
        </w:rPr>
        <w:t xml:space="preserve">When these industry-specific narratives receive a </w:t>
      </w:r>
      <w:proofErr w:type="gramStart"/>
      <w:r w:rsidRPr="00AA22F9">
        <w:rPr>
          <w:rFonts w:ascii="Times New Roman" w:hAnsi="Times New Roman" w:cs="Times New Roman"/>
        </w:rPr>
        <w:t>side by side</w:t>
      </w:r>
      <w:proofErr w:type="gramEnd"/>
      <w:r w:rsidRPr="00AA22F9">
        <w:rPr>
          <w:rFonts w:ascii="Times New Roman" w:hAnsi="Times New Roman" w:cs="Times New Roman"/>
        </w:rPr>
        <w:t xml:space="preserve"> comparison, the constraint of a siloed strategy becomes painfully obvious. According to Kaplan (2023), a nascent literature in cross-sector identification reveals convergent issues, such as ethical oversight, cybersecurity, and regulatory complexity, that plague both sectors. However, the discourse is polarised. Optimistic projections of fintech-</w:t>
      </w:r>
      <w:proofErr w:type="spellStart"/>
      <w:r w:rsidRPr="00AA22F9">
        <w:rPr>
          <w:rFonts w:ascii="Times New Roman" w:hAnsi="Times New Roman" w:cs="Times New Roman"/>
        </w:rPr>
        <w:t>healthtech</w:t>
      </w:r>
      <w:proofErr w:type="spellEnd"/>
      <w:r w:rsidRPr="00AA22F9">
        <w:rPr>
          <w:rFonts w:ascii="Times New Roman" w:hAnsi="Times New Roman" w:cs="Times New Roman"/>
        </w:rPr>
        <w:t xml:space="preserve"> convergence (Shukla et al., 2025) are immediately tempered by critical assessments of systemic vulnerabilities (Javaid et al., 2023; Paul et al., 2023). This tension between ambition and prudence highlights a profound issue: the inability to generalise and apply successful government systems across contexts. This shift can be further illuminated by the historical evolution of this scholarship. In pre-2020 literature digital innovation is viewed as a possible source of improvement, whereas post-pandemic sources view it as a structural necessity (Bogati, 2025; Mauro et al., 2024). Such transformation of optionality into necessity increases the urgency of the comparative model. No longer can these parallel struggles be written down separately; the daily reckoning of a scheme of life-sustaining reticence in health care and the daily reckoning of a scheme of self-seeking agility in finance must be made to meet their common future.</w:t>
      </w:r>
    </w:p>
    <w:p w14:paraId="0426B859" w14:textId="77777777" w:rsidR="001118A1" w:rsidRPr="00AA22F9" w:rsidRDefault="001118A1" w:rsidP="001118A1">
      <w:pPr>
        <w:spacing w:after="0" w:line="480" w:lineRule="auto"/>
        <w:ind w:firstLine="720"/>
        <w:contextualSpacing/>
        <w:rPr>
          <w:rFonts w:ascii="Times New Roman" w:hAnsi="Times New Roman" w:cs="Times New Roman"/>
        </w:rPr>
      </w:pPr>
      <w:r w:rsidRPr="00AA22F9">
        <w:rPr>
          <w:rFonts w:ascii="Times New Roman" w:hAnsi="Times New Roman" w:cs="Times New Roman"/>
        </w:rPr>
        <w:t xml:space="preserve">The tone and sense of urgency in the historical and contemporary literature differ drastically. The previous literature, including Bates et al. (2014) and Beaulieu &amp; Lehoux (2018), discussed digital innovation as possible improvements. By contrast, the sources after 2020, such as Bogati </w:t>
      </w:r>
      <w:r w:rsidRPr="00AA22F9">
        <w:rPr>
          <w:rFonts w:ascii="Times New Roman" w:hAnsi="Times New Roman" w:cs="Times New Roman"/>
        </w:rPr>
        <w:lastRenderedPageBreak/>
        <w:t>(2025) and Mauro et al. (2024), discuss the digital transformation as a structural imperative. The COVID-19 pandemic accelerated this paradigm shift, making telehealth, AI diagnostics, and digital payment platforms operational lifelines. However, the urgency was able to increase the pace of adoption, but structural limitations persisted. Lu (2021) observed that tools of Industry 4.0 promised efficiency but could only work with profound cultural and governance changes. In the meantime, Ahsan &amp; Siddique (2022) proposed the idea that the digital inertia of healthcare was technical debt and fear of compliance. Such is the contrast between the optionality of the past and the necessity of the present, which leads to the fact that any innovation review must follow a longitudinal change in context, urgency, and institutional preparedness.</w:t>
      </w:r>
    </w:p>
    <w:p w14:paraId="5C7AE780" w14:textId="77777777" w:rsidR="001118A1" w:rsidRPr="00AA22F9" w:rsidRDefault="001118A1" w:rsidP="000C492F">
      <w:pPr>
        <w:pStyle w:val="Heading2"/>
      </w:pPr>
      <w:bookmarkStart w:id="59" w:name="_Toc210260640"/>
      <w:bookmarkStart w:id="60" w:name="_Toc210481149"/>
      <w:r w:rsidRPr="00AA22F9">
        <w:t>2.4 Thematic Synthesis Across Sectors</w:t>
      </w:r>
      <w:bookmarkEnd w:id="59"/>
      <w:bookmarkEnd w:id="60"/>
    </w:p>
    <w:p w14:paraId="72100A0A" w14:textId="77777777" w:rsidR="001118A1" w:rsidRPr="00AA22F9" w:rsidRDefault="001118A1" w:rsidP="000C492F">
      <w:pPr>
        <w:pStyle w:val="Heading3"/>
        <w:rPr>
          <w:rFonts w:eastAsia="Times New Roman"/>
        </w:rPr>
      </w:pPr>
      <w:bookmarkStart w:id="61" w:name="_Toc210260641"/>
      <w:bookmarkStart w:id="62" w:name="_Toc210481150"/>
      <w:r w:rsidRPr="00AA22F9">
        <w:rPr>
          <w:rFonts w:eastAsia="Times New Roman"/>
        </w:rPr>
        <w:t>2.4.1 Post-Pandemic Acceleration &amp; Digital Transformation in Healthcare</w:t>
      </w:r>
      <w:bookmarkEnd w:id="61"/>
      <w:bookmarkEnd w:id="62"/>
    </w:p>
    <w:p w14:paraId="6C5E1B17" w14:textId="77777777" w:rsidR="001118A1" w:rsidRPr="00AA22F9" w:rsidRDefault="001118A1" w:rsidP="001118A1">
      <w:pPr>
        <w:spacing w:after="0" w:line="480" w:lineRule="auto"/>
        <w:ind w:firstLine="720"/>
        <w:contextualSpacing/>
        <w:rPr>
          <w:rFonts w:ascii="Times New Roman" w:hAnsi="Times New Roman" w:cs="Times New Roman"/>
          <w:bCs/>
        </w:rPr>
      </w:pPr>
      <w:r w:rsidRPr="00AA22F9">
        <w:rPr>
          <w:rFonts w:ascii="Times New Roman" w:hAnsi="Times New Roman" w:cs="Times New Roman"/>
          <w:bCs/>
        </w:rPr>
        <w:t>The COVID-19 pandemic acted as a stress test on a global scale, forcing a rapid change in the use of digital in the fields of health care and finance. However, this shared catalyst became a revelation to a current and latent shocking disparity in sectoral DNA. With financial services taking advantage of the crisis to cement agile, API-delivered frameworks, and experimentation facilitated with sandboxes, emergency response in healthcare demonstrated the underlying tension between technological necessity and regulatory foresight (</w:t>
      </w:r>
      <w:proofErr w:type="spellStart"/>
      <w:r w:rsidRPr="00AA22F9">
        <w:rPr>
          <w:rFonts w:ascii="Times New Roman" w:hAnsi="Times New Roman" w:cs="Times New Roman"/>
          <w:bCs/>
        </w:rPr>
        <w:t>Nittari</w:t>
      </w:r>
      <w:proofErr w:type="spellEnd"/>
      <w:r w:rsidRPr="00AA22F9">
        <w:rPr>
          <w:rFonts w:ascii="Times New Roman" w:hAnsi="Times New Roman" w:cs="Times New Roman"/>
          <w:bCs/>
        </w:rPr>
        <w:t xml:space="preserve"> et al., 2022; Williamson and </w:t>
      </w:r>
      <w:proofErr w:type="spellStart"/>
      <w:r w:rsidRPr="00AA22F9">
        <w:rPr>
          <w:rFonts w:ascii="Times New Roman" w:hAnsi="Times New Roman" w:cs="Times New Roman"/>
          <w:bCs/>
        </w:rPr>
        <w:t>Prybotok</w:t>
      </w:r>
      <w:proofErr w:type="spellEnd"/>
      <w:r w:rsidRPr="00AA22F9">
        <w:rPr>
          <w:rFonts w:ascii="Times New Roman" w:hAnsi="Times New Roman" w:cs="Times New Roman"/>
          <w:bCs/>
        </w:rPr>
        <w:t xml:space="preserve">, 2024). The adoption of telemedicine did not experience a paradigm shift but discovered a temporary route to overcome established obstacles, including HIPAA and FDA regulations (Lottes et al., 2022). This was a vital deliverable of this study: to move beyond the description of this divergence and to examine the reasons for the structure. The pandemic demonstrated that technology as such is not the minor, but institutional architecture is the one that prevents it. Therefore, this will unravel the successful packaging of regulatory inflexibility, ethical demands, and organisational strengths that determine whether their post-crisis journey is a robust evolutionary one or a shrink into structural </w:t>
      </w:r>
      <w:proofErr w:type="spellStart"/>
      <w:r w:rsidRPr="00AA22F9">
        <w:rPr>
          <w:rFonts w:ascii="Times New Roman" w:hAnsi="Times New Roman" w:cs="Times New Roman"/>
          <w:bCs/>
        </w:rPr>
        <w:t>stalemation</w:t>
      </w:r>
      <w:proofErr w:type="spellEnd"/>
      <w:r w:rsidRPr="00AA22F9">
        <w:rPr>
          <w:rFonts w:ascii="Times New Roman" w:hAnsi="Times New Roman" w:cs="Times New Roman"/>
          <w:bCs/>
        </w:rPr>
        <w:t>, a diagnostic framework of what future crises would necessitate the development of novelty within an industry.</w:t>
      </w:r>
    </w:p>
    <w:p w14:paraId="71422C20" w14:textId="77777777" w:rsidR="001118A1" w:rsidRPr="00AA22F9" w:rsidRDefault="001118A1" w:rsidP="000C492F">
      <w:pPr>
        <w:pStyle w:val="Heading3"/>
      </w:pPr>
      <w:bookmarkStart w:id="63" w:name="_Toc210260642"/>
      <w:bookmarkStart w:id="64" w:name="_Toc210481151"/>
      <w:r w:rsidRPr="00AA22F9">
        <w:lastRenderedPageBreak/>
        <w:t>2.4.2 Fintech Innovation Pathways: Sandboxes, Regulation, and Governance</w:t>
      </w:r>
      <w:bookmarkEnd w:id="63"/>
      <w:bookmarkEnd w:id="64"/>
    </w:p>
    <w:p w14:paraId="12A3C1B0" w14:textId="77777777" w:rsidR="001118A1" w:rsidRPr="00AA22F9" w:rsidRDefault="001118A1" w:rsidP="001118A1">
      <w:pPr>
        <w:spacing w:after="0" w:line="480" w:lineRule="auto"/>
        <w:ind w:firstLine="720"/>
        <w:contextualSpacing/>
        <w:rPr>
          <w:rFonts w:ascii="Times New Roman" w:hAnsi="Times New Roman" w:cs="Times New Roman"/>
          <w:bCs/>
        </w:rPr>
      </w:pPr>
      <w:r w:rsidRPr="00AA22F9">
        <w:rPr>
          <w:rFonts w:ascii="Times New Roman" w:hAnsi="Times New Roman" w:cs="Times New Roman"/>
          <w:bCs/>
        </w:rPr>
        <w:t xml:space="preserve">Fintech’s rapid evolution has been driven by iterative development within regulatory sandboxes and open banking mandates such as PSD2, which support secure API ecosystems and real-time regulator feedback (Ringe &amp; Ruof, 2020; Saiyed, 2025; </w:t>
      </w:r>
      <w:proofErr w:type="spellStart"/>
      <w:r w:rsidRPr="00AA22F9">
        <w:rPr>
          <w:rFonts w:ascii="Times New Roman" w:hAnsi="Times New Roman" w:cs="Times New Roman"/>
          <w:bCs/>
        </w:rPr>
        <w:t>Zetzsche</w:t>
      </w:r>
      <w:proofErr w:type="spellEnd"/>
      <w:r w:rsidRPr="00AA22F9">
        <w:rPr>
          <w:rFonts w:ascii="Times New Roman" w:hAnsi="Times New Roman" w:cs="Times New Roman"/>
          <w:bCs/>
        </w:rPr>
        <w:t xml:space="preserve"> et al., 2020; Yaseen &amp; Al-</w:t>
      </w:r>
      <w:proofErr w:type="spellStart"/>
      <w:r w:rsidRPr="00AA22F9">
        <w:rPr>
          <w:rFonts w:ascii="Times New Roman" w:hAnsi="Times New Roman" w:cs="Times New Roman"/>
          <w:bCs/>
        </w:rPr>
        <w:t>Amarneh</w:t>
      </w:r>
      <w:proofErr w:type="spellEnd"/>
      <w:r w:rsidRPr="00AA22F9">
        <w:rPr>
          <w:rFonts w:ascii="Times New Roman" w:hAnsi="Times New Roman" w:cs="Times New Roman"/>
          <w:bCs/>
        </w:rPr>
        <w:t xml:space="preserve">, 2025). Startups and incumbents will enable such frameworks to test blockchain payments, AI underwriting, and digital credit tools in adaptive governance. Healthcare, conversely, lacks the corresponding experimental infrastructure; the solutions, like AI diagnostics, are still archived on an FDA review and audit limited by HIPAA and cannot be scaled (Amaral et al., 2024; Lottes et al., 2022; Williamson and </w:t>
      </w:r>
      <w:proofErr w:type="spellStart"/>
      <w:r w:rsidRPr="00AA22F9">
        <w:rPr>
          <w:rFonts w:ascii="Times New Roman" w:hAnsi="Times New Roman" w:cs="Times New Roman"/>
          <w:bCs/>
        </w:rPr>
        <w:t>Prybutok</w:t>
      </w:r>
      <w:proofErr w:type="spellEnd"/>
      <w:r w:rsidRPr="00AA22F9">
        <w:rPr>
          <w:rFonts w:ascii="Times New Roman" w:hAnsi="Times New Roman" w:cs="Times New Roman"/>
          <w:bCs/>
        </w:rPr>
        <w:t xml:space="preserve">, 2024; Paul et al., 2023). Unless regulation in finance is considered as a treater of market velocity, the regulation in healthcare is an ethical and safety-orientated regulator generating a conservative trend. This asymmetry, </w:t>
      </w:r>
      <w:proofErr w:type="spellStart"/>
      <w:r w:rsidRPr="00AA22F9">
        <w:rPr>
          <w:rFonts w:ascii="Times New Roman" w:hAnsi="Times New Roman" w:cs="Times New Roman"/>
          <w:bCs/>
        </w:rPr>
        <w:t>Ramrakhyani</w:t>
      </w:r>
      <w:proofErr w:type="spellEnd"/>
      <w:r w:rsidRPr="00AA22F9">
        <w:rPr>
          <w:rFonts w:ascii="Times New Roman" w:hAnsi="Times New Roman" w:cs="Times New Roman"/>
          <w:bCs/>
        </w:rPr>
        <w:t xml:space="preserve"> and Shrivastava (2024) confirm, proves differences in innovation. Such discrepancies can be addressed by the cross-sectoral adaptation of sandbox models which enable safe acceleration and do not impact on trust.</w:t>
      </w:r>
    </w:p>
    <w:p w14:paraId="2F4A2C5E" w14:textId="77777777" w:rsidR="001118A1" w:rsidRPr="00AA22F9" w:rsidRDefault="001118A1" w:rsidP="000C492F">
      <w:pPr>
        <w:pStyle w:val="Heading3"/>
      </w:pPr>
      <w:bookmarkStart w:id="65" w:name="_Toc210260643"/>
      <w:bookmarkStart w:id="66" w:name="_Toc210481152"/>
      <w:r w:rsidRPr="00AA22F9">
        <w:t>2.4.3 AI Integration: Ethical, Technical, and Sectoral Divergence</w:t>
      </w:r>
      <w:bookmarkEnd w:id="65"/>
      <w:bookmarkEnd w:id="66"/>
    </w:p>
    <w:p w14:paraId="4B94EB2A" w14:textId="77777777" w:rsidR="001118A1" w:rsidRPr="00AA22F9" w:rsidRDefault="001118A1" w:rsidP="001118A1">
      <w:pPr>
        <w:spacing w:after="0" w:line="480" w:lineRule="auto"/>
        <w:ind w:firstLine="720"/>
        <w:contextualSpacing/>
        <w:rPr>
          <w:rFonts w:ascii="Times New Roman" w:hAnsi="Times New Roman" w:cs="Times New Roman"/>
        </w:rPr>
      </w:pPr>
      <w:r w:rsidRPr="00AA22F9">
        <w:rPr>
          <w:rFonts w:ascii="Times New Roman" w:hAnsi="Times New Roman" w:cs="Times New Roman"/>
        </w:rPr>
        <w:t xml:space="preserve">The implementation of Artificial Intelligence (AI) effectively illustrates how the universal technology is lensed in the specific ethical and risk perspectives of healthcare and finance. In finance, AI has largely become a driver of operational efficiency and risk management; in fraud identification and credit scoring, a plausible percentage of false positives is a fair trade-off in favour of speed and scale (Saiyed, 2025). Rather, healthcare considers AI as a clinical tool in which error is not a metric but a potentially catastrophic consequence that must be stringently </w:t>
      </w:r>
      <w:proofErr w:type="spellStart"/>
      <w:r w:rsidRPr="00AA22F9">
        <w:rPr>
          <w:rFonts w:ascii="Times New Roman" w:hAnsi="Times New Roman" w:cs="Times New Roman"/>
        </w:rPr>
        <w:t>prevalidated</w:t>
      </w:r>
      <w:proofErr w:type="spellEnd"/>
      <w:r w:rsidRPr="00AA22F9">
        <w:rPr>
          <w:rFonts w:ascii="Times New Roman" w:hAnsi="Times New Roman" w:cs="Times New Roman"/>
        </w:rPr>
        <w:t xml:space="preserve">, explainable (XAI), and regulated through human-in-the-loop (Williamson and </w:t>
      </w:r>
      <w:proofErr w:type="spellStart"/>
      <w:r w:rsidRPr="00AA22F9">
        <w:rPr>
          <w:rFonts w:ascii="Times New Roman" w:hAnsi="Times New Roman" w:cs="Times New Roman"/>
        </w:rPr>
        <w:t>Prybutok</w:t>
      </w:r>
      <w:proofErr w:type="spellEnd"/>
      <w:r w:rsidRPr="00AA22F9">
        <w:rPr>
          <w:rFonts w:ascii="Times New Roman" w:hAnsi="Times New Roman" w:cs="Times New Roman"/>
        </w:rPr>
        <w:t xml:space="preserve">, 2024). This is not a technical point but a fundamental ethical fault line: the former is concerned with the post-deploy transactional accountable fairness; the latter with the pre-deploy precautionary principle of non-maleficence. Mapping these divergent ethical paths is a key research deliverable in this research. By doing so, it will produce a cross-sectoral grid of ethics that could guide the developers and regulators to revise oversight, whether it is re-tuning financial-grade audits to the healthcare </w:t>
      </w:r>
      <w:r w:rsidRPr="00AA22F9">
        <w:rPr>
          <w:rFonts w:ascii="Times New Roman" w:hAnsi="Times New Roman" w:cs="Times New Roman"/>
        </w:rPr>
        <w:lastRenderedPageBreak/>
        <w:t>standards of fairness or using the high standards of the healthy validation systems for high-stakes medical AI, to bring on sensible adoption.</w:t>
      </w:r>
    </w:p>
    <w:p w14:paraId="2B0E7C02" w14:textId="77777777" w:rsidR="001118A1" w:rsidRPr="00AA22F9" w:rsidRDefault="001118A1" w:rsidP="000C492F">
      <w:pPr>
        <w:pStyle w:val="Heading3"/>
      </w:pPr>
      <w:bookmarkStart w:id="67" w:name="_Toc210260644"/>
      <w:bookmarkStart w:id="68" w:name="_Toc210481153"/>
      <w:r w:rsidRPr="00AA22F9">
        <w:t>2.4.4 Regulatory Philosophies and Innovation Trajectories</w:t>
      </w:r>
      <w:bookmarkEnd w:id="67"/>
      <w:bookmarkEnd w:id="68"/>
    </w:p>
    <w:p w14:paraId="65B812B8" w14:textId="77777777" w:rsidR="001118A1" w:rsidRPr="00AA22F9" w:rsidRDefault="001118A1" w:rsidP="001118A1">
      <w:pPr>
        <w:spacing w:after="0" w:line="480" w:lineRule="auto"/>
        <w:ind w:firstLine="720"/>
        <w:contextualSpacing/>
        <w:rPr>
          <w:rFonts w:ascii="Times New Roman" w:hAnsi="Times New Roman" w:cs="Times New Roman"/>
        </w:rPr>
      </w:pPr>
      <w:r w:rsidRPr="00AA22F9">
        <w:rPr>
          <w:rFonts w:ascii="Times New Roman" w:hAnsi="Times New Roman" w:cs="Times New Roman"/>
        </w:rPr>
        <w:t>The regulatory frameworks stipulate how innovations are developed in industries. Lottes et al. (2022) and Paul et al. (2023) note that healthcare governance is prescriptive and places greater emphasis on systemic accountability and patient safety. The latter may be interpreted through the levels of clinical validation in the FDA and strict privacy policies in HIPAA, which limit the data to more recent technologies, including AI diagnostics. Instead, finance is enabling and subject to regulation. The PSD2 mandates the use of APIs in the banking sector, and regulatory sandboxes provide a chance to test fintech innovations in practice (Ringe &amp; Ruof, 2020; Saiyed, 2025). According to Javaid et al. (2023) and Yaseen and Al-</w:t>
      </w:r>
      <w:proofErr w:type="spellStart"/>
      <w:r w:rsidRPr="00AA22F9">
        <w:rPr>
          <w:rFonts w:ascii="Times New Roman" w:hAnsi="Times New Roman" w:cs="Times New Roman"/>
        </w:rPr>
        <w:t>Amarneh</w:t>
      </w:r>
      <w:proofErr w:type="spellEnd"/>
      <w:r w:rsidRPr="00AA22F9">
        <w:rPr>
          <w:rFonts w:ascii="Times New Roman" w:hAnsi="Times New Roman" w:cs="Times New Roman"/>
        </w:rPr>
        <w:t xml:space="preserve"> (2025), this approach accelerates the launch of a product, though at the expense of cybersecurity and systemic risks. The regulation culture is as follows then: healthcare is risk-averse and has long cycles and deep validation; finance permits speed and rapid prototyping. This dissimilarity in direction of innovation is quite literally instilled in the manner that the two spheres arrive at acceptable risk and functional confidence.</w:t>
      </w:r>
    </w:p>
    <w:p w14:paraId="61B30D4F" w14:textId="77777777" w:rsidR="001118A1" w:rsidRPr="00AA22F9" w:rsidRDefault="001118A1" w:rsidP="000C492F">
      <w:pPr>
        <w:pStyle w:val="Heading3"/>
      </w:pPr>
      <w:bookmarkStart w:id="69" w:name="_Toc210260645"/>
      <w:bookmarkStart w:id="70" w:name="_Toc210481154"/>
      <w:r w:rsidRPr="00AA22F9">
        <w:t>2.4.5 Divergent Ethical Priorities</w:t>
      </w:r>
      <w:bookmarkEnd w:id="69"/>
      <w:bookmarkEnd w:id="70"/>
    </w:p>
    <w:p w14:paraId="2D128231" w14:textId="77777777" w:rsidR="001118A1" w:rsidRPr="00AA22F9" w:rsidRDefault="001118A1" w:rsidP="001118A1">
      <w:pPr>
        <w:spacing w:after="0" w:line="480" w:lineRule="auto"/>
        <w:ind w:firstLine="720"/>
        <w:contextualSpacing/>
        <w:rPr>
          <w:rFonts w:ascii="Times New Roman" w:hAnsi="Times New Roman" w:cs="Times New Roman"/>
        </w:rPr>
      </w:pPr>
      <w:r w:rsidRPr="00AA22F9">
        <w:rPr>
          <w:rFonts w:ascii="Times New Roman" w:hAnsi="Times New Roman" w:cs="Times New Roman"/>
        </w:rPr>
        <w:t>Healthcare and finance display different ethical patterns, predetermined by institutional objectives. According to Chen et al. (2023) and Ferrara (2023), healthcare ethics underline non-maleficence, justice, and fair access. Racial bias, lack of transparency, and data provenance are heavily examined in AI applications, including diagnostics. Conversely, finance deals with transactional fairness and protection of consumers. Yaseen &amp; Al-</w:t>
      </w:r>
      <w:proofErr w:type="spellStart"/>
      <w:r w:rsidRPr="00AA22F9">
        <w:rPr>
          <w:rFonts w:ascii="Times New Roman" w:hAnsi="Times New Roman" w:cs="Times New Roman"/>
        </w:rPr>
        <w:t>Amarneh</w:t>
      </w:r>
      <w:proofErr w:type="spellEnd"/>
      <w:r w:rsidRPr="00AA22F9">
        <w:rPr>
          <w:rFonts w:ascii="Times New Roman" w:hAnsi="Times New Roman" w:cs="Times New Roman"/>
        </w:rPr>
        <w:t xml:space="preserve"> (2025) have added that explainability in credit decisions and fraud detection parity are the topics of moral examination in fintech. Blockchain technology is likewise ethically polarised: in the financial sector, it helps promote audit trails and transparency; in healthcare, its immutability clashes with the GDPR-guaranteed rights of patients to correct or delete data (Hussien et al., 2021; Zhang et al., 2023). These conflicting values imply that healthcare is focused on ethical reversibility and informed </w:t>
      </w:r>
      <w:r w:rsidRPr="00AA22F9">
        <w:rPr>
          <w:rFonts w:ascii="Times New Roman" w:hAnsi="Times New Roman" w:cs="Times New Roman"/>
        </w:rPr>
        <w:lastRenderedPageBreak/>
        <w:t>consent, whereas finance favours immutability and auditability of compliance. Thus, sectoral ethics determine the manner of deployment, challenge, and governance of the emerging technologies.</w:t>
      </w:r>
    </w:p>
    <w:p w14:paraId="3A195A42" w14:textId="77777777" w:rsidR="001118A1" w:rsidRPr="00AA22F9" w:rsidRDefault="001118A1" w:rsidP="000C492F">
      <w:pPr>
        <w:pStyle w:val="Heading3"/>
      </w:pPr>
      <w:bookmarkStart w:id="71" w:name="_Toc210260646"/>
      <w:bookmarkStart w:id="72" w:name="_Toc210481155"/>
      <w:r w:rsidRPr="00AA22F9">
        <w:t>2.4.6 Blockchain Applications: Security vs. Speed</w:t>
      </w:r>
      <w:bookmarkEnd w:id="71"/>
      <w:bookmarkEnd w:id="72"/>
    </w:p>
    <w:p w14:paraId="79A86240" w14:textId="77777777" w:rsidR="001118A1" w:rsidRPr="00AA22F9" w:rsidRDefault="001118A1" w:rsidP="001118A1">
      <w:pPr>
        <w:spacing w:after="0" w:line="480" w:lineRule="auto"/>
        <w:ind w:firstLine="720"/>
        <w:contextualSpacing/>
        <w:rPr>
          <w:rFonts w:ascii="Times New Roman" w:hAnsi="Times New Roman" w:cs="Times New Roman"/>
        </w:rPr>
      </w:pPr>
      <w:proofErr w:type="spellStart"/>
      <w:r w:rsidRPr="00AA22F9">
        <w:rPr>
          <w:rFonts w:ascii="Times New Roman" w:hAnsi="Times New Roman" w:cs="Times New Roman"/>
        </w:rPr>
        <w:t>Kasralikar</w:t>
      </w:r>
      <w:proofErr w:type="spellEnd"/>
      <w:r w:rsidRPr="00AA22F9">
        <w:rPr>
          <w:rFonts w:ascii="Times New Roman" w:hAnsi="Times New Roman" w:cs="Times New Roman"/>
        </w:rPr>
        <w:t xml:space="preserve"> et al. (2025) and Bathula et al. (2024) found that the main use case of blockchain in healthcare is to offer secure and tamper-evident audit trails over EHR systems and drug supply chains. However, its huge data storage requirements and HIPAA compliance requirements restrict real-time applicability and system interoperability. Conversely, fintech companies like Ant Financial use blockchain to enable cross-border payments in real-time and decentralised validation of transactions despite the regulatory overheads posed by AML and KYC systems (Ali et al., 2021; Shukla et al., 2025). The finance industry is focused on blockchain because of its ability to enhance speed and automation, whereas in healthcare, it is used to ensure traceability and data integrity (Zhang et al., 2023). Such a contrast is an indication of risk tolerance at a sectoral level: healthcare reduces irreversible mistakes, and finance reduces friction in transactions. Therefore, the use of blockchain technology indicates not only the promising aspects of technology but also the institutionally ingrained priorities concerning trust, transparency, and control.</w:t>
      </w:r>
    </w:p>
    <w:p w14:paraId="4BCE2E01" w14:textId="77777777" w:rsidR="001118A1" w:rsidRPr="00AA22F9" w:rsidRDefault="001118A1" w:rsidP="000C492F">
      <w:pPr>
        <w:pStyle w:val="Heading3"/>
      </w:pPr>
      <w:bookmarkStart w:id="73" w:name="_Toc210260647"/>
      <w:bookmarkStart w:id="74" w:name="_Toc210481156"/>
      <w:r w:rsidRPr="00AA22F9">
        <w:t>2.4.7 Innovation Funding Models</w:t>
      </w:r>
      <w:bookmarkEnd w:id="73"/>
      <w:bookmarkEnd w:id="74"/>
    </w:p>
    <w:p w14:paraId="3FC7C6D6" w14:textId="77777777" w:rsidR="001118A1" w:rsidRPr="00AA22F9" w:rsidRDefault="001118A1" w:rsidP="001118A1">
      <w:pPr>
        <w:spacing w:after="0" w:line="480" w:lineRule="auto"/>
        <w:ind w:firstLine="720"/>
        <w:contextualSpacing/>
        <w:rPr>
          <w:rFonts w:ascii="Times New Roman" w:hAnsi="Times New Roman" w:cs="Times New Roman"/>
        </w:rPr>
      </w:pPr>
      <w:r w:rsidRPr="00AA22F9">
        <w:rPr>
          <w:rFonts w:ascii="Times New Roman" w:hAnsi="Times New Roman" w:cs="Times New Roman"/>
        </w:rPr>
        <w:t>The funding dynamics show that there are various limitations and prospects in the spheres of healthcare and fintech. Whether it is telemedicine in underserved rural communities or AI-based diagnostics, high-value innovations in healthcare frequently fail to receive lasting reimbursement in publicly funded insurance programs or traditionalistic payer frameworks (Allers et al., 2023; Pal et al., 2024). Consequently, innovators are forced to be dependent on venture capital, which is more inclined toward scalable technologies that can yield returns in the short term rather than long-term health equity solutions. In comparison, fintech deals are much more convincing in terms of private capital because they can be monetised through avenues such as transaction fees, data services, and lending spreads (Agyei-</w:t>
      </w:r>
      <w:proofErr w:type="spellStart"/>
      <w:r w:rsidRPr="00AA22F9">
        <w:rPr>
          <w:rFonts w:ascii="Times New Roman" w:hAnsi="Times New Roman" w:cs="Times New Roman"/>
        </w:rPr>
        <w:t>Boapeah</w:t>
      </w:r>
      <w:proofErr w:type="spellEnd"/>
      <w:r w:rsidRPr="00AA22F9">
        <w:rPr>
          <w:rFonts w:ascii="Times New Roman" w:hAnsi="Times New Roman" w:cs="Times New Roman"/>
        </w:rPr>
        <w:t xml:space="preserve"> et al., 2022; Paul et al., 2023; Javaid et al., 2023). Nevertheless, the regulatory uncertainty, especially regarding decentralised finance, curtails funding enthusiasm in </w:t>
      </w:r>
      <w:r w:rsidRPr="00AA22F9">
        <w:rPr>
          <w:rFonts w:ascii="Times New Roman" w:hAnsi="Times New Roman" w:cs="Times New Roman"/>
        </w:rPr>
        <w:lastRenderedPageBreak/>
        <w:t>the fintech sector (</w:t>
      </w:r>
      <w:proofErr w:type="spellStart"/>
      <w:r w:rsidRPr="00AA22F9">
        <w:rPr>
          <w:rFonts w:ascii="Times New Roman" w:hAnsi="Times New Roman" w:cs="Times New Roman"/>
        </w:rPr>
        <w:t>Zetzsche</w:t>
      </w:r>
      <w:proofErr w:type="spellEnd"/>
      <w:r w:rsidRPr="00AA22F9">
        <w:rPr>
          <w:rFonts w:ascii="Times New Roman" w:hAnsi="Times New Roman" w:cs="Times New Roman"/>
        </w:rPr>
        <w:t xml:space="preserve"> et al., 2020). Healthcare funding, according to recent literature, is policy-contingent, whereas fintech funding is market-contingent, which highlights a fundamental dissimilarity in the methodology of supporting and strategically motivating innovation ecosystems.</w:t>
      </w:r>
    </w:p>
    <w:p w14:paraId="6E23DDDA" w14:textId="77777777" w:rsidR="001118A1" w:rsidRPr="00AA22F9" w:rsidRDefault="001118A1" w:rsidP="000C492F">
      <w:pPr>
        <w:pStyle w:val="Heading3"/>
      </w:pPr>
      <w:bookmarkStart w:id="75" w:name="_Toc210260648"/>
      <w:bookmarkStart w:id="76" w:name="_Toc210481157"/>
      <w:r w:rsidRPr="00AA22F9">
        <w:t>2.4.8 Cross-Sector Technology Synergies</w:t>
      </w:r>
      <w:bookmarkEnd w:id="75"/>
      <w:bookmarkEnd w:id="76"/>
    </w:p>
    <w:p w14:paraId="7102D36D" w14:textId="77777777" w:rsidR="001118A1" w:rsidRPr="00AA22F9" w:rsidRDefault="001118A1" w:rsidP="001118A1">
      <w:pPr>
        <w:spacing w:after="0" w:line="480" w:lineRule="auto"/>
        <w:ind w:firstLine="720"/>
        <w:contextualSpacing/>
        <w:rPr>
          <w:rFonts w:ascii="Times New Roman" w:hAnsi="Times New Roman" w:cs="Times New Roman"/>
        </w:rPr>
      </w:pPr>
      <w:r w:rsidRPr="00AA22F9">
        <w:rPr>
          <w:rFonts w:ascii="Times New Roman" w:hAnsi="Times New Roman" w:cs="Times New Roman"/>
        </w:rPr>
        <w:t xml:space="preserve">The </w:t>
      </w:r>
      <w:proofErr w:type="spellStart"/>
      <w:r w:rsidRPr="00AA22F9">
        <w:rPr>
          <w:rFonts w:ascii="Times New Roman" w:hAnsi="Times New Roman" w:cs="Times New Roman"/>
        </w:rPr>
        <w:t>healthtech</w:t>
      </w:r>
      <w:proofErr w:type="spellEnd"/>
      <w:r w:rsidRPr="00AA22F9">
        <w:rPr>
          <w:rFonts w:ascii="Times New Roman" w:hAnsi="Times New Roman" w:cs="Times New Roman"/>
        </w:rPr>
        <w:t xml:space="preserve"> and fintech sectors are on the cusp of a cross-sector convergence that will bring previously unseen value to optimising services, but this is limited by opposing regulatory ideologies. As Shukla et al. (2025) argue, such platforms that combine real-time insurance APIs and embedded billing mechanisms will be the embodiment of this new synergy. Such innovations facilitate a smoother access to care and finance process in tandem, yet the operational friction comes in the way of reconciling the tight privacy requirements in HIPAA with the open banking spirit in PSD2 (Raghavan et al., 2021; Lo &amp; </w:t>
      </w:r>
      <w:proofErr w:type="spellStart"/>
      <w:r w:rsidRPr="00AA22F9">
        <w:rPr>
          <w:rFonts w:ascii="Times New Roman" w:hAnsi="Times New Roman" w:cs="Times New Roman"/>
        </w:rPr>
        <w:t>Chudhuri</w:t>
      </w:r>
      <w:proofErr w:type="spellEnd"/>
      <w:r w:rsidRPr="00AA22F9">
        <w:rPr>
          <w:rFonts w:ascii="Times New Roman" w:hAnsi="Times New Roman" w:cs="Times New Roman"/>
        </w:rPr>
        <w:t>, 2022; Malatji &amp; Tolah, 2024). Whereas PSD2 requires data transparency to purchase the flexibility of fintech, HIPAA restricts the circulation of identifiable health information. Chalmers et al. (2025) highlighted the fact that interoperability is additionally hindered by structural obstacles such as data silos and by cultural norms that are not aligned. In comparison to the fintech industry, where quick API integrations are prioritised, the healthcare systems do not offer the equivalent backend fluidity because of legacy systems. To narrow this divide, it is necessary to not only mediate it with the technology but also to harmonise policies and to coordinate ecosystems (Linton et al., 2023; George &amp; George, 2024).</w:t>
      </w:r>
    </w:p>
    <w:p w14:paraId="1475F7B5" w14:textId="77777777" w:rsidR="001118A1" w:rsidRPr="00AA22F9" w:rsidRDefault="001118A1" w:rsidP="000C492F">
      <w:pPr>
        <w:pStyle w:val="Heading3"/>
      </w:pPr>
      <w:bookmarkStart w:id="77" w:name="_Toc210260649"/>
      <w:bookmarkStart w:id="78" w:name="_Toc210481158"/>
      <w:r w:rsidRPr="00AA22F9">
        <w:t>2.4. 9 Theoretical Frameworks</w:t>
      </w:r>
      <w:bookmarkEnd w:id="77"/>
      <w:bookmarkEnd w:id="78"/>
    </w:p>
    <w:p w14:paraId="0CAC9F04" w14:textId="77777777" w:rsidR="001118A1" w:rsidRPr="00AA22F9" w:rsidRDefault="001118A1" w:rsidP="001118A1">
      <w:pPr>
        <w:spacing w:after="0" w:line="480" w:lineRule="auto"/>
        <w:ind w:firstLine="720"/>
        <w:contextualSpacing/>
        <w:rPr>
          <w:rFonts w:ascii="Times New Roman" w:hAnsi="Times New Roman" w:cs="Times New Roman"/>
        </w:rPr>
      </w:pPr>
      <w:r w:rsidRPr="00AA22F9">
        <w:rPr>
          <w:rFonts w:ascii="Times New Roman" w:hAnsi="Times New Roman" w:cs="Times New Roman"/>
        </w:rPr>
        <w:t xml:space="preserve">This study intentionally adopts a research gap between dynamic capabilities and disruptive innovation </w:t>
      </w:r>
      <w:proofErr w:type="gramStart"/>
      <w:r w:rsidRPr="00AA22F9">
        <w:rPr>
          <w:rFonts w:ascii="Times New Roman" w:hAnsi="Times New Roman" w:cs="Times New Roman"/>
        </w:rPr>
        <w:t>in order to</w:t>
      </w:r>
      <w:proofErr w:type="gramEnd"/>
      <w:r w:rsidRPr="00AA22F9">
        <w:rPr>
          <w:rFonts w:ascii="Times New Roman" w:hAnsi="Times New Roman" w:cs="Times New Roman"/>
        </w:rPr>
        <w:t xml:space="preserve"> break the conceptual silo common to the literature. The concept of Dynamic Capabilities (Teece et al., 1997) is an excellent description of healthcare incremental, adaptive innovation, showing the way the institutions perceive regulatory changes and redistribute resources to meet compliant development. The trend of fintech entering the market with easier-to-use, more accessible solutions that disrupt the incumbent is best described as disruptive innovation (Christensen, 1997). Their segregated application, however, is parochial and one-sector. To organise </w:t>
      </w:r>
      <w:r w:rsidRPr="00AA22F9">
        <w:rPr>
          <w:rFonts w:ascii="Times New Roman" w:hAnsi="Times New Roman" w:cs="Times New Roman"/>
        </w:rPr>
        <w:lastRenderedPageBreak/>
        <w:t xml:space="preserve">these lenses in an integrated framework is the main theoretical deliverable of this dissertation. This generalisation facilitates a subtle examination of the way a legacy bank may present dynamic capabilities to keep off fintech disruptors or the way a </w:t>
      </w:r>
      <w:proofErr w:type="spellStart"/>
      <w:r w:rsidRPr="00AA22F9">
        <w:rPr>
          <w:rFonts w:ascii="Times New Roman" w:hAnsi="Times New Roman" w:cs="Times New Roman"/>
        </w:rPr>
        <w:t>healthtech</w:t>
      </w:r>
      <w:proofErr w:type="spellEnd"/>
      <w:r w:rsidRPr="00AA22F9">
        <w:rPr>
          <w:rFonts w:ascii="Times New Roman" w:hAnsi="Times New Roman" w:cs="Times New Roman"/>
        </w:rPr>
        <w:t xml:space="preserve"> venture may seek a disruptive route through institutional inertia. This study will produce a new two-theory model that describes the path of innovation not as predetermined by industry but as a strategic decision based on the interaction of internal capacity to adjust to and external market-creating opportunity.</w:t>
      </w:r>
    </w:p>
    <w:p w14:paraId="555D2223" w14:textId="77777777" w:rsidR="001118A1" w:rsidRPr="00AA22F9" w:rsidRDefault="001118A1" w:rsidP="000C492F">
      <w:pPr>
        <w:pStyle w:val="Heading3"/>
      </w:pPr>
      <w:bookmarkStart w:id="79" w:name="_Toc210260650"/>
      <w:bookmarkStart w:id="80" w:name="_Toc210481159"/>
      <w:r w:rsidRPr="00AA22F9">
        <w:t>2.4.10 Policy Implications</w:t>
      </w:r>
      <w:bookmarkEnd w:id="79"/>
      <w:bookmarkEnd w:id="80"/>
    </w:p>
    <w:p w14:paraId="70F36FB4" w14:textId="77777777" w:rsidR="001118A1" w:rsidRPr="00AA22F9" w:rsidRDefault="001118A1" w:rsidP="001118A1">
      <w:pPr>
        <w:spacing w:after="0" w:line="480" w:lineRule="auto"/>
        <w:ind w:firstLine="720"/>
        <w:contextualSpacing/>
        <w:rPr>
          <w:rFonts w:ascii="Times New Roman" w:hAnsi="Times New Roman" w:cs="Times New Roman"/>
        </w:rPr>
      </w:pPr>
      <w:r w:rsidRPr="00AA22F9">
        <w:rPr>
          <w:rFonts w:ascii="Times New Roman" w:hAnsi="Times New Roman" w:cs="Times New Roman"/>
        </w:rPr>
        <w:t xml:space="preserve">Kaplan (2023) argues that policy innovation is using regulatory insights gained in one historically siloed sector and using them to speed up innovation without losing oversight in other sectors. Fintech has the potential to transform the risk-averse approval cycles of the FDA, which prioritise safety, into sandbox-based regulatory testing, which encourages controlled experimentation with AI (Leckenby et al., 2021; Aydn and </w:t>
      </w:r>
      <w:proofErr w:type="spellStart"/>
      <w:r w:rsidRPr="00AA22F9">
        <w:rPr>
          <w:rFonts w:ascii="Times New Roman" w:hAnsi="Times New Roman" w:cs="Times New Roman"/>
        </w:rPr>
        <w:t>Yardmc</w:t>
      </w:r>
      <w:proofErr w:type="spellEnd"/>
      <w:r w:rsidRPr="00AA22F9">
        <w:rPr>
          <w:rFonts w:ascii="Times New Roman" w:hAnsi="Times New Roman" w:cs="Times New Roman"/>
        </w:rPr>
        <w:t>, 2024). On the other hand, Amaral et al. (2024) believe that finance may borrow the precautionary governance systems of healthcare to regulate novel risks in algorithmic trading or decentralised finance. Data portability and patient/consumer rights frameworks, as Laje and Schmidt (2024) point out, are inconsistently codified across sectors, which further adds to regulatory complexity. The example of fintech demonstrated by Wu et al. (2024) shows that the standardisation of this sector has progressed faster due to the unification of APIs, whereas healthcare has yet to have a harmonised set of compliance rules. According to the Korea Development Institute (2021), cross-sectoral regulatory learning plays a crucial role in decreasing fragmentation and providing scalable safety. The hybridisation of regulation experimentation and risk management could be the path to the sustainable digital transformation.</w:t>
      </w:r>
    </w:p>
    <w:p w14:paraId="4611482C" w14:textId="77777777" w:rsidR="001118A1" w:rsidRPr="00AA22F9" w:rsidRDefault="001118A1" w:rsidP="000C492F">
      <w:pPr>
        <w:pStyle w:val="Heading3"/>
      </w:pPr>
      <w:bookmarkStart w:id="81" w:name="_Toc210260651"/>
      <w:bookmarkStart w:id="82" w:name="_Toc210481160"/>
      <w:r w:rsidRPr="00AA22F9">
        <w:t>2.4.11 Future Trajectories</w:t>
      </w:r>
      <w:bookmarkEnd w:id="81"/>
      <w:bookmarkEnd w:id="82"/>
    </w:p>
    <w:p w14:paraId="200A9C86" w14:textId="77777777" w:rsidR="001118A1" w:rsidRPr="00AA22F9" w:rsidRDefault="001118A1" w:rsidP="001118A1">
      <w:pPr>
        <w:spacing w:after="0" w:line="480" w:lineRule="auto"/>
        <w:ind w:firstLine="720"/>
        <w:contextualSpacing/>
        <w:rPr>
          <w:rFonts w:ascii="Times New Roman" w:hAnsi="Times New Roman" w:cs="Times New Roman"/>
        </w:rPr>
      </w:pPr>
      <w:r w:rsidRPr="00AA22F9">
        <w:rPr>
          <w:rFonts w:ascii="Times New Roman" w:hAnsi="Times New Roman" w:cs="Times New Roman"/>
        </w:rPr>
        <w:t xml:space="preserve">Mhlanga (2024) argues that the future round of healthcare- and finance-related innovation will depend on the balance between speed and security, ethics, and scale. Lottes et al. (2022) noted a shift to adaptive clinical trials and real-world evidence in healthcare to fast-track AI validation. </w:t>
      </w:r>
      <w:r w:rsidRPr="00AA22F9">
        <w:rPr>
          <w:rFonts w:ascii="Times New Roman" w:hAnsi="Times New Roman" w:cs="Times New Roman"/>
        </w:rPr>
        <w:lastRenderedPageBreak/>
        <w:t xml:space="preserve">This can easily cut down the standard </w:t>
      </w:r>
      <w:proofErr w:type="gramStart"/>
      <w:r w:rsidRPr="00AA22F9">
        <w:rPr>
          <w:rFonts w:ascii="Times New Roman" w:hAnsi="Times New Roman" w:cs="Times New Roman"/>
        </w:rPr>
        <w:t>3-5 year</w:t>
      </w:r>
      <w:proofErr w:type="gramEnd"/>
      <w:r w:rsidRPr="00AA22F9">
        <w:rPr>
          <w:rFonts w:ascii="Times New Roman" w:hAnsi="Times New Roman" w:cs="Times New Roman"/>
        </w:rPr>
        <w:t xml:space="preserve"> approval delay. Within fintech, recent developments such as decentralised finance (DeFi) systems are creating new regulatory risks that will need new compliance paradigms, or what </w:t>
      </w:r>
      <w:proofErr w:type="spellStart"/>
      <w:r w:rsidRPr="00AA22F9">
        <w:rPr>
          <w:rFonts w:ascii="Times New Roman" w:hAnsi="Times New Roman" w:cs="Times New Roman"/>
        </w:rPr>
        <w:t>Zetzsche</w:t>
      </w:r>
      <w:proofErr w:type="spellEnd"/>
      <w:r w:rsidRPr="00AA22F9">
        <w:rPr>
          <w:rFonts w:ascii="Times New Roman" w:hAnsi="Times New Roman" w:cs="Times New Roman"/>
        </w:rPr>
        <w:t xml:space="preserve"> et al. (2020) labelled as Basel IV, to manage the volatility of smart contracts and algorithmic risk. Environmental and ethical issues also arise. Chen et al. (2023) and </w:t>
      </w:r>
      <w:proofErr w:type="spellStart"/>
      <w:r w:rsidRPr="00AA22F9">
        <w:rPr>
          <w:rFonts w:ascii="Times New Roman" w:hAnsi="Times New Roman" w:cs="Times New Roman"/>
        </w:rPr>
        <w:t>Kahouli</w:t>
      </w:r>
      <w:proofErr w:type="spellEnd"/>
      <w:r w:rsidRPr="00AA22F9">
        <w:rPr>
          <w:rFonts w:ascii="Times New Roman" w:hAnsi="Times New Roman" w:cs="Times New Roman"/>
        </w:rPr>
        <w:t xml:space="preserve"> et al. (2024) sounded the alarm that AI development in both industries should focus on bias reduction and sustainability concerns, especially when it comes to intense energy consumption during model training. According to George and George (2024), convergence in compliance and ethical governance will be necessary to convince that the innovation will be accountable, inclusive, and relevant to the society.</w:t>
      </w:r>
    </w:p>
    <w:p w14:paraId="522380AB" w14:textId="77777777" w:rsidR="001118A1" w:rsidRPr="00AA22F9" w:rsidRDefault="001118A1" w:rsidP="000C492F">
      <w:pPr>
        <w:pStyle w:val="Heading3"/>
      </w:pPr>
      <w:bookmarkStart w:id="83" w:name="_Toc210260652"/>
      <w:bookmarkStart w:id="84" w:name="_Toc210481161"/>
      <w:r w:rsidRPr="00AA22F9">
        <w:t>2.4.12 Organisational Culture</w:t>
      </w:r>
      <w:bookmarkEnd w:id="83"/>
      <w:bookmarkEnd w:id="84"/>
    </w:p>
    <w:p w14:paraId="370BFE9B" w14:textId="77777777" w:rsidR="001118A1" w:rsidRPr="00AA22F9" w:rsidRDefault="001118A1" w:rsidP="001118A1">
      <w:pPr>
        <w:spacing w:after="0" w:line="480" w:lineRule="auto"/>
        <w:ind w:firstLine="720"/>
        <w:contextualSpacing/>
        <w:rPr>
          <w:rFonts w:ascii="Times New Roman" w:hAnsi="Times New Roman" w:cs="Times New Roman"/>
        </w:rPr>
      </w:pPr>
      <w:r w:rsidRPr="00AA22F9">
        <w:rPr>
          <w:rFonts w:ascii="Times New Roman" w:hAnsi="Times New Roman" w:cs="Times New Roman"/>
        </w:rPr>
        <w:t xml:space="preserve">Chalmers et al. (2025) underscore that organisational culture has a strong influence on how sectors respond to innovation when faced with regulation. Medical organisations tend to be hierarchical and rule-based, with innovation taking a long time to be reviewed and ethically approved (Mauro et al., 2024; Williamson &amp; </w:t>
      </w:r>
      <w:proofErr w:type="spellStart"/>
      <w:r w:rsidRPr="00AA22F9">
        <w:rPr>
          <w:rFonts w:ascii="Times New Roman" w:hAnsi="Times New Roman" w:cs="Times New Roman"/>
        </w:rPr>
        <w:t>Prybutok</w:t>
      </w:r>
      <w:proofErr w:type="spellEnd"/>
      <w:r w:rsidRPr="00AA22F9">
        <w:rPr>
          <w:rFonts w:ascii="Times New Roman" w:hAnsi="Times New Roman" w:cs="Times New Roman"/>
        </w:rPr>
        <w:t xml:space="preserve">, 2024). This arrangement restricts agility yet emphasises patient safety. Conversely, fintech companies frequently thrive in nimble, risk-accepting cultures that allow experimentation and shift directions quickly in response to user input (Saiyed, 2025; </w:t>
      </w:r>
      <w:proofErr w:type="spellStart"/>
      <w:r w:rsidRPr="00AA22F9">
        <w:rPr>
          <w:rFonts w:ascii="Times New Roman" w:hAnsi="Times New Roman" w:cs="Times New Roman"/>
        </w:rPr>
        <w:t>Ramrakhyani</w:t>
      </w:r>
      <w:proofErr w:type="spellEnd"/>
      <w:r w:rsidRPr="00AA22F9">
        <w:rPr>
          <w:rFonts w:ascii="Times New Roman" w:hAnsi="Times New Roman" w:cs="Times New Roman"/>
        </w:rPr>
        <w:t xml:space="preserve"> &amp; Shrivastava, 2024). As highlighted by Shayah and </w:t>
      </w:r>
      <w:proofErr w:type="spellStart"/>
      <w:r w:rsidRPr="00AA22F9">
        <w:rPr>
          <w:rFonts w:ascii="Times New Roman" w:hAnsi="Times New Roman" w:cs="Times New Roman"/>
        </w:rPr>
        <w:t>Zehou</w:t>
      </w:r>
      <w:proofErr w:type="spellEnd"/>
      <w:r w:rsidRPr="00AA22F9">
        <w:rPr>
          <w:rFonts w:ascii="Times New Roman" w:hAnsi="Times New Roman" w:cs="Times New Roman"/>
        </w:rPr>
        <w:t xml:space="preserve"> (2019), innovative organisational cultures are associated with decentralisation, collaborative structure, and tolerance to failure, which are more inherent to fintech ecosystems than to health institutions. Fascia et al. (2023) pointed out that in the healthcare context, top-down leadership is used to set the innovation agendas, whereas fintech tends to use the cross-functional, bottom-up ideation. Due to this, the speed and form of innovation in every sector are not merely regulatory artefacts but are profoundly cultural, influenced by values, incentives, and norms of internal governance.</w:t>
      </w:r>
    </w:p>
    <w:p w14:paraId="62335C05" w14:textId="77777777" w:rsidR="001118A1" w:rsidRPr="00AA22F9" w:rsidRDefault="001118A1" w:rsidP="000C492F">
      <w:pPr>
        <w:pStyle w:val="Heading3"/>
      </w:pPr>
      <w:bookmarkStart w:id="85" w:name="_Toc210260653"/>
      <w:bookmarkStart w:id="86" w:name="_Toc210481162"/>
      <w:r w:rsidRPr="00AA22F9">
        <w:t xml:space="preserve">2.4.13 </w:t>
      </w:r>
      <w:proofErr w:type="spellStart"/>
      <w:r w:rsidRPr="00AA22F9">
        <w:t>Healthtech</w:t>
      </w:r>
      <w:proofErr w:type="spellEnd"/>
      <w:r w:rsidRPr="00AA22F9">
        <w:t>–Fintech Synergy</w:t>
      </w:r>
      <w:bookmarkEnd w:id="85"/>
      <w:bookmarkEnd w:id="86"/>
    </w:p>
    <w:p w14:paraId="675E123E" w14:textId="77777777" w:rsidR="001118A1" w:rsidRPr="00AA22F9" w:rsidRDefault="001118A1" w:rsidP="001118A1">
      <w:pPr>
        <w:spacing w:after="0" w:line="480" w:lineRule="auto"/>
        <w:ind w:firstLine="720"/>
        <w:contextualSpacing/>
        <w:rPr>
          <w:rFonts w:ascii="Times New Roman" w:hAnsi="Times New Roman" w:cs="Times New Roman"/>
        </w:rPr>
      </w:pPr>
      <w:r w:rsidRPr="00AA22F9">
        <w:rPr>
          <w:rFonts w:ascii="Times New Roman" w:hAnsi="Times New Roman" w:cs="Times New Roman"/>
        </w:rPr>
        <w:t xml:space="preserve">The prevailing policy discourse remains trapped in sectoral silos, overlooking the transformative potential of cross-sector regulatory learning. Where Kaplan (2023) rightly concurs </w:t>
      </w:r>
      <w:r w:rsidRPr="00AA22F9">
        <w:rPr>
          <w:rFonts w:ascii="Times New Roman" w:hAnsi="Times New Roman" w:cs="Times New Roman"/>
        </w:rPr>
        <w:lastRenderedPageBreak/>
        <w:t>that bridging these divides is necessary, often the literature suggests simplistic transplants, such as the creation of fintech-style sandboxes in health care (Leckenby et al., 2021) or healthcare-style precautionary principles in financial services (Amaral et al., 2024), without resolving the underlying philosophical conflicts. This paper contends that successful policy innovation needs to be a more balanced, multi-faceted approach. The fundamental product of the study is a configurational policy framework, which transcends dichotomous decisions. An example of how a phased AI diagnostics sandbox can cover the healthcare sector with tight safety goals (Lottes et al., 2022) and how finance with its iterative feedback mechanisms (Ringe &amp; Ruof, 2020) can be used will be shown. This framework will allow policymakers to engineer a system of adaptive governance tailored to the particular risk profile of the innovation and not just borrowed but rationally designed to match the pace of finance with the risk of healthcare, thus putting the bracket changing the speed of finance into the bracket that is the safety of healthcare.</w:t>
      </w:r>
    </w:p>
    <w:p w14:paraId="1EEEB9FB" w14:textId="77777777" w:rsidR="001118A1" w:rsidRPr="00AA22F9" w:rsidRDefault="001118A1" w:rsidP="000C492F">
      <w:pPr>
        <w:pStyle w:val="Heading3"/>
      </w:pPr>
      <w:bookmarkStart w:id="87" w:name="_Toc210260654"/>
      <w:bookmarkStart w:id="88" w:name="_Toc210481163"/>
      <w:r w:rsidRPr="00AA22F9">
        <w:t>2.4.14 Algorithmic Fairness</w:t>
      </w:r>
      <w:bookmarkEnd w:id="87"/>
      <w:bookmarkEnd w:id="88"/>
    </w:p>
    <w:p w14:paraId="47618369" w14:textId="77777777" w:rsidR="001118A1" w:rsidRPr="00AA22F9" w:rsidRDefault="001118A1" w:rsidP="001118A1">
      <w:pPr>
        <w:spacing w:after="0" w:line="480" w:lineRule="auto"/>
        <w:ind w:firstLine="720"/>
        <w:contextualSpacing/>
        <w:rPr>
          <w:rFonts w:ascii="Times New Roman" w:hAnsi="Times New Roman" w:cs="Times New Roman"/>
        </w:rPr>
      </w:pPr>
      <w:r w:rsidRPr="00AA22F9">
        <w:rPr>
          <w:rFonts w:ascii="Times New Roman" w:hAnsi="Times New Roman" w:cs="Times New Roman"/>
        </w:rPr>
        <w:t xml:space="preserve">The pursuit of algorithmic fairness demonstrates an underlying division in the way industries conceptualise harm that requires more than a universal technical fix. Bias in healthcare directly risks patient harm and potentially contributes to life-altering health inequities and requires strict pre-deployment audits and high model interpretability to uphold clinical responsibility (Williamson and </w:t>
      </w:r>
      <w:proofErr w:type="spellStart"/>
      <w:r w:rsidRPr="00AA22F9">
        <w:rPr>
          <w:rFonts w:ascii="Times New Roman" w:hAnsi="Times New Roman" w:cs="Times New Roman"/>
        </w:rPr>
        <w:t>Prybutok</w:t>
      </w:r>
      <w:proofErr w:type="spellEnd"/>
      <w:r w:rsidRPr="00AA22F9">
        <w:rPr>
          <w:rFonts w:ascii="Times New Roman" w:hAnsi="Times New Roman" w:cs="Times New Roman"/>
        </w:rPr>
        <w:t xml:space="preserve">, 2024; Chen et al., 2023). In the context of finance, systemic bias is largely in the form of economic injustice (discriminatory credit denials or biased pricing) in which the acceptance of algorithmic obscurity is greater provided that statistical performance and regulatory requirements are fulfilled (Yaseen et al., 2025; Pfeiffer et al., 2023). This splitting implies that it is not sufficient to merely transfer fairness instruments among fields. As such, one of the most important deliverables of the research is the formulation of a sector-contextualised fairness framework. This analysis will yield a diagnostic matrix underwriting the distinctions in paralleling tackling risk models and accountability systems, such that the choice of bias-reduction strategies, whether the finance scalable post-hoc audit of some healthcare administrative operations or the </w:t>
      </w:r>
      <w:r w:rsidRPr="00AA22F9">
        <w:rPr>
          <w:rFonts w:ascii="Times New Roman" w:hAnsi="Times New Roman" w:cs="Times New Roman"/>
        </w:rPr>
        <w:lastRenderedPageBreak/>
        <w:t>healthcare rigorousness of pre-emptive validation of high-impact financial algorithms, due to fairness, is not only technically appropriate but also has moral significance.</w:t>
      </w:r>
    </w:p>
    <w:p w14:paraId="02FB39F3" w14:textId="77777777" w:rsidR="001118A1" w:rsidRPr="00AA22F9" w:rsidRDefault="001118A1" w:rsidP="000C492F">
      <w:pPr>
        <w:pStyle w:val="Heading3"/>
      </w:pPr>
      <w:bookmarkStart w:id="89" w:name="_Toc210260655"/>
      <w:bookmarkStart w:id="90" w:name="_Toc210481164"/>
      <w:r w:rsidRPr="00AA22F9">
        <w:t>2.4.15 Regulatory Harmonisation</w:t>
      </w:r>
      <w:bookmarkEnd w:id="89"/>
      <w:bookmarkEnd w:id="90"/>
    </w:p>
    <w:p w14:paraId="7AEADAD8" w14:textId="77777777" w:rsidR="001118A1" w:rsidRPr="00AA22F9" w:rsidRDefault="001118A1" w:rsidP="001118A1">
      <w:pPr>
        <w:spacing w:after="0" w:line="480" w:lineRule="auto"/>
        <w:ind w:firstLine="720"/>
        <w:contextualSpacing/>
        <w:rPr>
          <w:rFonts w:ascii="Times New Roman" w:hAnsi="Times New Roman" w:cs="Times New Roman"/>
        </w:rPr>
      </w:pPr>
      <w:r w:rsidRPr="00AA22F9">
        <w:rPr>
          <w:rFonts w:ascii="Times New Roman" w:hAnsi="Times New Roman" w:cs="Times New Roman"/>
        </w:rPr>
        <w:t xml:space="preserve">Reddy (2024) argues that regulatory harmonisation across the globe continues to present a considerable hindrance to innovation, particularly with the emergence of technologies such as AI that are erasing conventional boundaries between industries, including healthcare and finance. As evidenced by the incompatibility of FDA medical device strict pathways with the flexible fintech sandbox regimes, </w:t>
      </w:r>
      <w:proofErr w:type="spellStart"/>
      <w:r w:rsidRPr="00AA22F9">
        <w:rPr>
          <w:rFonts w:ascii="Times New Roman" w:hAnsi="Times New Roman" w:cs="Times New Roman"/>
        </w:rPr>
        <w:t>Rajpuriya</w:t>
      </w:r>
      <w:proofErr w:type="spellEnd"/>
      <w:r w:rsidRPr="00AA22F9">
        <w:rPr>
          <w:rFonts w:ascii="Times New Roman" w:hAnsi="Times New Roman" w:cs="Times New Roman"/>
        </w:rPr>
        <w:t xml:space="preserve"> (2025) contended that the lack of coordination is brought about by siloed approval systems. Fintech has also enhanced the standardisation of APIs to speed up interoperability, but healthcare is yet to be fragmented by national differences in privacy and clinical safety regulations (Wu et al., 2024; Kaplan, 2023). This fragmentation hinders multi-sector integration and </w:t>
      </w:r>
      <w:proofErr w:type="gramStart"/>
      <w:r w:rsidRPr="00AA22F9">
        <w:rPr>
          <w:rFonts w:ascii="Times New Roman" w:hAnsi="Times New Roman" w:cs="Times New Roman"/>
        </w:rPr>
        <w:t>subjects</w:t>
      </w:r>
      <w:proofErr w:type="gramEnd"/>
      <w:r w:rsidRPr="00AA22F9">
        <w:rPr>
          <w:rFonts w:ascii="Times New Roman" w:hAnsi="Times New Roman" w:cs="Times New Roman"/>
        </w:rPr>
        <w:t xml:space="preserve"> users to unequal protections. According to Devkumar Darshan </w:t>
      </w:r>
      <w:proofErr w:type="spellStart"/>
      <w:r w:rsidRPr="00AA22F9">
        <w:rPr>
          <w:rFonts w:ascii="Times New Roman" w:hAnsi="Times New Roman" w:cs="Times New Roman"/>
        </w:rPr>
        <w:t>Rajpuriya</w:t>
      </w:r>
      <w:proofErr w:type="spellEnd"/>
      <w:r w:rsidRPr="00AA22F9">
        <w:rPr>
          <w:rFonts w:ascii="Times New Roman" w:hAnsi="Times New Roman" w:cs="Times New Roman"/>
        </w:rPr>
        <w:t xml:space="preserve"> (2025), the future growth will be conditional upon the integration of common regulatory principles, including consent, auditability and risk calibration, into </w:t>
      </w:r>
      <w:proofErr w:type="spellStart"/>
      <w:r w:rsidRPr="00AA22F9">
        <w:rPr>
          <w:rFonts w:ascii="Times New Roman" w:hAnsi="Times New Roman" w:cs="Times New Roman"/>
        </w:rPr>
        <w:t>healthtech</w:t>
      </w:r>
      <w:proofErr w:type="spellEnd"/>
      <w:r w:rsidRPr="00AA22F9">
        <w:rPr>
          <w:rFonts w:ascii="Times New Roman" w:hAnsi="Times New Roman" w:cs="Times New Roman"/>
        </w:rPr>
        <w:t xml:space="preserve"> and fintech regulation. In the absence of strategic alignment, cross-border platforms will continue to be hampered, and thus they cannot achieve a lot in terms of safe, scalable, and equitable innovation.</w:t>
      </w:r>
    </w:p>
    <w:p w14:paraId="1EDA79D3" w14:textId="77777777" w:rsidR="001118A1" w:rsidRPr="00AA22F9" w:rsidRDefault="001118A1" w:rsidP="000C492F">
      <w:pPr>
        <w:pStyle w:val="Heading3"/>
      </w:pPr>
      <w:bookmarkStart w:id="91" w:name="_Toc210260656"/>
      <w:bookmarkStart w:id="92" w:name="_Toc210481165"/>
      <w:r w:rsidRPr="00AA22F9">
        <w:t>2.4.16 Adaptive Trials vs. Regulatory Sandboxes</w:t>
      </w:r>
      <w:bookmarkEnd w:id="91"/>
      <w:bookmarkEnd w:id="92"/>
    </w:p>
    <w:p w14:paraId="3E8046AE" w14:textId="77777777" w:rsidR="001118A1" w:rsidRPr="00AA22F9" w:rsidRDefault="001118A1" w:rsidP="001118A1">
      <w:pPr>
        <w:spacing w:after="0" w:line="480" w:lineRule="auto"/>
        <w:ind w:firstLine="720"/>
        <w:contextualSpacing/>
        <w:rPr>
          <w:rFonts w:ascii="Times New Roman" w:hAnsi="Times New Roman" w:cs="Times New Roman"/>
        </w:rPr>
      </w:pPr>
      <w:r w:rsidRPr="00AA22F9">
        <w:rPr>
          <w:rFonts w:ascii="Times New Roman" w:hAnsi="Times New Roman" w:cs="Times New Roman"/>
        </w:rPr>
        <w:t xml:space="preserve">Critical analysis demonstrates that adaptive trials and regulatory sandboxes are not technical solutions but expressions of the logics of their sectors. Adaptive clinical trials (Lottes et al., 2022; Leckenby et al., 2021) are structured to support validated learning in a closed, ethically constrained system, with protocol adjustments that do not alter scientific rigour. On the contrary, regulatory sandboxes (Ringe and Ruof, 2020; Aydin and Yardimci, 2024) allow market learning with real-life trial and error and regulatory forbearance. The intellectual concentration upon their divergences, however, conceals a crucial synthesis possibility. Thus, one of the most important deliverables in this study will be to deconstruct the causal configurations that enable each tool to succeed in its home country. This will inform the design of a hybrid "validation sandbox", a new model of </w:t>
      </w:r>
      <w:r w:rsidRPr="00AA22F9">
        <w:rPr>
          <w:rFonts w:ascii="Times New Roman" w:hAnsi="Times New Roman" w:cs="Times New Roman"/>
        </w:rPr>
        <w:lastRenderedPageBreak/>
        <w:t>governance advocated by this work that integrates the real-world testing environment of finance and the structured, safety-friendly nature of adaptive tests to establish a controlled but adaptable channel of validating high-stakes technologies in both domains, including AI.</w:t>
      </w:r>
    </w:p>
    <w:p w14:paraId="5A244F6F" w14:textId="77777777" w:rsidR="001118A1" w:rsidRPr="00AA22F9" w:rsidRDefault="001118A1" w:rsidP="000C492F">
      <w:pPr>
        <w:pStyle w:val="Heading3"/>
      </w:pPr>
      <w:bookmarkStart w:id="93" w:name="_Toc210260657"/>
      <w:bookmarkStart w:id="94" w:name="_Toc210481166"/>
      <w:r w:rsidRPr="00AA22F9">
        <w:t>2.4.17 Decentralised Systems: From DeFi to Distributed EHRs</w:t>
      </w:r>
      <w:bookmarkEnd w:id="93"/>
      <w:bookmarkEnd w:id="94"/>
    </w:p>
    <w:p w14:paraId="3E084771" w14:textId="77777777" w:rsidR="001118A1" w:rsidRPr="00AA22F9" w:rsidRDefault="001118A1" w:rsidP="001118A1">
      <w:pPr>
        <w:spacing w:after="0" w:line="480" w:lineRule="auto"/>
        <w:ind w:firstLine="720"/>
        <w:contextualSpacing/>
        <w:rPr>
          <w:rFonts w:ascii="Times New Roman" w:hAnsi="Times New Roman" w:cs="Times New Roman"/>
        </w:rPr>
      </w:pPr>
      <w:r w:rsidRPr="00AA22F9">
        <w:rPr>
          <w:rFonts w:ascii="Times New Roman" w:hAnsi="Times New Roman" w:cs="Times New Roman"/>
        </w:rPr>
        <w:t>The trend of decentralisation is transforming the finance and healthcare sectors' control structures, however, using different models and driven by different motives. In finance, decentralised finance (DeFi) systems remove intermediaries through smart contracts to allow peer-to-peer lending, asset swaps, and automated investing without banks (</w:t>
      </w:r>
      <w:proofErr w:type="spellStart"/>
      <w:r w:rsidRPr="00AA22F9">
        <w:rPr>
          <w:rFonts w:ascii="Times New Roman" w:hAnsi="Times New Roman" w:cs="Times New Roman"/>
        </w:rPr>
        <w:t>Zetzsche</w:t>
      </w:r>
      <w:proofErr w:type="spellEnd"/>
      <w:r w:rsidRPr="00AA22F9">
        <w:rPr>
          <w:rFonts w:ascii="Times New Roman" w:hAnsi="Times New Roman" w:cs="Times New Roman"/>
        </w:rPr>
        <w:t xml:space="preserve"> et al., 2020). This replaces institutional trust with code; however, it creates other classes of risk, such as protocol exploits and regulatory blind spots. The analogous trend in healthcare is the creation of distributed Electronic Health Records (EHRs), in which patient records are stored in a decentralised fashion, on interoperable nodes, typically with blockchain at the base to guarantee tamper-resistance and auditability (</w:t>
      </w:r>
      <w:proofErr w:type="spellStart"/>
      <w:r w:rsidRPr="00AA22F9">
        <w:rPr>
          <w:rFonts w:ascii="Times New Roman" w:hAnsi="Times New Roman" w:cs="Times New Roman"/>
        </w:rPr>
        <w:t>Kasralikar</w:t>
      </w:r>
      <w:proofErr w:type="spellEnd"/>
      <w:r w:rsidRPr="00AA22F9">
        <w:rPr>
          <w:rFonts w:ascii="Times New Roman" w:hAnsi="Times New Roman" w:cs="Times New Roman"/>
        </w:rPr>
        <w:t xml:space="preserve"> et al., 2025; Bathula et al., 2024). Although DeFi values disintermediation in the name of speed and transparency, distributed health systems value resilience, security, and access control. They both bypass conventional gatekeepers, but sturdy governance models are needed. Finally, decentralisation provides independence and scalability but poses problems to legal systems that expect centralised accountability and single regulatory oversight.</w:t>
      </w:r>
    </w:p>
    <w:p w14:paraId="5EA98607" w14:textId="77777777" w:rsidR="001118A1" w:rsidRPr="00AA22F9" w:rsidRDefault="001118A1" w:rsidP="000C492F">
      <w:pPr>
        <w:pStyle w:val="Heading3"/>
      </w:pPr>
      <w:bookmarkStart w:id="95" w:name="_Toc210260658"/>
      <w:bookmarkStart w:id="96" w:name="_Toc210481167"/>
      <w:r w:rsidRPr="00AA22F9">
        <w:t>2.4.18 Human-in-the-Loop (HITL) Governance Models</w:t>
      </w:r>
      <w:bookmarkEnd w:id="95"/>
      <w:bookmarkEnd w:id="96"/>
    </w:p>
    <w:p w14:paraId="28879B6D" w14:textId="77777777" w:rsidR="001118A1" w:rsidRPr="00AA22F9" w:rsidRDefault="001118A1" w:rsidP="001118A1">
      <w:pPr>
        <w:spacing w:after="0" w:line="480" w:lineRule="auto"/>
        <w:ind w:firstLine="720"/>
        <w:contextualSpacing/>
        <w:rPr>
          <w:rFonts w:ascii="Times New Roman" w:hAnsi="Times New Roman" w:cs="Times New Roman"/>
        </w:rPr>
      </w:pPr>
      <w:r w:rsidRPr="00AA22F9">
        <w:rPr>
          <w:rFonts w:ascii="Times New Roman" w:hAnsi="Times New Roman" w:cs="Times New Roman"/>
        </w:rPr>
        <w:t xml:space="preserve">Williamson and </w:t>
      </w:r>
      <w:proofErr w:type="spellStart"/>
      <w:r w:rsidRPr="00AA22F9">
        <w:rPr>
          <w:rFonts w:ascii="Times New Roman" w:hAnsi="Times New Roman" w:cs="Times New Roman"/>
        </w:rPr>
        <w:t>Prybutok</w:t>
      </w:r>
      <w:proofErr w:type="spellEnd"/>
      <w:r w:rsidRPr="00AA22F9">
        <w:rPr>
          <w:rFonts w:ascii="Times New Roman" w:hAnsi="Times New Roman" w:cs="Times New Roman"/>
        </w:rPr>
        <w:t xml:space="preserve"> (2024) observe that Human-in-the-Loop (HITL) governance is essential to healthcare to ensure that AI-generated diagnostic or treatment suggestions are reviewed clinically before adoption. Ferrara (2023) followed up on this by observing that HITL protects patients against the dangers of opaque algorithmic decisions in high-stakes settings, such as emergency care or oncology. Conversely, Yaseen and Al-</w:t>
      </w:r>
      <w:proofErr w:type="spellStart"/>
      <w:r w:rsidRPr="00AA22F9">
        <w:rPr>
          <w:rFonts w:ascii="Times New Roman" w:hAnsi="Times New Roman" w:cs="Times New Roman"/>
        </w:rPr>
        <w:t>Amarneh</w:t>
      </w:r>
      <w:proofErr w:type="spellEnd"/>
      <w:r w:rsidRPr="00AA22F9">
        <w:rPr>
          <w:rFonts w:ascii="Times New Roman" w:hAnsi="Times New Roman" w:cs="Times New Roman"/>
        </w:rPr>
        <w:t xml:space="preserve"> (2025) described that in the financial domain, HITL is usually kept as a backup to verify flagged transactions or credit actions, in which case a human analyst may veto an automated result. HITL in healthcare is considered a necessity to assure ethical and clinical responsibility, whereas finance uses it in a more liberal </w:t>
      </w:r>
      <w:r w:rsidRPr="00AA22F9">
        <w:rPr>
          <w:rFonts w:ascii="Times New Roman" w:hAnsi="Times New Roman" w:cs="Times New Roman"/>
        </w:rPr>
        <w:lastRenderedPageBreak/>
        <w:t>manner, trading between effectiveness and regulatory requirements. In both industries, HITL promotes trust, decreases bias, and increases legal defensibility. Nonetheless, its incorporation reduces the speed of responses in a system. The remaining question is how to adjust human supervision without reducing the AI advantage of operations in real time and data-intensive decision systems.</w:t>
      </w:r>
    </w:p>
    <w:p w14:paraId="7562791D" w14:textId="77777777" w:rsidR="001118A1" w:rsidRPr="00AA22F9" w:rsidRDefault="001118A1" w:rsidP="000C492F">
      <w:pPr>
        <w:pStyle w:val="Heading3"/>
      </w:pPr>
      <w:bookmarkStart w:id="97" w:name="_Toc210260659"/>
      <w:bookmarkStart w:id="98" w:name="_Toc210481168"/>
      <w:r w:rsidRPr="00AA22F9">
        <w:t>2.4.19 Sustainability and Green Innovation in Tech Infrastructure</w:t>
      </w:r>
      <w:bookmarkEnd w:id="97"/>
      <w:bookmarkEnd w:id="98"/>
    </w:p>
    <w:p w14:paraId="5DCD498A" w14:textId="77777777" w:rsidR="001118A1" w:rsidRPr="00AA22F9" w:rsidRDefault="001118A1" w:rsidP="001118A1">
      <w:pPr>
        <w:spacing w:after="0" w:line="480" w:lineRule="auto"/>
        <w:ind w:firstLine="720"/>
        <w:contextualSpacing/>
        <w:rPr>
          <w:rFonts w:ascii="Times New Roman" w:hAnsi="Times New Roman" w:cs="Times New Roman"/>
        </w:rPr>
      </w:pPr>
      <w:r w:rsidRPr="00AA22F9">
        <w:rPr>
          <w:rFonts w:ascii="Times New Roman" w:hAnsi="Times New Roman" w:cs="Times New Roman"/>
        </w:rPr>
        <w:t>Chen et al. (2023) note that the increasing energy requirements of algorithmic models, especially during training in AI, are becoming a serious environmental concern. Healthcare Large-scale data processing to train diagnostic AI and imaging systems requires immense compute resources, which prompted the question of the ecological impact of life-saving innovation. Blockchain and high-frequency trading algorithms used in financial services are also contributing to increasing carbon emissions, especially proof-of-work models and the use of data centres (</w:t>
      </w:r>
      <w:proofErr w:type="spellStart"/>
      <w:r w:rsidRPr="00AA22F9">
        <w:rPr>
          <w:rFonts w:ascii="Times New Roman" w:hAnsi="Times New Roman" w:cs="Times New Roman"/>
        </w:rPr>
        <w:t>Kahouli</w:t>
      </w:r>
      <w:proofErr w:type="spellEnd"/>
      <w:r w:rsidRPr="00AA22F9">
        <w:rPr>
          <w:rFonts w:ascii="Times New Roman" w:hAnsi="Times New Roman" w:cs="Times New Roman"/>
        </w:rPr>
        <w:t xml:space="preserve"> et al., 2024). Although the two sectors differ in terms of their missions, they have a common role of ensuring that their digital transformation initiatives incorporate green innovation strategies. They involve maximising code efficiency, transitioning to infrastructure powered by renewables, and the application of sustainability metrics to digital architecture. ESG policies are becoming sector-specific, and there are few coordinated sustainability benchmarks. The development of low-impact innovation ecosystems needs cross-sector alignment, whereby the decrease in carbon production and algorithmic energy expenses become central innovation KPIs (as opposed to marginal compliance benchmarks).</w:t>
      </w:r>
    </w:p>
    <w:p w14:paraId="278B24A7" w14:textId="77777777" w:rsidR="001118A1" w:rsidRPr="00AA22F9" w:rsidRDefault="001118A1" w:rsidP="000C492F">
      <w:pPr>
        <w:pStyle w:val="Heading3"/>
      </w:pPr>
      <w:bookmarkStart w:id="99" w:name="_Toc210260660"/>
      <w:bookmarkStart w:id="100" w:name="_Toc210481169"/>
      <w:r w:rsidRPr="00AA22F9">
        <w:t xml:space="preserve">2.4.20 </w:t>
      </w:r>
      <w:proofErr w:type="spellStart"/>
      <w:r w:rsidRPr="00AA22F9">
        <w:t>Platformisation</w:t>
      </w:r>
      <w:proofErr w:type="spellEnd"/>
      <w:r w:rsidRPr="00AA22F9">
        <w:t xml:space="preserve"> of Services</w:t>
      </w:r>
      <w:bookmarkEnd w:id="99"/>
      <w:bookmarkEnd w:id="100"/>
    </w:p>
    <w:p w14:paraId="2009D544" w14:textId="77777777" w:rsidR="001118A1" w:rsidRPr="00AA22F9" w:rsidRDefault="001118A1" w:rsidP="001118A1">
      <w:pPr>
        <w:spacing w:after="0" w:line="480" w:lineRule="auto"/>
        <w:ind w:firstLine="720"/>
        <w:contextualSpacing/>
        <w:rPr>
          <w:rFonts w:ascii="Times New Roman" w:hAnsi="Times New Roman" w:cs="Times New Roman"/>
        </w:rPr>
      </w:pPr>
      <w:r w:rsidRPr="00AA22F9">
        <w:rPr>
          <w:rFonts w:ascii="Times New Roman" w:hAnsi="Times New Roman" w:cs="Times New Roman"/>
        </w:rPr>
        <w:t xml:space="preserve">The </w:t>
      </w:r>
      <w:proofErr w:type="spellStart"/>
      <w:r w:rsidRPr="00AA22F9">
        <w:rPr>
          <w:rFonts w:ascii="Times New Roman" w:hAnsi="Times New Roman" w:cs="Times New Roman"/>
        </w:rPr>
        <w:t>platformisation</w:t>
      </w:r>
      <w:proofErr w:type="spellEnd"/>
      <w:r w:rsidRPr="00AA22F9">
        <w:rPr>
          <w:rFonts w:ascii="Times New Roman" w:hAnsi="Times New Roman" w:cs="Times New Roman"/>
        </w:rPr>
        <w:t xml:space="preserve"> of services is a structural change to API-orientated, modular ecosystems but is limited to sector-specific legacy systems and regulatory mindsets. Within the finance sector, PSD2 has been actively involved in shaping an open banking platform ecosystem that requires interoperability and creates a competitive market environment of third-party fintech services (Saiyed, 2025). The transition of healthcare to </w:t>
      </w:r>
      <w:proofErr w:type="spellStart"/>
      <w:r w:rsidRPr="00AA22F9">
        <w:rPr>
          <w:rFonts w:ascii="Times New Roman" w:hAnsi="Times New Roman" w:cs="Times New Roman"/>
        </w:rPr>
        <w:t>platformisation</w:t>
      </w:r>
      <w:proofErr w:type="spellEnd"/>
      <w:r w:rsidRPr="00AA22F9">
        <w:rPr>
          <w:rFonts w:ascii="Times New Roman" w:hAnsi="Times New Roman" w:cs="Times New Roman"/>
        </w:rPr>
        <w:t xml:space="preserve"> is less institutionalised and more </w:t>
      </w:r>
      <w:r w:rsidRPr="00AA22F9">
        <w:rPr>
          <w:rFonts w:ascii="Times New Roman" w:hAnsi="Times New Roman" w:cs="Times New Roman"/>
        </w:rPr>
        <w:lastRenderedPageBreak/>
        <w:t xml:space="preserve">fractured, burdened by proprietary EHR silos, tough privacy regulations, and an absence of common API standards, limiting the seamless integration observed in finance (Shukla et al., 2025). This asymmetry is not only technical but also strategic: in this way, the regulation of one sector facilitates the establishment of the platforms, and the regulation of the other sector unintentionally suppresses them. One of the important outputs of this study is the examination of the causal terms that support </w:t>
      </w:r>
      <w:proofErr w:type="spellStart"/>
      <w:r w:rsidRPr="00AA22F9">
        <w:rPr>
          <w:rFonts w:ascii="Times New Roman" w:hAnsi="Times New Roman" w:cs="Times New Roman"/>
        </w:rPr>
        <w:t>platformisation</w:t>
      </w:r>
      <w:proofErr w:type="spellEnd"/>
      <w:r w:rsidRPr="00AA22F9">
        <w:rPr>
          <w:rFonts w:ascii="Times New Roman" w:hAnsi="Times New Roman" w:cs="Times New Roman"/>
        </w:rPr>
        <w:t xml:space="preserve"> in regulatory conditions. The result is a strategic roadmap to compliant interoperability, in which healthcare facilities will have a clear roadmap to leverage platform economies by refining the API standard and governance models that have been proven in finance, but with careful integration of the non-negotiable data protection principles in HIPAA to present trust at scale.</w:t>
      </w:r>
    </w:p>
    <w:p w14:paraId="344746D4" w14:textId="77777777" w:rsidR="001118A1" w:rsidRPr="00AA22F9" w:rsidRDefault="001118A1" w:rsidP="000C492F">
      <w:pPr>
        <w:pStyle w:val="Heading3"/>
      </w:pPr>
      <w:bookmarkStart w:id="101" w:name="_Toc210260661"/>
      <w:bookmarkStart w:id="102" w:name="_Toc210481170"/>
      <w:r w:rsidRPr="00AA22F9">
        <w:t>2.4.21 Multi-Stakeholder Collaboration and Ecosystem Innovation</w:t>
      </w:r>
      <w:bookmarkEnd w:id="101"/>
      <w:bookmarkEnd w:id="102"/>
    </w:p>
    <w:p w14:paraId="2D75048A" w14:textId="77777777" w:rsidR="001118A1" w:rsidRPr="00AA22F9" w:rsidRDefault="001118A1" w:rsidP="001118A1">
      <w:pPr>
        <w:spacing w:after="0" w:line="480" w:lineRule="auto"/>
        <w:ind w:firstLine="720"/>
        <w:contextualSpacing/>
        <w:rPr>
          <w:rFonts w:ascii="Times New Roman" w:hAnsi="Times New Roman" w:cs="Times New Roman"/>
        </w:rPr>
      </w:pPr>
      <w:r w:rsidRPr="00AA22F9">
        <w:rPr>
          <w:rFonts w:ascii="Times New Roman" w:hAnsi="Times New Roman" w:cs="Times New Roman"/>
        </w:rPr>
        <w:t xml:space="preserve">In accordance with the developing literature, multi-stakeholder partnership is critical to the progress of innovation within regulated fields that are sophisticated. Public-private partnerships in healthcare are also used to promote innovation, combining academic research, clinical knowledge, and venture capital, such as in collaborative networks to develop vaccines, digital health applications, and AI-based diagnostics (Amaral et al., 2024). Finance also enjoys the benefits of consortiums such as SWIFT or open banking alliances that co-regulatory innovation ecosystems with regulators, incumbents, and startups (Ringe &amp; Ruof, 2020). As much as collaboration makes innovation faster, it also brings coordination problems along – conflicting priorities, asymmetrical risk-taking appetites, and data governance conflicts. Shared vision, shared accountability, and aligned incentives are the keys to ecosystem innovation flourishing. Standard ethical principles and interoperable compliance frameworks are essential in cross-sector settings. Whether sandbox coalitions, </w:t>
      </w:r>
      <w:proofErr w:type="spellStart"/>
      <w:r w:rsidRPr="00AA22F9">
        <w:rPr>
          <w:rFonts w:ascii="Times New Roman" w:hAnsi="Times New Roman" w:cs="Times New Roman"/>
        </w:rPr>
        <w:t>healthtech</w:t>
      </w:r>
      <w:proofErr w:type="spellEnd"/>
      <w:r w:rsidRPr="00AA22F9">
        <w:rPr>
          <w:rFonts w:ascii="Times New Roman" w:hAnsi="Times New Roman" w:cs="Times New Roman"/>
        </w:rPr>
        <w:t>-fintech incubators or just ecosystems, the future is not in silos but rather in ecosystems where innovation is collaboratively envisioned, governed responsibly and scaled with a stakeholder legitimacy that is broad-based.</w:t>
      </w:r>
    </w:p>
    <w:p w14:paraId="7D3BED95" w14:textId="77777777" w:rsidR="001118A1" w:rsidRPr="00AA22F9" w:rsidRDefault="001118A1" w:rsidP="000C492F">
      <w:pPr>
        <w:pStyle w:val="Heading3"/>
      </w:pPr>
      <w:bookmarkStart w:id="103" w:name="_Toc210260662"/>
      <w:bookmarkStart w:id="104" w:name="_Toc210481171"/>
      <w:r w:rsidRPr="00AA22F9">
        <w:lastRenderedPageBreak/>
        <w:t>2.4.22 Legal Liability and Accountability in AI Decisions</w:t>
      </w:r>
      <w:bookmarkEnd w:id="103"/>
      <w:bookmarkEnd w:id="104"/>
    </w:p>
    <w:p w14:paraId="7F1669F5" w14:textId="77777777" w:rsidR="001118A1" w:rsidRPr="00AA22F9" w:rsidRDefault="001118A1" w:rsidP="001118A1">
      <w:pPr>
        <w:spacing w:after="0" w:line="480" w:lineRule="auto"/>
        <w:ind w:firstLine="720"/>
        <w:contextualSpacing/>
        <w:rPr>
          <w:rFonts w:ascii="Times New Roman" w:hAnsi="Times New Roman" w:cs="Times New Roman"/>
        </w:rPr>
      </w:pPr>
      <w:r w:rsidRPr="00AA22F9">
        <w:rPr>
          <w:rFonts w:ascii="Times New Roman" w:hAnsi="Times New Roman" w:cs="Times New Roman"/>
        </w:rPr>
        <w:t xml:space="preserve">The legal liability models of AI choices vary radically between the medical field and the financial sector due to the nature of the potential harm. In the healthcare industry, an incorrect AI diagnosis can cause malpractices and regulatory fines </w:t>
      </w:r>
      <w:proofErr w:type="gramStart"/>
      <w:r w:rsidRPr="00AA22F9">
        <w:rPr>
          <w:rFonts w:ascii="Times New Roman" w:hAnsi="Times New Roman" w:cs="Times New Roman"/>
        </w:rPr>
        <w:t>due to the fact that</w:t>
      </w:r>
      <w:proofErr w:type="gramEnd"/>
      <w:r w:rsidRPr="00AA22F9">
        <w:rPr>
          <w:rFonts w:ascii="Times New Roman" w:hAnsi="Times New Roman" w:cs="Times New Roman"/>
        </w:rPr>
        <w:t xml:space="preserve"> the clinician remains accountable to the highest standards, requiring decision-support systems to adhere to stringent clinical standards </w:t>
      </w:r>
      <w:proofErr w:type="gramStart"/>
      <w:r w:rsidRPr="00AA22F9">
        <w:rPr>
          <w:rFonts w:ascii="Times New Roman" w:hAnsi="Times New Roman" w:cs="Times New Roman"/>
        </w:rPr>
        <w:t>with regard to</w:t>
      </w:r>
      <w:proofErr w:type="gramEnd"/>
      <w:r w:rsidRPr="00AA22F9">
        <w:rPr>
          <w:rFonts w:ascii="Times New Roman" w:hAnsi="Times New Roman" w:cs="Times New Roman"/>
        </w:rPr>
        <w:t xml:space="preserve"> safety and documentation (Williamson and </w:t>
      </w:r>
      <w:proofErr w:type="spellStart"/>
      <w:r w:rsidRPr="00AA22F9">
        <w:rPr>
          <w:rFonts w:ascii="Times New Roman" w:hAnsi="Times New Roman" w:cs="Times New Roman"/>
        </w:rPr>
        <w:t>Prybutok</w:t>
      </w:r>
      <w:proofErr w:type="spellEnd"/>
      <w:r w:rsidRPr="00AA22F9">
        <w:rPr>
          <w:rFonts w:ascii="Times New Roman" w:hAnsi="Times New Roman" w:cs="Times New Roman"/>
        </w:rPr>
        <w:t>, 2024; Ferrara, 2023). Liability in finance is concerned with economic injustice, including inappropriate rejection of credit or algorithmic discrimination, in which case transactional fairness, consumer protection, and recourse are the focus, not physical harm (Yaseen and Al-</w:t>
      </w:r>
      <w:proofErr w:type="spellStart"/>
      <w:r w:rsidRPr="00AA22F9">
        <w:rPr>
          <w:rFonts w:ascii="Times New Roman" w:hAnsi="Times New Roman" w:cs="Times New Roman"/>
        </w:rPr>
        <w:t>Amarneh</w:t>
      </w:r>
      <w:proofErr w:type="spellEnd"/>
      <w:r w:rsidRPr="00AA22F9">
        <w:rPr>
          <w:rFonts w:ascii="Times New Roman" w:hAnsi="Times New Roman" w:cs="Times New Roman"/>
        </w:rPr>
        <w:t>, 2025). As a result, the financial industry is more tolerant of algorithmic mistakes that are nonlethal. This contrast of accountability between the imperative of patient safety and informed consent in healthcare and the principle of transparency and recourse in finance makes the development of clear chains of legal responsibility a critical issue as AI increasingly plays a role in decision-making.</w:t>
      </w:r>
    </w:p>
    <w:p w14:paraId="19EBCD86" w14:textId="77777777" w:rsidR="001118A1" w:rsidRPr="00AA22F9" w:rsidRDefault="001118A1" w:rsidP="000C492F">
      <w:pPr>
        <w:pStyle w:val="Heading3"/>
      </w:pPr>
      <w:bookmarkStart w:id="105" w:name="_Toc210260663"/>
      <w:bookmarkStart w:id="106" w:name="_Toc210481172"/>
      <w:r w:rsidRPr="00AA22F9">
        <w:t>2.4.23 Digital Identity Systems and Verification Protocols</w:t>
      </w:r>
      <w:bookmarkEnd w:id="105"/>
      <w:bookmarkEnd w:id="106"/>
    </w:p>
    <w:p w14:paraId="0638485A" w14:textId="77777777" w:rsidR="001118A1" w:rsidRPr="00AA22F9" w:rsidRDefault="001118A1" w:rsidP="001118A1">
      <w:pPr>
        <w:spacing w:after="0" w:line="480" w:lineRule="auto"/>
        <w:ind w:firstLine="720"/>
        <w:contextualSpacing/>
        <w:rPr>
          <w:rFonts w:ascii="Times New Roman" w:hAnsi="Times New Roman" w:cs="Times New Roman"/>
        </w:rPr>
      </w:pPr>
      <w:r w:rsidRPr="00AA22F9">
        <w:rPr>
          <w:rFonts w:ascii="Times New Roman" w:hAnsi="Times New Roman" w:cs="Times New Roman"/>
        </w:rPr>
        <w:t xml:space="preserve">In both healthcare and finance, digital identity verification is a critical element of access protection and compliance. Ali et al. (2021) elaborated that biometric technologies, namely facial recognition and fingerprint scanning, are now instrumental to the Know Your Customer (KYC) procedures in the banking system, allowing to simultaneously simplify the process of customer onboarding and decrease the risk of fraud. Identity systems in healthcare, however, are more fragmented. Bathula et al. (2024) found that institutions are investigating decentralised IDs on blockchain to provide patients with greater control over health data, although the outbreak of adoption is yet to occur. The stringent privacy measures of HIPAA render integrating with third parties more challenging, and thus healthcare systems are </w:t>
      </w:r>
      <w:proofErr w:type="gramStart"/>
      <w:r w:rsidRPr="00AA22F9">
        <w:rPr>
          <w:rFonts w:ascii="Times New Roman" w:hAnsi="Times New Roman" w:cs="Times New Roman"/>
        </w:rPr>
        <w:t>lagging behind</w:t>
      </w:r>
      <w:proofErr w:type="gramEnd"/>
      <w:r w:rsidRPr="00AA22F9">
        <w:rPr>
          <w:rFonts w:ascii="Times New Roman" w:hAnsi="Times New Roman" w:cs="Times New Roman"/>
        </w:rPr>
        <w:t xml:space="preserve"> in adopting digital IDs. In the meantime, financial regulation PSD2 requires APIs to open identity and strong customer authentication. Such contradictory paradigms indicate that there should be a meeting point. Bathula </w:t>
      </w:r>
      <w:r w:rsidRPr="00AA22F9">
        <w:rPr>
          <w:rFonts w:ascii="Times New Roman" w:hAnsi="Times New Roman" w:cs="Times New Roman"/>
        </w:rPr>
        <w:lastRenderedPageBreak/>
        <w:t>et al. (2024) reinforced the idea that without interoperable and equitable digital ID systems, identity verification can continue to be a barrier rather than a protection.</w:t>
      </w:r>
    </w:p>
    <w:p w14:paraId="383C60CA" w14:textId="77777777" w:rsidR="001118A1" w:rsidRPr="00AA22F9" w:rsidRDefault="001118A1" w:rsidP="000C492F">
      <w:pPr>
        <w:pStyle w:val="Heading3"/>
      </w:pPr>
      <w:bookmarkStart w:id="107" w:name="_Toc210260664"/>
      <w:bookmarkStart w:id="108" w:name="_Toc210481173"/>
      <w:r w:rsidRPr="00AA22F9">
        <w:t>2.4.24 Explainable AI (XAI) and Trust Calibration</w:t>
      </w:r>
      <w:bookmarkEnd w:id="107"/>
      <w:bookmarkEnd w:id="108"/>
    </w:p>
    <w:p w14:paraId="7F59F2C8" w14:textId="77777777" w:rsidR="001118A1" w:rsidRPr="00AA22F9" w:rsidRDefault="001118A1" w:rsidP="001118A1">
      <w:pPr>
        <w:spacing w:after="0" w:line="480" w:lineRule="auto"/>
        <w:ind w:firstLine="720"/>
        <w:contextualSpacing/>
        <w:rPr>
          <w:rFonts w:ascii="Times New Roman" w:hAnsi="Times New Roman" w:cs="Times New Roman"/>
        </w:rPr>
      </w:pPr>
      <w:r w:rsidRPr="00AA22F9">
        <w:rPr>
          <w:rFonts w:ascii="Times New Roman" w:hAnsi="Times New Roman" w:cs="Times New Roman"/>
        </w:rPr>
        <w:t xml:space="preserve">Ferrara (2023) states that explainable AI (XAI) is an emerging requirement in both healthcare and financial services sectors as regulatory scrutiny and user suspicion rise. In healthcare, Williamson and </w:t>
      </w:r>
      <w:proofErr w:type="spellStart"/>
      <w:r w:rsidRPr="00AA22F9">
        <w:rPr>
          <w:rFonts w:ascii="Times New Roman" w:hAnsi="Times New Roman" w:cs="Times New Roman"/>
        </w:rPr>
        <w:t>Prybutok</w:t>
      </w:r>
      <w:proofErr w:type="spellEnd"/>
      <w:r w:rsidRPr="00AA22F9">
        <w:rPr>
          <w:rFonts w:ascii="Times New Roman" w:hAnsi="Times New Roman" w:cs="Times New Roman"/>
        </w:rPr>
        <w:t xml:space="preserve"> (2024) detailed how clinicians need the outputs of AI to be explainable and defensible until such a time that they may be relied upon in a diagnosis or treatment decision. Such models </w:t>
      </w:r>
      <w:proofErr w:type="gramStart"/>
      <w:r w:rsidRPr="00AA22F9">
        <w:rPr>
          <w:rFonts w:ascii="Times New Roman" w:hAnsi="Times New Roman" w:cs="Times New Roman"/>
        </w:rPr>
        <w:t>have to</w:t>
      </w:r>
      <w:proofErr w:type="gramEnd"/>
      <w:r w:rsidRPr="00AA22F9">
        <w:rPr>
          <w:rFonts w:ascii="Times New Roman" w:hAnsi="Times New Roman" w:cs="Times New Roman"/>
        </w:rPr>
        <w:t xml:space="preserve"> be auditable, particularly in life-threatening situations where accountability matters most. In finance, Yaseen and Al-</w:t>
      </w:r>
      <w:proofErr w:type="spellStart"/>
      <w:r w:rsidRPr="00AA22F9">
        <w:rPr>
          <w:rFonts w:ascii="Times New Roman" w:hAnsi="Times New Roman" w:cs="Times New Roman"/>
        </w:rPr>
        <w:t>Amarneh</w:t>
      </w:r>
      <w:proofErr w:type="spellEnd"/>
      <w:r w:rsidRPr="00AA22F9">
        <w:rPr>
          <w:rFonts w:ascii="Times New Roman" w:hAnsi="Times New Roman" w:cs="Times New Roman"/>
        </w:rPr>
        <w:t xml:space="preserve"> (2025) elaborated that explainability fosters transparency in credit scoring and fraud detection, where consumers require knowing why their applications are approved or rejected. The financial community, however, occasionally accepts black-box models when results are correct and there are recourse mechanisms. In healthcare, it is not a choice. In both industries, XAI is transforming what was formerly a technical nicety into a compliance requirement, indicative of a wider cultural pivot towards ethical explainability rather than algorithmic performance.</w:t>
      </w:r>
    </w:p>
    <w:p w14:paraId="38C3D4D9" w14:textId="77777777" w:rsidR="001118A1" w:rsidRPr="00AA22F9" w:rsidRDefault="001118A1" w:rsidP="000C492F">
      <w:pPr>
        <w:pStyle w:val="Heading3"/>
      </w:pPr>
      <w:bookmarkStart w:id="109" w:name="_Toc210260665"/>
      <w:bookmarkStart w:id="110" w:name="_Toc210481174"/>
      <w:r w:rsidRPr="00AA22F9">
        <w:t>2.4.25 Ethics Committees vs. Algorithmic Audit Boards</w:t>
      </w:r>
      <w:bookmarkEnd w:id="109"/>
      <w:bookmarkEnd w:id="110"/>
    </w:p>
    <w:p w14:paraId="4BC95BC7" w14:textId="77777777" w:rsidR="001118A1" w:rsidRPr="00AA22F9" w:rsidRDefault="001118A1" w:rsidP="001118A1">
      <w:pPr>
        <w:spacing w:after="0" w:line="480" w:lineRule="auto"/>
        <w:ind w:firstLine="720"/>
        <w:contextualSpacing/>
        <w:rPr>
          <w:rFonts w:ascii="Times New Roman" w:hAnsi="Times New Roman" w:cs="Times New Roman"/>
        </w:rPr>
      </w:pPr>
      <w:r w:rsidRPr="00AA22F9">
        <w:rPr>
          <w:rFonts w:ascii="Times New Roman" w:hAnsi="Times New Roman" w:cs="Times New Roman"/>
        </w:rPr>
        <w:t>Ethical oversight is essentially bifurcated, indicative of a deep-seated cultural divide. Institutional Review Boards (IRBs) are a proactive and embedded form of ethical gatekeeping within healthcare, with a focus on patient safety and informed consent (via pre-emptive review) (Lottes et al., 2022). Finance algorithmic audit boards, in contrast, tend to be reactionary, internal, and performance-based entities that are typically formed after implementation to handle bias and fairness (Ferrara, 2023; Saiyed, 2025). This contrast reflects a vital deficiency: the rigour of healthcare may smother agility, whereas the flexibility of finance may trigger ethical negligence. By performing a comparative analysis of these models, this research provides a new and combined system of ethical governance. It goes past critique to actively integrate their strengths in a framework or model in which healthcare takes on a more iterative, post-market surveillance-</w:t>
      </w:r>
      <w:r w:rsidRPr="00AA22F9">
        <w:rPr>
          <w:rFonts w:ascii="Times New Roman" w:hAnsi="Times New Roman" w:cs="Times New Roman"/>
        </w:rPr>
        <w:lastRenderedPageBreak/>
        <w:t>inspired approach, and finance takes on the mandatory, pre-emptive ethical impact assessment via IRB-modelled IRBs. This cross-pollination establishes a stronger lifecycle strategy of ethical responsibility that drives innovation, which is not only responsive but also morally justifiable.</w:t>
      </w:r>
    </w:p>
    <w:p w14:paraId="06D2BE0F" w14:textId="77777777" w:rsidR="001118A1" w:rsidRPr="00AA22F9" w:rsidRDefault="001118A1" w:rsidP="0025346F">
      <w:pPr>
        <w:pStyle w:val="Heading3"/>
      </w:pPr>
      <w:bookmarkStart w:id="111" w:name="_Toc210260666"/>
      <w:bookmarkStart w:id="112" w:name="_Toc210481175"/>
      <w:r w:rsidRPr="00AA22F9">
        <w:t>2.4.26 Time-to-Market and Compliance Delays</w:t>
      </w:r>
      <w:bookmarkEnd w:id="111"/>
      <w:bookmarkEnd w:id="112"/>
    </w:p>
    <w:p w14:paraId="5DD1F3FA" w14:textId="77777777" w:rsidR="001118A1" w:rsidRPr="00AA22F9" w:rsidRDefault="001118A1" w:rsidP="001118A1">
      <w:pPr>
        <w:spacing w:after="0" w:line="480" w:lineRule="auto"/>
        <w:ind w:firstLine="720"/>
        <w:contextualSpacing/>
        <w:rPr>
          <w:rFonts w:ascii="Times New Roman" w:hAnsi="Times New Roman" w:cs="Times New Roman"/>
        </w:rPr>
      </w:pPr>
      <w:r w:rsidRPr="00AA22F9">
        <w:rPr>
          <w:rFonts w:ascii="Times New Roman" w:hAnsi="Times New Roman" w:cs="Times New Roman"/>
        </w:rPr>
        <w:t xml:space="preserve">The time-to-market difference between the field of healthcare and the field of finance is not an act of mere operational inefficiency but a direct effect of their antagonistic risk calculations. Multi-year FDA pathways in healthcare (Lottes et al., 2022; Amaral et al., 2024) are designed to reduce the risk of disastrous failure, which tolerates slow deployment as a necessary expense to patient safety. Rapid iteration in finance facilitated by sandboxes (Ringe &amp; Ruof, 2020; </w:t>
      </w:r>
      <w:proofErr w:type="spellStart"/>
      <w:r w:rsidRPr="00AA22F9">
        <w:rPr>
          <w:rFonts w:ascii="Times New Roman" w:hAnsi="Times New Roman" w:cs="Times New Roman"/>
        </w:rPr>
        <w:t>Ramrakhyani</w:t>
      </w:r>
      <w:proofErr w:type="spellEnd"/>
      <w:r w:rsidRPr="00AA22F9">
        <w:rPr>
          <w:rFonts w:ascii="Times New Roman" w:hAnsi="Times New Roman" w:cs="Times New Roman"/>
        </w:rPr>
        <w:t xml:space="preserve"> and Shrivastava, 2024) puts more emphasis on market speed and consumer acceptance at the cost of greater post-launch risk. This is an intractable trade-off presented in the literature. The deliverable of this study is to destroy this false dichotomy. </w:t>
      </w:r>
      <w:proofErr w:type="gramStart"/>
      <w:r w:rsidRPr="00AA22F9">
        <w:rPr>
          <w:rFonts w:ascii="Times New Roman" w:hAnsi="Times New Roman" w:cs="Times New Roman"/>
        </w:rPr>
        <w:t>Through the use of</w:t>
      </w:r>
      <w:proofErr w:type="gramEnd"/>
      <w:r w:rsidRPr="00AA22F9">
        <w:rPr>
          <w:rFonts w:ascii="Times New Roman" w:hAnsi="Times New Roman" w:cs="Times New Roman"/>
        </w:rPr>
        <w:t xml:space="preserve"> QCA, it shall establish the definite causal recipes that predetermine the pace of deployment under varying regulatory conditions. The resultant effect will be a strategic decision-making framework in the hands of regulators and firms defining how to structure conditional approval pathways and stage go-to-market strategies, accelerating access without compromise of the fundamental safeguarding that protects consumers in healthcare and patients in finance.</w:t>
      </w:r>
    </w:p>
    <w:p w14:paraId="5A89B64E" w14:textId="77777777" w:rsidR="001118A1" w:rsidRPr="00AA22F9" w:rsidRDefault="001118A1" w:rsidP="0025346F">
      <w:pPr>
        <w:pStyle w:val="Heading3"/>
      </w:pPr>
      <w:bookmarkStart w:id="113" w:name="_Toc210260667"/>
      <w:bookmarkStart w:id="114" w:name="_Toc210481176"/>
      <w:r w:rsidRPr="00AA22F9">
        <w:t xml:space="preserve">2.4.27 AI Integration and Predictive Risk </w:t>
      </w:r>
      <w:proofErr w:type="spellStart"/>
      <w:r w:rsidRPr="00AA22F9">
        <w:t>Modeling</w:t>
      </w:r>
      <w:bookmarkEnd w:id="113"/>
      <w:bookmarkEnd w:id="114"/>
      <w:proofErr w:type="spellEnd"/>
    </w:p>
    <w:p w14:paraId="7023AB2B" w14:textId="77777777" w:rsidR="001118A1" w:rsidRPr="00AA22F9" w:rsidRDefault="001118A1" w:rsidP="001118A1">
      <w:pPr>
        <w:spacing w:after="0" w:line="480" w:lineRule="auto"/>
        <w:ind w:firstLine="720"/>
        <w:contextualSpacing/>
        <w:rPr>
          <w:rFonts w:ascii="Times New Roman" w:hAnsi="Times New Roman" w:cs="Times New Roman"/>
        </w:rPr>
      </w:pPr>
      <w:r w:rsidRPr="00AA22F9">
        <w:rPr>
          <w:rFonts w:ascii="Times New Roman" w:hAnsi="Times New Roman" w:cs="Times New Roman"/>
        </w:rPr>
        <w:t xml:space="preserve">The use of AI in predictive risk modelling highlights the divergent integration opportunities presented by the consequence of error. In finance, AI-based credit scoring models and fraud detection focus on statistical efficiency and size and operate with a tolerable margin of error that allows prompt deployment, which is frequently permitted within regulatory sandboxes (Saiyed, 2025; </w:t>
      </w:r>
      <w:proofErr w:type="spellStart"/>
      <w:r w:rsidRPr="00AA22F9">
        <w:rPr>
          <w:rFonts w:ascii="Times New Roman" w:hAnsi="Times New Roman" w:cs="Times New Roman"/>
        </w:rPr>
        <w:t>Ramrakhyani</w:t>
      </w:r>
      <w:proofErr w:type="spellEnd"/>
      <w:r w:rsidRPr="00AA22F9">
        <w:rPr>
          <w:rFonts w:ascii="Times New Roman" w:hAnsi="Times New Roman" w:cs="Times New Roman"/>
        </w:rPr>
        <w:t xml:space="preserve"> and Shrivastava, 2024). Healthcare, in contrast, uses predictive analytics on patient deterioration or readmission risk, where a false positive or biased algorithm can directly affect clinical safety, requiring pre-deployment validation and explainability (Williamson &amp; </w:t>
      </w:r>
      <w:proofErr w:type="spellStart"/>
      <w:r w:rsidRPr="00AA22F9">
        <w:rPr>
          <w:rFonts w:ascii="Times New Roman" w:hAnsi="Times New Roman" w:cs="Times New Roman"/>
        </w:rPr>
        <w:t>Prybutok</w:t>
      </w:r>
      <w:proofErr w:type="spellEnd"/>
      <w:r w:rsidRPr="00AA22F9">
        <w:rPr>
          <w:rFonts w:ascii="Times New Roman" w:hAnsi="Times New Roman" w:cs="Times New Roman"/>
        </w:rPr>
        <w:t xml:space="preserve">, 2024; Bogati, 2025). This study presents a critical synthesis of these risk-calibration </w:t>
      </w:r>
      <w:r w:rsidRPr="00AA22F9">
        <w:rPr>
          <w:rFonts w:ascii="Times New Roman" w:hAnsi="Times New Roman" w:cs="Times New Roman"/>
        </w:rPr>
        <w:lastRenderedPageBreak/>
        <w:t>paradigms. Through a trade-off analysis of sector-specific tolerances to algorithmic uncertainty, it creates a configurational framework that allows companies to design and test their AI systems against relevant benchmarks, either their financial performance or clinical protection, such that predictive power is offset by sector-definitive accountability.</w:t>
      </w:r>
    </w:p>
    <w:p w14:paraId="236A92D9" w14:textId="77777777" w:rsidR="001118A1" w:rsidRPr="00AA22F9" w:rsidRDefault="001118A1" w:rsidP="0025346F">
      <w:pPr>
        <w:pStyle w:val="Heading3"/>
      </w:pPr>
      <w:bookmarkStart w:id="115" w:name="_Toc210260668"/>
      <w:bookmarkStart w:id="116" w:name="_Toc210481177"/>
      <w:r w:rsidRPr="00AA22F9">
        <w:t>2.4.28 Resilience and Business Continuity Planning</w:t>
      </w:r>
      <w:bookmarkEnd w:id="115"/>
      <w:bookmarkEnd w:id="116"/>
    </w:p>
    <w:p w14:paraId="4A905CFB" w14:textId="77777777" w:rsidR="001118A1" w:rsidRPr="00AA22F9" w:rsidRDefault="001118A1" w:rsidP="001118A1">
      <w:pPr>
        <w:spacing w:after="0" w:line="480" w:lineRule="auto"/>
        <w:ind w:firstLine="720"/>
        <w:contextualSpacing/>
        <w:rPr>
          <w:rFonts w:ascii="Times New Roman" w:hAnsi="Times New Roman" w:cs="Times New Roman"/>
        </w:rPr>
      </w:pPr>
      <w:r w:rsidRPr="00AA22F9">
        <w:rPr>
          <w:rFonts w:ascii="Times New Roman" w:hAnsi="Times New Roman" w:cs="Times New Roman"/>
        </w:rPr>
        <w:t xml:space="preserve">Service continuity in the event of disruption is fundamental in all critical sectors. According to Paul et al. (2023) and Javaid et al. (2023), in the healthcare context, resilience means protecting patient records and device availability and ensuring uninterrupted access to clinical systems in case of device outages or cyberattacks. These requirements were magnified throughout the COVID-19 pandemic, which revealed the vulnerabilities in the telehealth and EHR networks. Malatji and Tolah (2024) conducted a study in the field of finance and identified that resilience is characterised by reliable transactions, cybersecurity, and fraud detection. Banks implement real-time replication, predictive threat modelling and automated recovery mechanisms. Healthcare can tolerate only a little downtime to ensure the accuracy of the data, but finance can value speed and continuous availability. Both sectors are also beginning to view resilience as a performance measure, </w:t>
      </w:r>
      <w:proofErr w:type="gramStart"/>
      <w:r w:rsidRPr="00AA22F9">
        <w:rPr>
          <w:rFonts w:ascii="Times New Roman" w:hAnsi="Times New Roman" w:cs="Times New Roman"/>
        </w:rPr>
        <w:t>in spite of</w:t>
      </w:r>
      <w:proofErr w:type="gramEnd"/>
      <w:r w:rsidRPr="00AA22F9">
        <w:rPr>
          <w:rFonts w:ascii="Times New Roman" w:hAnsi="Times New Roman" w:cs="Times New Roman"/>
        </w:rPr>
        <w:t xml:space="preserve"> the differing operational models. The second evolution is resilient AI systems – systems that are not just expected to operate under stress but to fail in a safe manner. Algorithmic dependencies now </w:t>
      </w:r>
      <w:proofErr w:type="gramStart"/>
      <w:r w:rsidRPr="00AA22F9">
        <w:rPr>
          <w:rFonts w:ascii="Times New Roman" w:hAnsi="Times New Roman" w:cs="Times New Roman"/>
        </w:rPr>
        <w:t>have to</w:t>
      </w:r>
      <w:proofErr w:type="gramEnd"/>
      <w:r w:rsidRPr="00AA22F9">
        <w:rPr>
          <w:rFonts w:ascii="Times New Roman" w:hAnsi="Times New Roman" w:cs="Times New Roman"/>
        </w:rPr>
        <w:t xml:space="preserve"> be considered in sector-specific investments in resilience.</w:t>
      </w:r>
    </w:p>
    <w:p w14:paraId="1F4BF455" w14:textId="77777777" w:rsidR="001118A1" w:rsidRPr="00AA22F9" w:rsidRDefault="001118A1" w:rsidP="0025346F">
      <w:pPr>
        <w:pStyle w:val="Heading3"/>
      </w:pPr>
      <w:bookmarkStart w:id="117" w:name="_Toc210260669"/>
      <w:bookmarkStart w:id="118" w:name="_Toc210481178"/>
      <w:r w:rsidRPr="00AA22F9">
        <w:t>2.4.29 The Rise of Embedded Services</w:t>
      </w:r>
      <w:bookmarkEnd w:id="117"/>
      <w:bookmarkEnd w:id="118"/>
    </w:p>
    <w:p w14:paraId="3FE930FA" w14:textId="77777777" w:rsidR="001118A1" w:rsidRPr="00AA22F9" w:rsidRDefault="001118A1" w:rsidP="001118A1">
      <w:pPr>
        <w:spacing w:after="0" w:line="480" w:lineRule="auto"/>
        <w:ind w:firstLine="720"/>
        <w:contextualSpacing/>
        <w:rPr>
          <w:rFonts w:ascii="Times New Roman" w:hAnsi="Times New Roman" w:cs="Times New Roman"/>
        </w:rPr>
      </w:pPr>
      <w:r w:rsidRPr="00AA22F9">
        <w:rPr>
          <w:rFonts w:ascii="Times New Roman" w:hAnsi="Times New Roman" w:cs="Times New Roman"/>
        </w:rPr>
        <w:t xml:space="preserve">The application of technology is not only transforming the processes of operation in financial institutions but is also transforming the provisions of care in healthcare organisations. Kumar and Nanduri (2025) discussed the emergence of embedded finance and emphasised that currently, banks provide loans, payments, and insurance services via third-party applications, such as e-commerce apps. The same tendency was observed by Shukla et al. (2025) in the healthcare sector, as the appointment booking, billing, and benefit verification services are becoming more integrated into patient portals and telehealth platforms. Although the sectors share the same motives </w:t>
      </w:r>
      <w:r w:rsidRPr="00AA22F9">
        <w:rPr>
          <w:rFonts w:ascii="Times New Roman" w:hAnsi="Times New Roman" w:cs="Times New Roman"/>
        </w:rPr>
        <w:lastRenderedPageBreak/>
        <w:t>of simplifying access, their functioning is different. Financial services are supported by real-time APIs and the reduced data privacy restrictions, which support agile integration. Conversely, healthcare is still shackled by HIPAA compliance and payer fragmentation, which hinders adoption. The ethical issues that surrounded affordability and coercion were involved in embedded credit in healthcare. Kumar and Nanduri (2025) suggested closer regulatory convergence so that embedded services become more equity-driven, consent-driven, and access-driven in both sectors.</w:t>
      </w:r>
    </w:p>
    <w:p w14:paraId="7008C753" w14:textId="77777777" w:rsidR="001118A1" w:rsidRPr="00AA22F9" w:rsidRDefault="001118A1" w:rsidP="0025346F">
      <w:pPr>
        <w:pStyle w:val="Heading3"/>
      </w:pPr>
      <w:bookmarkStart w:id="119" w:name="_Toc210260670"/>
      <w:bookmarkStart w:id="120" w:name="_Toc210481179"/>
      <w:r w:rsidRPr="00AA22F9">
        <w:t>2.4.30 Data Architecture, Portability, and Governance</w:t>
      </w:r>
      <w:bookmarkEnd w:id="119"/>
      <w:bookmarkEnd w:id="120"/>
    </w:p>
    <w:p w14:paraId="1BD3B98F" w14:textId="77777777" w:rsidR="001118A1" w:rsidRPr="00AA22F9" w:rsidRDefault="001118A1" w:rsidP="001118A1">
      <w:pPr>
        <w:spacing w:after="0" w:line="480" w:lineRule="auto"/>
        <w:ind w:firstLine="720"/>
        <w:contextualSpacing/>
        <w:rPr>
          <w:rFonts w:ascii="Times New Roman" w:hAnsi="Times New Roman" w:cs="Times New Roman"/>
        </w:rPr>
      </w:pPr>
      <w:r w:rsidRPr="00AA22F9">
        <w:rPr>
          <w:rFonts w:ascii="Times New Roman" w:hAnsi="Times New Roman" w:cs="Times New Roman"/>
        </w:rPr>
        <w:t xml:space="preserve">The architectural principles of data management, decentralised federated learning in contrast with centralised data lakes, represent the fundamental operational and regulatory tension that directly influences data portability. Financial institutions use data lakes to combine data to enhance predictions, with a focus on analytical processing, and in line with the PSD2 requirement of using APIs to facilitate data mobility (Prakash, 2025; Lo and </w:t>
      </w:r>
      <w:proofErr w:type="spellStart"/>
      <w:r w:rsidRPr="00AA22F9">
        <w:rPr>
          <w:rFonts w:ascii="Times New Roman" w:hAnsi="Times New Roman" w:cs="Times New Roman"/>
        </w:rPr>
        <w:t>Chudhuri</w:t>
      </w:r>
      <w:proofErr w:type="spellEnd"/>
      <w:r w:rsidRPr="00AA22F9">
        <w:rPr>
          <w:rFonts w:ascii="Times New Roman" w:hAnsi="Times New Roman" w:cs="Times New Roman"/>
        </w:rPr>
        <w:t xml:space="preserve">, 2022). On the other hand, the privacy-conceptual aspect of healthcare, which involves the federated learning of algorithms that train on decentralised devices and does not transfer sensitive data, highlights an ethos of privacy preservation that conflicts with the smooth portability of HIPAA under the restrictive data-sharing framework (Khan et al., 2024; Duan and Morten, 2024). This study provides a critical examination of these divergent technical and regulatory architectures. The result is the creation of a diagnostic paradigm to match </w:t>
      </w:r>
      <w:proofErr w:type="gramStart"/>
      <w:r w:rsidRPr="00AA22F9">
        <w:rPr>
          <w:rFonts w:ascii="Times New Roman" w:hAnsi="Times New Roman" w:cs="Times New Roman"/>
        </w:rPr>
        <w:t>particular data</w:t>
      </w:r>
      <w:proofErr w:type="gramEnd"/>
      <w:r w:rsidRPr="00AA22F9">
        <w:rPr>
          <w:rFonts w:ascii="Times New Roman" w:hAnsi="Times New Roman" w:cs="Times New Roman"/>
        </w:rPr>
        <w:t xml:space="preserve"> strategies to sectoral risk tolerances, providing an outline to create the hybrid systems allowing secure, consent-based data fluidity without disrupting the ethical protections that each field relies upon.</w:t>
      </w:r>
    </w:p>
    <w:p w14:paraId="248266E9" w14:textId="77777777" w:rsidR="001118A1" w:rsidRPr="00AA22F9" w:rsidRDefault="001118A1" w:rsidP="0025346F">
      <w:pPr>
        <w:pStyle w:val="Heading2"/>
      </w:pPr>
      <w:bookmarkStart w:id="121" w:name="_Toc210260671"/>
      <w:bookmarkStart w:id="122" w:name="_Toc210481180"/>
      <w:r w:rsidRPr="00AA22F9">
        <w:t>2.5 Theoretical Framework</w:t>
      </w:r>
      <w:bookmarkEnd w:id="121"/>
      <w:bookmarkEnd w:id="122"/>
    </w:p>
    <w:p w14:paraId="39B2C8D2" w14:textId="77777777" w:rsidR="001118A1" w:rsidRPr="00AA22F9" w:rsidRDefault="001118A1" w:rsidP="001118A1">
      <w:pPr>
        <w:spacing w:after="0" w:line="480" w:lineRule="auto"/>
        <w:ind w:firstLine="720"/>
        <w:contextualSpacing/>
        <w:rPr>
          <w:rFonts w:ascii="Times New Roman" w:hAnsi="Times New Roman" w:cs="Times New Roman"/>
        </w:rPr>
      </w:pPr>
      <w:r w:rsidRPr="00AA22F9">
        <w:rPr>
          <w:rFonts w:ascii="Times New Roman" w:hAnsi="Times New Roman" w:cs="Times New Roman"/>
        </w:rPr>
        <w:t xml:space="preserve">The prevailing understanding of innovation in regulated sectors is constrained by a theoretical schism as profound as the empirical one. Healthcare is regularly interpreted through the prism of Dynamic Capabilities Theory by scholars, which clarifies the gradual, compliance-orientated development of the field and positions the emergence of fintech solely within the framework of Disruptive Innovation Theory. This segregated implementation generates a null </w:t>
      </w:r>
      <w:r w:rsidRPr="00AA22F9">
        <w:rPr>
          <w:rFonts w:ascii="Times New Roman" w:hAnsi="Times New Roman" w:cs="Times New Roman"/>
        </w:rPr>
        <w:lastRenderedPageBreak/>
        <w:t>dichotomy, suggesting that industries will either fit or disrupt, but not both. This theoretical siloing is a central critique of this work. It argues that a multifaceted explanation of contemporary regulated innovation demands a synthesised paradigm. This study combines dynamic capabilities (how organisations strategically go through constraint) with disruptive innovation (how new players restructure markets) to create a new dual-lens model. This theory stands alone in the power to examine the whole range of innovation behaviour, between the stalwart endurance of incumbents and the boundary-blowing behaviours of challengers, in both the high-stakes fields of healthcare and finance.</w:t>
      </w:r>
    </w:p>
    <w:p w14:paraId="1ACEE168" w14:textId="77777777" w:rsidR="001118A1" w:rsidRPr="00AA22F9" w:rsidRDefault="001118A1" w:rsidP="0025346F">
      <w:pPr>
        <w:pStyle w:val="Heading3"/>
      </w:pPr>
      <w:bookmarkStart w:id="123" w:name="_Toc210260672"/>
      <w:bookmarkStart w:id="124" w:name="_Toc210481181"/>
      <w:r w:rsidRPr="00AA22F9">
        <w:t>2.5.1 Dynamic Capabilities Theory</w:t>
      </w:r>
      <w:bookmarkEnd w:id="123"/>
      <w:bookmarkEnd w:id="124"/>
    </w:p>
    <w:p w14:paraId="0DAA0057" w14:textId="77777777" w:rsidR="001118A1" w:rsidRPr="00AA22F9" w:rsidRDefault="001118A1" w:rsidP="001118A1">
      <w:pPr>
        <w:spacing w:after="0" w:line="480" w:lineRule="auto"/>
        <w:ind w:firstLine="720"/>
        <w:contextualSpacing/>
        <w:rPr>
          <w:rFonts w:ascii="Times New Roman" w:hAnsi="Times New Roman" w:cs="Times New Roman"/>
        </w:rPr>
      </w:pPr>
      <w:r w:rsidRPr="00AA22F9">
        <w:rPr>
          <w:rFonts w:ascii="Times New Roman" w:hAnsi="Times New Roman" w:cs="Times New Roman"/>
        </w:rPr>
        <w:t xml:space="preserve">Dynamic Capabilities Theory is the backlog of thinking about how an institution survives and flourishes in the environment of regulatory intricacy and technological transformation. The main mechanism of this theory, the ability to constantly monitor change, capture opportunities, and reorient resources and routines (Teece et al., 1997), is not only a survival but a process of developing strategy within specified limits. In healthcare, this translates as the careful staging needed in assimilating AI diagnostics or telemedicine platforms whereby sensing entails monitoring FDA guidelines, seizing entails piloting within HIPAA limits, and transforming means reworking clinical procedures to meet compliant scaling (Martin and Steinmueller, 2025). Nevertheless, the narrowly focused use of this theory in healthcare as it is applied myopically in the literature is also a serious compliance issue. Its concepts also play a crucial role in the analysis of how established financial institutions react to fintech competitors. This strategic realignment of old banking systems, the creation of own digital wallets, and the advanced regulatory arbitrage used to weather </w:t>
      </w:r>
      <w:proofErr w:type="gramStart"/>
      <w:r w:rsidRPr="00AA22F9">
        <w:rPr>
          <w:rFonts w:ascii="Times New Roman" w:hAnsi="Times New Roman" w:cs="Times New Roman"/>
        </w:rPr>
        <w:t>PSD2</w:t>
      </w:r>
      <w:proofErr w:type="gramEnd"/>
      <w:r w:rsidRPr="00AA22F9">
        <w:rPr>
          <w:rFonts w:ascii="Times New Roman" w:hAnsi="Times New Roman" w:cs="Times New Roman"/>
        </w:rPr>
        <w:t xml:space="preserve"> and Basel III are all provable dynamic capabilities (</w:t>
      </w:r>
      <w:proofErr w:type="spellStart"/>
      <w:r w:rsidRPr="00AA22F9">
        <w:rPr>
          <w:rFonts w:ascii="Times New Roman" w:hAnsi="Times New Roman" w:cs="Times New Roman"/>
        </w:rPr>
        <w:t>Abdelisti</w:t>
      </w:r>
      <w:proofErr w:type="spellEnd"/>
      <w:r w:rsidRPr="00AA22F9">
        <w:rPr>
          <w:rFonts w:ascii="Times New Roman" w:hAnsi="Times New Roman" w:cs="Times New Roman"/>
        </w:rPr>
        <w:t xml:space="preserve"> and Lints, 2021; Gupta and II, 2024). This study thus replenishes the generalisability of the theory and employs it to examine the strategic responsiveness of players within each industry, thus surpassing its stereotypical connotation with incrementalism alone.</w:t>
      </w:r>
    </w:p>
    <w:p w14:paraId="4DDBCDDD" w14:textId="77777777" w:rsidR="001118A1" w:rsidRPr="00AA22F9" w:rsidRDefault="001118A1" w:rsidP="0025346F">
      <w:pPr>
        <w:pStyle w:val="Heading3"/>
      </w:pPr>
      <w:bookmarkStart w:id="125" w:name="_Toc210260673"/>
      <w:bookmarkStart w:id="126" w:name="_Toc210481182"/>
      <w:r w:rsidRPr="00AA22F9">
        <w:lastRenderedPageBreak/>
        <w:t>2.5.2 Disruptive Innovation Theory</w:t>
      </w:r>
      <w:bookmarkEnd w:id="125"/>
      <w:bookmarkEnd w:id="126"/>
    </w:p>
    <w:p w14:paraId="04758356" w14:textId="77777777" w:rsidR="001118A1" w:rsidRPr="00AA22F9" w:rsidRDefault="001118A1" w:rsidP="001118A1">
      <w:pPr>
        <w:spacing w:after="0" w:line="480" w:lineRule="auto"/>
        <w:ind w:firstLine="720"/>
        <w:contextualSpacing/>
        <w:rPr>
          <w:rFonts w:ascii="Times New Roman" w:hAnsi="Times New Roman" w:cs="Times New Roman"/>
        </w:rPr>
      </w:pPr>
      <w:r w:rsidRPr="00AA22F9">
        <w:rPr>
          <w:rFonts w:ascii="Times New Roman" w:hAnsi="Times New Roman" w:cs="Times New Roman"/>
        </w:rPr>
        <w:t xml:space="preserve">The Disruptive Innovation Theory is a convincing way of conceptualising the rise of entrant innovators who, through a simpler, more accessible, or more convenient solution, ultimately come to reshape mainstream markets (Christensen, 1997). Its wide adoption in fintech scholarship is useful in terms of describing how other participants such as Stripe and Revolut topped the cost structures and inertia of legacy banks through APIs and rapid development, commonly supported by experimental regulatory sandboxes (Ringe &amp; Ruof, 2020; Zhao et al., 2024). However, the guarded use of the theory in healthcare demonstrates a deep institutional bias. Although technologies such as AI-based symptom checkers or decentralised clinical trials have evident potential for disruption, serving underserved populations or automating expensive procedures, their development has been frequently misrepresented as slow adoption. This ignores the fact that the essence of disruption is based on the formation of new value networks and is not limited to technological superiority (Gans et al., 2022). The opposition to change observed in the healthcare setting, both in the form of deeply rooted ethics (Williamson and </w:t>
      </w:r>
      <w:proofErr w:type="spellStart"/>
      <w:r w:rsidRPr="00AA22F9">
        <w:rPr>
          <w:rFonts w:ascii="Times New Roman" w:hAnsi="Times New Roman" w:cs="Times New Roman"/>
        </w:rPr>
        <w:t>Prybotok</w:t>
      </w:r>
      <w:proofErr w:type="spellEnd"/>
      <w:r w:rsidRPr="00AA22F9">
        <w:rPr>
          <w:rFonts w:ascii="Times New Roman" w:hAnsi="Times New Roman" w:cs="Times New Roman"/>
        </w:rPr>
        <w:t xml:space="preserve">, 2024) and the risk-averse organisational culture (Shayah and </w:t>
      </w:r>
      <w:proofErr w:type="spellStart"/>
      <w:r w:rsidRPr="00AA22F9">
        <w:rPr>
          <w:rFonts w:ascii="Times New Roman" w:hAnsi="Times New Roman" w:cs="Times New Roman"/>
        </w:rPr>
        <w:t>Zehou</w:t>
      </w:r>
      <w:proofErr w:type="spellEnd"/>
      <w:r w:rsidRPr="00AA22F9">
        <w:rPr>
          <w:rFonts w:ascii="Times New Roman" w:hAnsi="Times New Roman" w:cs="Times New Roman"/>
        </w:rPr>
        <w:t>, 2019), does not nullify the theory; instead, it serves as a reminder of how strongly the status quo is defended. The study applies Disruptive Innovation Theory to the healthcare field to scrutinise the techniques and circumstances in which possible disruptors may be rapidly expanded without violating the core covenant of trust and safety enforced in the sector.</w:t>
      </w:r>
    </w:p>
    <w:p w14:paraId="2B3C2ADF" w14:textId="77777777" w:rsidR="001118A1" w:rsidRPr="00AA22F9" w:rsidRDefault="001118A1" w:rsidP="0025346F">
      <w:pPr>
        <w:pStyle w:val="Heading3"/>
      </w:pPr>
      <w:bookmarkStart w:id="127" w:name="_Toc210260674"/>
      <w:bookmarkStart w:id="128" w:name="_Toc210481183"/>
      <w:r w:rsidRPr="00AA22F9">
        <w:t>2.5.3 Theoretical Synthesis: Bridging the Divide</w:t>
      </w:r>
      <w:bookmarkEnd w:id="127"/>
      <w:bookmarkEnd w:id="128"/>
    </w:p>
    <w:p w14:paraId="3E45826E" w14:textId="77777777" w:rsidR="001118A1" w:rsidRPr="00AA22F9" w:rsidRDefault="001118A1" w:rsidP="001118A1">
      <w:pPr>
        <w:spacing w:after="0" w:line="480" w:lineRule="auto"/>
        <w:ind w:firstLine="720"/>
        <w:contextualSpacing/>
        <w:rPr>
          <w:rFonts w:ascii="Times New Roman" w:hAnsi="Times New Roman" w:cs="Times New Roman"/>
        </w:rPr>
      </w:pPr>
      <w:r w:rsidRPr="00AA22F9">
        <w:rPr>
          <w:rFonts w:ascii="Times New Roman" w:hAnsi="Times New Roman" w:cs="Times New Roman"/>
        </w:rPr>
        <w:t xml:space="preserve">The decisive contribution of this thesis is the formal synthesis of these two theoretical paradigms to create an integrated analytical tool. The fundamental fault that fells the available scholarship is that it treats dynamic capabilities and disruptive innovation as incompatible sources of sectoral divergence, not as the lenses through which a single phenomenon can be explained: the management of innovation under regulation. Dynamic Capabilities sheds light on the inward experience of organisations as they restructure people, processes, and technology to continue to be legitimate and perform. Disruptive Innovation sheds light on the external forces of the market and </w:t>
      </w:r>
      <w:r w:rsidRPr="00AA22F9">
        <w:rPr>
          <w:rFonts w:ascii="Times New Roman" w:hAnsi="Times New Roman" w:cs="Times New Roman"/>
        </w:rPr>
        <w:lastRenderedPageBreak/>
        <w:t xml:space="preserve">strategic deployment that undermine the status quo. These forces are not limited to a single sector; they engage with each other. A legacy bank uses convergent capabilities to prevent a disruptor, whereas a </w:t>
      </w:r>
      <w:proofErr w:type="spellStart"/>
      <w:r w:rsidRPr="00AA22F9">
        <w:rPr>
          <w:rFonts w:ascii="Times New Roman" w:hAnsi="Times New Roman" w:cs="Times New Roman"/>
        </w:rPr>
        <w:t>healthtech</w:t>
      </w:r>
      <w:proofErr w:type="spellEnd"/>
      <w:r w:rsidRPr="00AA22F9">
        <w:rPr>
          <w:rFonts w:ascii="Times New Roman" w:hAnsi="Times New Roman" w:cs="Times New Roman"/>
        </w:rPr>
        <w:t xml:space="preserve"> start-up follows a disruptive route against institutional inertia. The synthesis itself responds to the criticism of divided knowledge (Kaplan, 2023) and the request of coherent frameworks (George and George, 2024). The resulting dual-lens model, which supports the whole study, offers the conceptual machinery needed to attain Objective 4. This will enable this study to break down and compare the more complex causal recipes, the </w:t>
      </w:r>
      <w:proofErr w:type="gramStart"/>
      <w:r w:rsidRPr="00AA22F9">
        <w:rPr>
          <w:rFonts w:ascii="Times New Roman" w:hAnsi="Times New Roman" w:cs="Times New Roman"/>
        </w:rPr>
        <w:t>particular recipes</w:t>
      </w:r>
      <w:proofErr w:type="gramEnd"/>
      <w:r w:rsidRPr="00AA22F9">
        <w:rPr>
          <w:rFonts w:ascii="Times New Roman" w:hAnsi="Times New Roman" w:cs="Times New Roman"/>
        </w:rPr>
        <w:t xml:space="preserve"> of internal adaptation and external market strategy, that seduce sustainable and compliance-harmonised growth in the high-stakes ecosystems of both healthcare and finance.</w:t>
      </w:r>
    </w:p>
    <w:p w14:paraId="0BA99280" w14:textId="77777777" w:rsidR="001118A1" w:rsidRPr="00AA22F9" w:rsidRDefault="001118A1" w:rsidP="0025346F">
      <w:pPr>
        <w:pStyle w:val="Heading2"/>
      </w:pPr>
      <w:bookmarkStart w:id="129" w:name="_Toc210260675"/>
      <w:bookmarkStart w:id="130" w:name="_Toc210481184"/>
      <w:r w:rsidRPr="00AA22F9">
        <w:t>2.6 Methodology Literature</w:t>
      </w:r>
      <w:bookmarkEnd w:id="129"/>
      <w:bookmarkEnd w:id="130"/>
    </w:p>
    <w:p w14:paraId="0365F87E" w14:textId="77777777" w:rsidR="001118A1" w:rsidRPr="00AA22F9" w:rsidRDefault="001118A1" w:rsidP="001118A1">
      <w:pPr>
        <w:spacing w:after="0" w:line="480" w:lineRule="auto"/>
        <w:ind w:firstLine="720"/>
        <w:contextualSpacing/>
        <w:rPr>
          <w:rFonts w:ascii="Times New Roman" w:hAnsi="Times New Roman" w:cs="Times New Roman"/>
          <w:bCs/>
        </w:rPr>
      </w:pPr>
      <w:r w:rsidRPr="00AA22F9">
        <w:rPr>
          <w:rFonts w:ascii="Times New Roman" w:hAnsi="Times New Roman" w:cs="Times New Roman"/>
          <w:bCs/>
        </w:rPr>
        <w:t xml:space="preserve">The study of healthcare innovation has been particularly dependent on qualitative research methods, namely ethnographies, case studies, and policy analysis, which have illuminated cultural, ethical, and institutional obstacles to adoption. Fascia et al. (2023) stressed the importance of the managerial culture over technological preparedness in defining innovation in hospitals; Lottes et al. (2022) provided an example of policy navigating influences on device approvals. These approaches are context-rich but lack cross-system comparability and tend to present innovation as a form of localised complexity (Kaplan, 2023). Their lack of scalable insights reduces their applicability to policy in general. Furthermore, they tend to underestimate the interaction between the external regulatory changes and the internal responses through innovation. The emphasis on intra-organisational dynamics is a poor representation of how compliance ecosystems, including HIPAA enforcement or telemedicine reimbursement policies, predetermine innovation outcomes (Williamson and </w:t>
      </w:r>
      <w:proofErr w:type="spellStart"/>
      <w:r w:rsidRPr="00AA22F9">
        <w:rPr>
          <w:rFonts w:ascii="Times New Roman" w:hAnsi="Times New Roman" w:cs="Times New Roman"/>
          <w:bCs/>
        </w:rPr>
        <w:t>Prybutok</w:t>
      </w:r>
      <w:proofErr w:type="spellEnd"/>
      <w:r w:rsidRPr="00AA22F9">
        <w:rPr>
          <w:rFonts w:ascii="Times New Roman" w:hAnsi="Times New Roman" w:cs="Times New Roman"/>
          <w:bCs/>
        </w:rPr>
        <w:t>, 2024). In the end, depth is acquired at the cost of generalisability, creating gaps in the knowledge about causal interactions across institutions or regulatory environments.</w:t>
      </w:r>
    </w:p>
    <w:p w14:paraId="79FAB1E4" w14:textId="77777777" w:rsidR="001118A1" w:rsidRPr="00AA22F9" w:rsidRDefault="001118A1" w:rsidP="001118A1">
      <w:pPr>
        <w:spacing w:after="0" w:line="480" w:lineRule="auto"/>
        <w:ind w:firstLine="720"/>
        <w:contextualSpacing/>
        <w:rPr>
          <w:rFonts w:ascii="Times New Roman" w:hAnsi="Times New Roman" w:cs="Times New Roman"/>
          <w:bCs/>
        </w:rPr>
      </w:pPr>
      <w:r w:rsidRPr="00AA22F9">
        <w:rPr>
          <w:rFonts w:ascii="Times New Roman" w:hAnsi="Times New Roman" w:cs="Times New Roman"/>
          <w:bCs/>
        </w:rPr>
        <w:t>The fintech literature is biased towards quantitative designs, such as panel regressions, market diffusion modelling, and statistical indices. Agyei-</w:t>
      </w:r>
      <w:proofErr w:type="spellStart"/>
      <w:r w:rsidRPr="00AA22F9">
        <w:rPr>
          <w:rFonts w:ascii="Times New Roman" w:hAnsi="Times New Roman" w:cs="Times New Roman"/>
          <w:bCs/>
        </w:rPr>
        <w:t>Boapeah</w:t>
      </w:r>
      <w:proofErr w:type="spellEnd"/>
      <w:r w:rsidRPr="00AA22F9">
        <w:rPr>
          <w:rFonts w:ascii="Times New Roman" w:hAnsi="Times New Roman" w:cs="Times New Roman"/>
          <w:bCs/>
        </w:rPr>
        <w:t xml:space="preserve"> et al. (2022) mapped the </w:t>
      </w:r>
      <w:r w:rsidRPr="00AA22F9">
        <w:rPr>
          <w:rFonts w:ascii="Times New Roman" w:hAnsi="Times New Roman" w:cs="Times New Roman"/>
          <w:bCs/>
        </w:rPr>
        <w:lastRenderedPageBreak/>
        <w:t xml:space="preserve">development of fintech platforms to the intensity of regulation; </w:t>
      </w:r>
      <w:proofErr w:type="spellStart"/>
      <w:r w:rsidRPr="00AA22F9">
        <w:rPr>
          <w:rFonts w:ascii="Times New Roman" w:hAnsi="Times New Roman" w:cs="Times New Roman"/>
          <w:bCs/>
        </w:rPr>
        <w:t>Zetzsche</w:t>
      </w:r>
      <w:proofErr w:type="spellEnd"/>
      <w:r w:rsidRPr="00AA22F9">
        <w:rPr>
          <w:rFonts w:ascii="Times New Roman" w:hAnsi="Times New Roman" w:cs="Times New Roman"/>
          <w:bCs/>
        </w:rPr>
        <w:t xml:space="preserve"> et al. (2020) developed indices to measure the openness of jurisdictions. The advantages of these approaches are in their scalability, whereas regulation is frequently boiled down to dichotomous variables, strict or lenient, without attention to enforcement subtleties. Williamson and </w:t>
      </w:r>
      <w:proofErr w:type="spellStart"/>
      <w:r w:rsidRPr="00AA22F9">
        <w:rPr>
          <w:rFonts w:ascii="Times New Roman" w:hAnsi="Times New Roman" w:cs="Times New Roman"/>
          <w:bCs/>
        </w:rPr>
        <w:t>Prybutok</w:t>
      </w:r>
      <w:proofErr w:type="spellEnd"/>
      <w:r w:rsidRPr="00AA22F9">
        <w:rPr>
          <w:rFonts w:ascii="Times New Roman" w:hAnsi="Times New Roman" w:cs="Times New Roman"/>
          <w:bCs/>
        </w:rPr>
        <w:t xml:space="preserve"> (2024) point out that user trust and cultural resistance to change and ethical issues, which are fundamental in healthcare, are important in finance as well yet understudied. Econometric models do not capture institutional frictions, such as the hindrance of scaling fintech by conservative banking cultures or a lack of public trust. Such abstraction, as Kaplan (2023) criticises, reduces the non-linear dynamics of regulation to linear predictors. The cross-sector researchers Pereira et al. (2024) and Junaid et al. (2022) list innovations but do not seem to care about the why-question: why do some technologies thrive under regulation and others stagnate? In the absence of causal modelling, we observe trends, rather than trajectories. Such a methodological gap favours silos, undermining our capacity to carry out the translation of effective innovation pathways across domains of regulation.</w:t>
      </w:r>
    </w:p>
    <w:p w14:paraId="218779E8" w14:textId="77777777" w:rsidR="001118A1" w:rsidRPr="00AA22F9" w:rsidRDefault="001118A1" w:rsidP="0025346F">
      <w:pPr>
        <w:pStyle w:val="Heading3"/>
      </w:pPr>
      <w:bookmarkStart w:id="131" w:name="_Toc210260676"/>
      <w:bookmarkStart w:id="132" w:name="_Toc210481185"/>
      <w:r w:rsidRPr="00AA22F9">
        <w:t>2.6.1 Emerging Mixed-Methods Attempts &amp; Shortcomings</w:t>
      </w:r>
      <w:bookmarkEnd w:id="131"/>
      <w:bookmarkEnd w:id="132"/>
    </w:p>
    <w:p w14:paraId="655C7958" w14:textId="77777777" w:rsidR="001118A1" w:rsidRPr="00AA22F9" w:rsidRDefault="001118A1" w:rsidP="001118A1">
      <w:pPr>
        <w:spacing w:after="0" w:line="480" w:lineRule="auto"/>
        <w:ind w:firstLine="720"/>
        <w:contextualSpacing/>
        <w:rPr>
          <w:rFonts w:ascii="Times New Roman" w:hAnsi="Times New Roman" w:cs="Times New Roman"/>
        </w:rPr>
      </w:pPr>
      <w:r w:rsidRPr="00AA22F9">
        <w:rPr>
          <w:rFonts w:ascii="Times New Roman" w:hAnsi="Times New Roman" w:cs="Times New Roman"/>
        </w:rPr>
        <w:t xml:space="preserve">The study of healthcare innovation has depended upon qualitative research techniques, namely ethnographies, case studies, and policy analysis, which have shown cultural, ethical, and institutional impediments to adoption. Fascia et al. (2023) stressed the importance of the managerial culture over technological preparedness in defining innovation in hospitals; Lottes et al. (2022) provided an example of policy navigating influences on device approvals. Such context-abundant approaches, however, lack cross-system comparability and tend to present innovation as a form of "situated complexity" (Kaplan, 2023). Their lack of scalable insights also makes them less useful in wider policy use. In addition, they also tend to ignore the interaction between external regulatory changes and internal responses to innovation. Intra-organisational dynamic focus, as Williamson and </w:t>
      </w:r>
      <w:proofErr w:type="spellStart"/>
      <w:r w:rsidRPr="00AA22F9">
        <w:rPr>
          <w:rFonts w:ascii="Times New Roman" w:hAnsi="Times New Roman" w:cs="Times New Roman"/>
        </w:rPr>
        <w:t>Prybutok</w:t>
      </w:r>
      <w:proofErr w:type="spellEnd"/>
      <w:r w:rsidRPr="00AA22F9">
        <w:rPr>
          <w:rFonts w:ascii="Times New Roman" w:hAnsi="Times New Roman" w:cs="Times New Roman"/>
        </w:rPr>
        <w:t xml:space="preserve"> (2024) contend, under-represents the role of compliance ecosystems – HIPAA enforcement or telemedicine reimbursement policies – in conditioning the outcomes of innovation. </w:t>
      </w:r>
      <w:r w:rsidRPr="00AA22F9">
        <w:rPr>
          <w:rFonts w:ascii="Times New Roman" w:hAnsi="Times New Roman" w:cs="Times New Roman"/>
        </w:rPr>
        <w:lastRenderedPageBreak/>
        <w:t>In the end, depth is acquired at the cost of generalisability, creating gaps in the knowledge about causal interactions across institutions or regulatory environments.</w:t>
      </w:r>
    </w:p>
    <w:p w14:paraId="27A80A6C" w14:textId="77777777" w:rsidR="001118A1" w:rsidRPr="00AA22F9" w:rsidRDefault="001118A1" w:rsidP="001118A1">
      <w:pPr>
        <w:spacing w:after="0" w:line="480" w:lineRule="auto"/>
        <w:ind w:firstLine="720"/>
        <w:contextualSpacing/>
        <w:rPr>
          <w:rFonts w:ascii="Times New Roman" w:hAnsi="Times New Roman" w:cs="Times New Roman"/>
        </w:rPr>
      </w:pPr>
      <w:r w:rsidRPr="00AA22F9">
        <w:rPr>
          <w:rFonts w:ascii="Times New Roman" w:hAnsi="Times New Roman" w:cs="Times New Roman"/>
        </w:rPr>
        <w:t>The fintech literature is biased towards quantitative designs, such as panel regressions, market diffusion modelling, and statistical indices. Agyei-</w:t>
      </w:r>
      <w:proofErr w:type="spellStart"/>
      <w:r w:rsidRPr="00AA22F9">
        <w:rPr>
          <w:rFonts w:ascii="Times New Roman" w:hAnsi="Times New Roman" w:cs="Times New Roman"/>
        </w:rPr>
        <w:t>Boapeah</w:t>
      </w:r>
      <w:proofErr w:type="spellEnd"/>
      <w:r w:rsidRPr="00AA22F9">
        <w:rPr>
          <w:rFonts w:ascii="Times New Roman" w:hAnsi="Times New Roman" w:cs="Times New Roman"/>
        </w:rPr>
        <w:t xml:space="preserve"> et al. (2022) mapped the development of fintech platforms to the intensity of regulation; </w:t>
      </w:r>
      <w:proofErr w:type="spellStart"/>
      <w:r w:rsidRPr="00AA22F9">
        <w:rPr>
          <w:rFonts w:ascii="Times New Roman" w:hAnsi="Times New Roman" w:cs="Times New Roman"/>
        </w:rPr>
        <w:t>Zetzsche</w:t>
      </w:r>
      <w:proofErr w:type="spellEnd"/>
      <w:r w:rsidRPr="00AA22F9">
        <w:rPr>
          <w:rFonts w:ascii="Times New Roman" w:hAnsi="Times New Roman" w:cs="Times New Roman"/>
        </w:rPr>
        <w:t xml:space="preserve"> et al. (2020) developed indices to measure the openness of jurisdictions. The advantages of these approaches are in their scalability, whereas regulation is frequently boiled down to dichotomous variables, strict or lenient, without attention to enforcement subtleties. Williamson and </w:t>
      </w:r>
      <w:proofErr w:type="spellStart"/>
      <w:r w:rsidRPr="00AA22F9">
        <w:rPr>
          <w:rFonts w:ascii="Times New Roman" w:hAnsi="Times New Roman" w:cs="Times New Roman"/>
        </w:rPr>
        <w:t>Prybutok</w:t>
      </w:r>
      <w:proofErr w:type="spellEnd"/>
      <w:r w:rsidRPr="00AA22F9">
        <w:rPr>
          <w:rFonts w:ascii="Times New Roman" w:hAnsi="Times New Roman" w:cs="Times New Roman"/>
        </w:rPr>
        <w:t xml:space="preserve"> (2024) point out that user trust and cultural resistance to change and ethical issues, which are fundamental in healthcare, are important in finance as well yet understudied. Econometric models do not include institutional frictions, such as how conservative banking cultures or a lack of public trust slow the scaling of fintech. Kaplan (2023) criticises such abstraction as linearising the dynamics of complex regulation into predictors. The cross-sector researchers Pereira et al. (2024) and Junaid et al. (2022) list innovations but do not seem to care about the why-question: why do some technologies thrive under regulation and others stagnate? Devoid of causal modelling, we observe trends, not trajectories. Such a methodological gap favours silos, undermining our capacity to carry out the translation of effective innovation pathways across domains of regulation.</w:t>
      </w:r>
    </w:p>
    <w:p w14:paraId="74A4A8D3" w14:textId="77777777" w:rsidR="001118A1" w:rsidRPr="00AA22F9" w:rsidRDefault="001118A1" w:rsidP="0025346F">
      <w:pPr>
        <w:pStyle w:val="Heading3"/>
      </w:pPr>
      <w:bookmarkStart w:id="133" w:name="_Toc210260677"/>
      <w:bookmarkStart w:id="134" w:name="_Toc210481186"/>
      <w:r w:rsidRPr="00AA22F9">
        <w:t>2.6.2 The Methodological Gap: Absence of Causal Configurational Analysis</w:t>
      </w:r>
      <w:bookmarkEnd w:id="133"/>
      <w:bookmarkEnd w:id="134"/>
    </w:p>
    <w:p w14:paraId="6BED8D74" w14:textId="77777777" w:rsidR="001118A1" w:rsidRPr="00AA22F9" w:rsidRDefault="001118A1" w:rsidP="001118A1">
      <w:pPr>
        <w:spacing w:after="0" w:line="480" w:lineRule="auto"/>
        <w:ind w:firstLine="720"/>
        <w:contextualSpacing/>
        <w:rPr>
          <w:rFonts w:ascii="Times New Roman" w:hAnsi="Times New Roman" w:cs="Times New Roman"/>
        </w:rPr>
      </w:pPr>
      <w:r w:rsidRPr="00AA22F9">
        <w:rPr>
          <w:rFonts w:ascii="Times New Roman" w:hAnsi="Times New Roman" w:cs="Times New Roman"/>
        </w:rPr>
        <w:t xml:space="preserve">The dominant approaches in the study of healthcare and finance innovation are fundamentally incapable of capturing the conjunctural causation of the interaction of regulatory, technological, and organisational drivers to generate outcomes. Linear regression-based methods, as in the study by Kim &amp; Lee (2021) on the relationship between healthcare digitalisation and supply chain performance, isolate variables (e.g., "regulation strictness" vs. "AI investment") and are unable to capture the effect of combinations of conditions, like how FDA approval pathways interact with hospital dynamic capabilities to simultaneously facilitate or inhibit growth. Likewise, thematic studies of innovation obstacles, such as Bhardwaj et al. (2022) on striking a </w:t>
      </w:r>
      <w:r w:rsidRPr="00AA22F9">
        <w:rPr>
          <w:rFonts w:ascii="Times New Roman" w:hAnsi="Times New Roman" w:cs="Times New Roman"/>
        </w:rPr>
        <w:lastRenderedPageBreak/>
        <w:t>cost/quality/access balance in healthcare, uncover common barriers (e.g., HIPAA complexity) but not causal recipes (Ragin, 2008), such as "High Regulatory Burden and Strong Compliance Culture and Modular Tech Design Sustainable Telemedicine Adoption." Such approaches consider factors as independent, which overlooks the fact that regulatory restrictions (e.g., Basel III) can either strengthen or avoid the effects of organisational agility (Agyei-</w:t>
      </w:r>
      <w:proofErr w:type="spellStart"/>
      <w:r w:rsidRPr="00AA22F9">
        <w:rPr>
          <w:rFonts w:ascii="Times New Roman" w:hAnsi="Times New Roman" w:cs="Times New Roman"/>
        </w:rPr>
        <w:t>Boapeah</w:t>
      </w:r>
      <w:proofErr w:type="spellEnd"/>
      <w:r w:rsidRPr="00AA22F9">
        <w:rPr>
          <w:rFonts w:ascii="Times New Roman" w:hAnsi="Times New Roman" w:cs="Times New Roman"/>
        </w:rPr>
        <w:t xml:space="preserve"> et al., 2022), depending on the contextual settings. As a result, the sector-based research (e.g., Mauro et al., 2024, on the drivers of healthcare digitisation) produces dispersed knowledge, incapable of generalising the effect of condition interdependencies on innovation paths in any regulated setting.</w:t>
      </w:r>
    </w:p>
    <w:p w14:paraId="13587D13" w14:textId="77777777" w:rsidR="001118A1" w:rsidRPr="00AA22F9" w:rsidRDefault="001118A1" w:rsidP="0025346F">
      <w:pPr>
        <w:pStyle w:val="Heading3"/>
      </w:pPr>
      <w:bookmarkStart w:id="135" w:name="_Toc210260678"/>
      <w:bookmarkStart w:id="136" w:name="_Toc210481187"/>
      <w:r w:rsidRPr="00AA22F9">
        <w:t>2.6.3 Causal Asymmetry and the Untapped Potential of QCA</w:t>
      </w:r>
      <w:bookmarkEnd w:id="135"/>
      <w:bookmarkEnd w:id="136"/>
    </w:p>
    <w:p w14:paraId="44C304F7" w14:textId="77777777" w:rsidR="001118A1" w:rsidRPr="00AA22F9" w:rsidRDefault="001118A1" w:rsidP="001118A1">
      <w:pPr>
        <w:spacing w:after="0" w:line="480" w:lineRule="auto"/>
        <w:ind w:firstLine="720"/>
        <w:contextualSpacing/>
        <w:rPr>
          <w:rFonts w:ascii="Times New Roman" w:hAnsi="Times New Roman" w:cs="Times New Roman"/>
        </w:rPr>
      </w:pPr>
      <w:r w:rsidRPr="00AA22F9">
        <w:rPr>
          <w:rFonts w:ascii="Times New Roman" w:hAnsi="Times New Roman" w:cs="Times New Roman"/>
          <w:bCs/>
          <w:iCs/>
        </w:rPr>
        <w:t xml:space="preserve">The traditional approaches in the healthcare and finance spheres frequently neglect causal asymmetry, which postulates that factors that facilitate innovation are not merely the reverse of those that lead to failure. Quantitative models, including the analysis of decentralised finance by </w:t>
      </w:r>
      <w:proofErr w:type="spellStart"/>
      <w:r w:rsidRPr="00AA22F9">
        <w:rPr>
          <w:rFonts w:ascii="Times New Roman" w:hAnsi="Times New Roman" w:cs="Times New Roman"/>
          <w:bCs/>
          <w:iCs/>
        </w:rPr>
        <w:t>Zetzsche</w:t>
      </w:r>
      <w:proofErr w:type="spellEnd"/>
      <w:r w:rsidRPr="00AA22F9">
        <w:rPr>
          <w:rFonts w:ascii="Times New Roman" w:hAnsi="Times New Roman" w:cs="Times New Roman"/>
          <w:bCs/>
          <w:iCs/>
        </w:rPr>
        <w:t xml:space="preserve"> et al. (2020), assume symmetric effects, where less regulation always leads to more innovation. However, the example of HIPAA-compliant telemedicine platforms (</w:t>
      </w:r>
      <w:proofErr w:type="spellStart"/>
      <w:r w:rsidRPr="00AA22F9">
        <w:rPr>
          <w:rFonts w:ascii="Times New Roman" w:hAnsi="Times New Roman" w:cs="Times New Roman"/>
          <w:bCs/>
          <w:iCs/>
        </w:rPr>
        <w:t>Nittari</w:t>
      </w:r>
      <w:proofErr w:type="spellEnd"/>
      <w:r w:rsidRPr="00AA22F9">
        <w:rPr>
          <w:rFonts w:ascii="Times New Roman" w:hAnsi="Times New Roman" w:cs="Times New Roman"/>
          <w:bCs/>
          <w:iCs/>
        </w:rPr>
        <w:t xml:space="preserve"> et al., 2022) shows that overwhelming control can positively affect user confidence and promote usage. In a similar vein, Pereira et al. (2024) inventory innovation based on patent analysis and miss the channels through which innovation is generated incrementally by dynamic capabilities (Martin &amp; </w:t>
      </w:r>
      <w:proofErr w:type="spellStart"/>
      <w:r w:rsidRPr="00AA22F9">
        <w:rPr>
          <w:rFonts w:ascii="Times New Roman" w:hAnsi="Times New Roman" w:cs="Times New Roman"/>
          <w:bCs/>
          <w:iCs/>
        </w:rPr>
        <w:t>Steinmueller</w:t>
      </w:r>
      <w:proofErr w:type="spellEnd"/>
      <w:r w:rsidRPr="00AA22F9">
        <w:rPr>
          <w:rFonts w:ascii="Times New Roman" w:hAnsi="Times New Roman" w:cs="Times New Roman"/>
          <w:bCs/>
          <w:iCs/>
        </w:rPr>
        <w:t xml:space="preserve">, 2023). QCA fills this gap with set-theoretic analysis (Ragin, 2008), which allows the unique causal combinations to be spotted. QCA has been proven in healthcare policy research (Raghavan et al., 2021) but has not been used in cross-sector innovation studies. QCA, as implied by Kaplan (2023), Williamson &amp; </w:t>
      </w:r>
      <w:proofErr w:type="spellStart"/>
      <w:r w:rsidRPr="00AA22F9">
        <w:rPr>
          <w:rFonts w:ascii="Times New Roman" w:hAnsi="Times New Roman" w:cs="Times New Roman"/>
          <w:bCs/>
          <w:iCs/>
        </w:rPr>
        <w:t>Prybutok</w:t>
      </w:r>
      <w:proofErr w:type="spellEnd"/>
      <w:r w:rsidRPr="00AA22F9">
        <w:rPr>
          <w:rFonts w:ascii="Times New Roman" w:hAnsi="Times New Roman" w:cs="Times New Roman"/>
          <w:bCs/>
          <w:iCs/>
        </w:rPr>
        <w:t xml:space="preserve"> (2024), Lottes et al. (2022), and Saiyed (2025), may uncover common but diverging innovation trajectories that have been hidden due to the insulated sectoral models.</w:t>
      </w:r>
    </w:p>
    <w:p w14:paraId="08A24104" w14:textId="77777777" w:rsidR="001118A1" w:rsidRPr="00AA22F9" w:rsidRDefault="001118A1" w:rsidP="0025346F">
      <w:pPr>
        <w:pStyle w:val="Heading3"/>
      </w:pPr>
      <w:bookmarkStart w:id="137" w:name="_Toc210260679"/>
      <w:bookmarkStart w:id="138" w:name="_Toc210481188"/>
      <w:r w:rsidRPr="00AA22F9">
        <w:t>2.6.4 Precedents Validating QCA in Adjacent Fields</w:t>
      </w:r>
      <w:bookmarkEnd w:id="137"/>
      <w:bookmarkEnd w:id="138"/>
    </w:p>
    <w:p w14:paraId="53A4DC4B" w14:textId="77777777" w:rsidR="001118A1" w:rsidRPr="00AA22F9" w:rsidRDefault="001118A1" w:rsidP="001118A1">
      <w:pPr>
        <w:spacing w:after="0" w:line="480" w:lineRule="auto"/>
        <w:ind w:firstLine="720"/>
        <w:contextualSpacing/>
        <w:rPr>
          <w:rFonts w:ascii="Times New Roman" w:hAnsi="Times New Roman" w:cs="Times New Roman"/>
          <w:bCs/>
        </w:rPr>
      </w:pPr>
      <w:r w:rsidRPr="00AA22F9">
        <w:rPr>
          <w:rFonts w:ascii="Times New Roman" w:hAnsi="Times New Roman" w:cs="Times New Roman"/>
          <w:bCs/>
        </w:rPr>
        <w:t xml:space="preserve">Qualitative Comparative Analysis (QCA) is increasingly validated in policy and innovation research for its unique capacity to model causal complexity and asymmetry—where multiple </w:t>
      </w:r>
      <w:r w:rsidRPr="00AA22F9">
        <w:rPr>
          <w:rFonts w:ascii="Times New Roman" w:hAnsi="Times New Roman" w:cs="Times New Roman"/>
          <w:bCs/>
        </w:rPr>
        <w:lastRenderedPageBreak/>
        <w:t xml:space="preserve">interacting conditions produce an outcome, and the absence of one condition does not necessarily reverse it. In healthcare policy, Raghavan et al. (2021) applied QCA to examine cloud adoption in Japan, South Korea, and Singapore, revealing distinct causal configurations shaped by cybersecurity policy, public trust, and infrastructure. This nuanced approach aligns with institutional and regulatory interplay observed in studies on AI diagnostics and telemedicine under HIPAA, as highlighted by Paul et al. (2023); </w:t>
      </w:r>
      <w:proofErr w:type="spellStart"/>
      <w:r w:rsidRPr="00AA22F9">
        <w:rPr>
          <w:rFonts w:ascii="Times New Roman" w:hAnsi="Times New Roman" w:cs="Times New Roman"/>
          <w:bCs/>
        </w:rPr>
        <w:t>Nittari</w:t>
      </w:r>
      <w:proofErr w:type="spellEnd"/>
      <w:r w:rsidRPr="00AA22F9">
        <w:rPr>
          <w:rFonts w:ascii="Times New Roman" w:hAnsi="Times New Roman" w:cs="Times New Roman"/>
          <w:bCs/>
        </w:rPr>
        <w:t xml:space="preserve"> et al. (2022); Lottes et al. (2022); and Kaplan (2023). Conversely, while Ringe and Ruof (2020) proposed QCA for evaluating fintech sandbox efficacy, actual empirical applications remain rare. Most studies—such as those by Mhlanga (2024); Saiyed (2025); and Agyei-</w:t>
      </w:r>
      <w:proofErr w:type="spellStart"/>
      <w:r w:rsidRPr="00AA22F9">
        <w:rPr>
          <w:rFonts w:ascii="Times New Roman" w:hAnsi="Times New Roman" w:cs="Times New Roman"/>
          <w:bCs/>
        </w:rPr>
        <w:t>Boapeah</w:t>
      </w:r>
      <w:proofErr w:type="spellEnd"/>
      <w:r w:rsidRPr="00AA22F9">
        <w:rPr>
          <w:rFonts w:ascii="Times New Roman" w:hAnsi="Times New Roman" w:cs="Times New Roman"/>
          <w:bCs/>
        </w:rPr>
        <w:t xml:space="preserve"> et al. (2022)—rely on linear econometric models, thereby missing conjunctural dynamics like institutional trust, open banking architecture, and digital literacy. Broader innovation research further confirms QCA’s value: Haaker et al. (2021) used it to identify business model success in IoT, demonstrating that no single factor—technical modularity, alliances, or policy—was sufficient alone. George and George (2024) and Gangwani and Bhatia (2024) similarly emphasised multivariable interactions in tech ecosystems. These precedents establish QCA as both a rigorous and versatile methodology capable of decoding complex sectoral and cross-sectoral phenomena. As this study spans both healthcare and finance, QCA enables a rare opportunity to map distinct but equally effective innovation trajectories shaped by contrasting regulatory and cultural logics.</w:t>
      </w:r>
    </w:p>
    <w:p w14:paraId="76A3F8AB" w14:textId="77777777" w:rsidR="001118A1" w:rsidRPr="00AA22F9" w:rsidRDefault="001118A1" w:rsidP="0025346F">
      <w:pPr>
        <w:pStyle w:val="Heading3"/>
      </w:pPr>
      <w:bookmarkStart w:id="139" w:name="_Toc210260680"/>
      <w:bookmarkStart w:id="140" w:name="_Toc210481189"/>
      <w:r w:rsidRPr="00AA22F9">
        <w:t>2.6.5 This Study’s Methodological Contribution</w:t>
      </w:r>
      <w:bookmarkEnd w:id="139"/>
      <w:bookmarkEnd w:id="140"/>
    </w:p>
    <w:p w14:paraId="0B87A6A5" w14:textId="77777777" w:rsidR="001118A1" w:rsidRPr="00AA22F9" w:rsidRDefault="001118A1" w:rsidP="001118A1">
      <w:pPr>
        <w:spacing w:after="0" w:line="480" w:lineRule="auto"/>
        <w:ind w:firstLine="720"/>
        <w:contextualSpacing/>
        <w:rPr>
          <w:rFonts w:ascii="Times New Roman" w:hAnsi="Times New Roman" w:cs="Times New Roman"/>
          <w:bCs/>
        </w:rPr>
      </w:pPr>
      <w:r w:rsidRPr="00AA22F9">
        <w:rPr>
          <w:rFonts w:ascii="Times New Roman" w:hAnsi="Times New Roman" w:cs="Times New Roman"/>
          <w:bCs/>
        </w:rPr>
        <w:t>The present study is the first attempt to apply Qualitative Comparative Analysis (QCA) empirically to cross-sector innovation in highly regulated fields (namely, healthcare and finance). It combines the contextual complexity of the health sector literature (Fascia et al., 2023; Lottes et al., 2022) and the result-driven frameworks of fintech research (Saiyed, 2025; Agyei-</w:t>
      </w:r>
      <w:proofErr w:type="spellStart"/>
      <w:r w:rsidRPr="00AA22F9">
        <w:rPr>
          <w:rFonts w:ascii="Times New Roman" w:hAnsi="Times New Roman" w:cs="Times New Roman"/>
          <w:bCs/>
        </w:rPr>
        <w:t>Boapeah</w:t>
      </w:r>
      <w:proofErr w:type="spellEnd"/>
      <w:r w:rsidRPr="00AA22F9">
        <w:rPr>
          <w:rFonts w:ascii="Times New Roman" w:hAnsi="Times New Roman" w:cs="Times New Roman"/>
          <w:bCs/>
        </w:rPr>
        <w:t xml:space="preserve"> et al., 2022). This method finds causal arrangements – such as HIPAA compliance and dynamic leadership in hospitals as a reflection of PSD2-enabled APIs in the financial sector. Earlier studies (Mauro et al., 2024; Raghavan et al., 2021) had been able to grasp only the partial causality, with no systemic </w:t>
      </w:r>
      <w:r w:rsidRPr="00AA22F9">
        <w:rPr>
          <w:rFonts w:ascii="Times New Roman" w:hAnsi="Times New Roman" w:cs="Times New Roman"/>
          <w:bCs/>
        </w:rPr>
        <w:lastRenderedPageBreak/>
        <w:t xml:space="preserve">clarity. The framework addresses </w:t>
      </w:r>
      <w:proofErr w:type="gramStart"/>
      <w:r w:rsidRPr="00AA22F9">
        <w:rPr>
          <w:rFonts w:ascii="Times New Roman" w:hAnsi="Times New Roman" w:cs="Times New Roman"/>
          <w:bCs/>
        </w:rPr>
        <w:t>demands</w:t>
      </w:r>
      <w:proofErr w:type="gramEnd"/>
      <w:r w:rsidRPr="00AA22F9">
        <w:rPr>
          <w:rFonts w:ascii="Times New Roman" w:hAnsi="Times New Roman" w:cs="Times New Roman"/>
          <w:bCs/>
        </w:rPr>
        <w:t xml:space="preserve"> of cross-institutional modelling (George &amp; George, 2024; Pereira et al., 2024). QCA triangulation of results with machine-readable regulatory intelligence (</w:t>
      </w:r>
      <w:proofErr w:type="spellStart"/>
      <w:r w:rsidRPr="00AA22F9">
        <w:rPr>
          <w:rFonts w:ascii="Times New Roman" w:hAnsi="Times New Roman" w:cs="Times New Roman"/>
          <w:bCs/>
        </w:rPr>
        <w:t>Zetzsche</w:t>
      </w:r>
      <w:proofErr w:type="spellEnd"/>
      <w:r w:rsidRPr="00AA22F9">
        <w:rPr>
          <w:rFonts w:ascii="Times New Roman" w:hAnsi="Times New Roman" w:cs="Times New Roman"/>
          <w:bCs/>
        </w:rPr>
        <w:t xml:space="preserve"> et al., 2020; Ringe &amp; Ruof, 2020) is also part of the study, as is the integration of legal analytics as proposed by Oloyede (2025) and Buckley et al. (2020).</w:t>
      </w:r>
    </w:p>
    <w:p w14:paraId="6E10B86B" w14:textId="77777777" w:rsidR="001118A1" w:rsidRPr="00AA22F9" w:rsidRDefault="001118A1" w:rsidP="001118A1">
      <w:pPr>
        <w:spacing w:after="0" w:line="480" w:lineRule="auto"/>
        <w:ind w:firstLine="720"/>
        <w:contextualSpacing/>
        <w:rPr>
          <w:rFonts w:ascii="Times New Roman" w:hAnsi="Times New Roman" w:cs="Times New Roman"/>
          <w:bCs/>
        </w:rPr>
      </w:pPr>
      <w:r w:rsidRPr="00AA22F9">
        <w:rPr>
          <w:rFonts w:ascii="Times New Roman" w:hAnsi="Times New Roman" w:cs="Times New Roman"/>
          <w:bCs/>
        </w:rPr>
        <w:t xml:space="preserve">This triangular approach guarantees the calibration of QCA conditions not merely </w:t>
      </w:r>
      <w:proofErr w:type="gramStart"/>
      <w:r w:rsidRPr="00AA22F9">
        <w:rPr>
          <w:rFonts w:ascii="Times New Roman" w:hAnsi="Times New Roman" w:cs="Times New Roman"/>
          <w:bCs/>
        </w:rPr>
        <w:t>on the basis of</w:t>
      </w:r>
      <w:proofErr w:type="gramEnd"/>
      <w:r w:rsidRPr="00AA22F9">
        <w:rPr>
          <w:rFonts w:ascii="Times New Roman" w:hAnsi="Times New Roman" w:cs="Times New Roman"/>
          <w:bCs/>
        </w:rPr>
        <w:t xml:space="preserve"> case narratives but </w:t>
      </w:r>
      <w:proofErr w:type="gramStart"/>
      <w:r w:rsidRPr="00AA22F9">
        <w:rPr>
          <w:rFonts w:ascii="Times New Roman" w:hAnsi="Times New Roman" w:cs="Times New Roman"/>
          <w:bCs/>
        </w:rPr>
        <w:t>on the basis of</w:t>
      </w:r>
      <w:proofErr w:type="gramEnd"/>
      <w:r w:rsidRPr="00AA22F9">
        <w:rPr>
          <w:rFonts w:ascii="Times New Roman" w:hAnsi="Times New Roman" w:cs="Times New Roman"/>
          <w:bCs/>
        </w:rPr>
        <w:t xml:space="preserve"> live regulatory situations, including GDPR enforcement patterns, PSD2 modifications and HIPAA reinterpretations. It prioritises external validity and at the same time measures the dynamics of compliance in real time. This regulatory realism would boost predictive usefulness in the quality of algorithmic fairness, embedded finance, and digital ID ecosystems. Most notably, the design directly addresses the critique of isolated complexity (Kaplan, 2023) by mapping interdependent, cross-sector causal sets. It demonstrates the combination of institutional protections, adaptive strengths, and facilitating policy settings to cause regulated innovation (Williamson &amp; </w:t>
      </w:r>
      <w:proofErr w:type="spellStart"/>
      <w:r w:rsidRPr="00AA22F9">
        <w:rPr>
          <w:rFonts w:ascii="Times New Roman" w:hAnsi="Times New Roman" w:cs="Times New Roman"/>
          <w:bCs/>
        </w:rPr>
        <w:t>Prybutok</w:t>
      </w:r>
      <w:proofErr w:type="spellEnd"/>
      <w:r w:rsidRPr="00AA22F9">
        <w:rPr>
          <w:rFonts w:ascii="Times New Roman" w:hAnsi="Times New Roman" w:cs="Times New Roman"/>
          <w:bCs/>
        </w:rPr>
        <w:t>, 2024; Shukla et al., 2025). It further bridges qualitative determinants of resistance to healthcare (Fascia et al., 2023) and digital trust facilitators in finance (Saiyed, 2025) to provide a common structure of policy design. Finally, QCA can be seen not only as a diagnostic methodology but also as a roadmap to integrated system redesign in the more complex regulatory arenas.</w:t>
      </w:r>
    </w:p>
    <w:p w14:paraId="127FCEB8" w14:textId="77777777" w:rsidR="001118A1" w:rsidRPr="00AA22F9" w:rsidRDefault="001118A1" w:rsidP="0025346F">
      <w:pPr>
        <w:pStyle w:val="Heading2"/>
      </w:pPr>
      <w:bookmarkStart w:id="141" w:name="_Toc210260681"/>
      <w:bookmarkStart w:id="142" w:name="_Toc210481190"/>
      <w:r w:rsidRPr="00AA22F9">
        <w:t>2.7 Research Design Literature</w:t>
      </w:r>
      <w:bookmarkEnd w:id="141"/>
      <w:bookmarkEnd w:id="142"/>
    </w:p>
    <w:p w14:paraId="4C2A2769" w14:textId="77777777" w:rsidR="001118A1" w:rsidRPr="00AA22F9" w:rsidRDefault="001118A1" w:rsidP="0025346F">
      <w:pPr>
        <w:pStyle w:val="Heading3"/>
      </w:pPr>
      <w:bookmarkStart w:id="143" w:name="_Toc210260682"/>
      <w:bookmarkStart w:id="144" w:name="_Toc210481191"/>
      <w:r w:rsidRPr="00AA22F9">
        <w:t>2.7.1 Germinal Foundations of QCA</w:t>
      </w:r>
      <w:bookmarkEnd w:id="143"/>
      <w:bookmarkEnd w:id="144"/>
    </w:p>
    <w:p w14:paraId="0836B453" w14:textId="77777777" w:rsidR="001118A1" w:rsidRPr="00AA22F9" w:rsidRDefault="001118A1" w:rsidP="001118A1">
      <w:pPr>
        <w:spacing w:after="0" w:line="480" w:lineRule="auto"/>
        <w:ind w:firstLine="720"/>
        <w:contextualSpacing/>
        <w:rPr>
          <w:rFonts w:ascii="Times New Roman" w:hAnsi="Times New Roman" w:cs="Times New Roman"/>
          <w:bCs/>
        </w:rPr>
      </w:pPr>
      <w:r w:rsidRPr="00AA22F9">
        <w:rPr>
          <w:rFonts w:ascii="Times New Roman" w:hAnsi="Times New Roman" w:cs="Times New Roman"/>
          <w:bCs/>
        </w:rPr>
        <w:t xml:space="preserve">Qualitative Comparative Analysis (QCA), developed by Ragin (2008), is a method that challenges the traditional variable-based approaches to employ set-theoretic logic and Boolean algebra to understand causal complexity. In contrast to regression models with their additive net effects, QCA establishes conjunctural causation, whereby combinations of conditions (e.g., “Regulatory Sandbox + Dynamic Capabilities”) jointly generate outcomes such as innovation growth. The approach is especially suitable when necessary and sufficient conditions differ over cases. As an example, HIPAA compliance will not automatically initiate the innovation unless it is </w:t>
      </w:r>
      <w:r w:rsidRPr="00AA22F9">
        <w:rPr>
          <w:rFonts w:ascii="Times New Roman" w:hAnsi="Times New Roman" w:cs="Times New Roman"/>
          <w:bCs/>
        </w:rPr>
        <w:lastRenderedPageBreak/>
        <w:t>combined with dynamic leadership and funded securely. Schneider and Wagemann (2012) further increased the methodological strengths of QCA by formalising the concept of causal asymmetry. QCA already recognised that although one combination might be associated with innovation, the lack of that combination did not imply stagnation. Sector-specific asymmetries can be compatible with such logic: heavy regulation can establish trust in healthcare but prevent fintech dexterity. The analytical flexibility of QCA is best suited to regulated settings in which policies, institutional capacities, and cultural norms relate in non-linear combinations. Haaker et al. (2021) showed that it can be applied to the analysis of IoT business models, where the market success is determined by a combination of various aspects, including user trust, regulatory environment, and technical architecture. These seminal works confirm the usefulness of QCA to sort out complex interdependencies that can confound linear approaches; thus, QCA is particularly well adapted to this cross-sector innovation examination.</w:t>
      </w:r>
      <w:r w:rsidRPr="00AA22F9">
        <w:rPr>
          <w:rFonts w:ascii="Times New Roman" w:hAnsi="Times New Roman" w:cs="Times New Roman"/>
        </w:rPr>
        <w:t xml:space="preserve"> </w:t>
      </w:r>
      <w:r w:rsidRPr="00AA22F9">
        <w:rPr>
          <w:rFonts w:ascii="Times New Roman" w:hAnsi="Times New Roman" w:cs="Times New Roman"/>
          <w:bCs/>
        </w:rPr>
        <w:t xml:space="preserve">QCA’s logic of equifinality and causal asymmetry aligns with the theoretical lens adopted in this study. Specifically, healthcare’s incremental innovation model (Teece’s Dynamic Capabilities) and finance’s disruptive scaling model (Christensen’s Disruption Theory) represent divergent but equally effective configurations for navigating regulatory complexity. QCA allows for identifying these distinct causal pathways, making it an ideal fit for </w:t>
      </w:r>
      <w:proofErr w:type="spellStart"/>
      <w:r w:rsidRPr="00AA22F9">
        <w:rPr>
          <w:rFonts w:ascii="Times New Roman" w:hAnsi="Times New Roman" w:cs="Times New Roman"/>
          <w:bCs/>
        </w:rPr>
        <w:t>modeling</w:t>
      </w:r>
      <w:proofErr w:type="spellEnd"/>
      <w:r w:rsidRPr="00AA22F9">
        <w:rPr>
          <w:rFonts w:ascii="Times New Roman" w:hAnsi="Times New Roman" w:cs="Times New Roman"/>
          <w:bCs/>
        </w:rPr>
        <w:t xml:space="preserve"> cross-sectoral compliance-driven innovation.</w:t>
      </w:r>
    </w:p>
    <w:p w14:paraId="35B08B13" w14:textId="77777777" w:rsidR="001118A1" w:rsidRPr="00AA22F9" w:rsidRDefault="001118A1" w:rsidP="0025346F">
      <w:pPr>
        <w:pStyle w:val="Heading3"/>
      </w:pPr>
      <w:bookmarkStart w:id="145" w:name="_Toc210260683"/>
      <w:bookmarkStart w:id="146" w:name="_Toc210481192"/>
      <w:r w:rsidRPr="00AA22F9">
        <w:t>2.7.2 Evolution and Validation in Policy/Innovation Research</w:t>
      </w:r>
      <w:bookmarkEnd w:id="145"/>
      <w:bookmarkEnd w:id="146"/>
    </w:p>
    <w:p w14:paraId="50D43736" w14:textId="77777777" w:rsidR="001118A1" w:rsidRPr="00AA22F9" w:rsidRDefault="001118A1" w:rsidP="001118A1">
      <w:pPr>
        <w:spacing w:after="0" w:line="480" w:lineRule="auto"/>
        <w:ind w:firstLine="720"/>
        <w:contextualSpacing/>
        <w:rPr>
          <w:rFonts w:ascii="Times New Roman" w:hAnsi="Times New Roman" w:cs="Times New Roman"/>
          <w:bCs/>
        </w:rPr>
      </w:pPr>
      <w:r w:rsidRPr="00AA22F9">
        <w:rPr>
          <w:rFonts w:ascii="Times New Roman" w:hAnsi="Times New Roman" w:cs="Times New Roman"/>
          <w:bCs/>
        </w:rPr>
        <w:t xml:space="preserve">QCA has progressively been validated in policy and innovation studies. Raghavan et al. (2021) used QCA in the healthcare sector to reveal the cloud adoption patterns in Japan, South Korea, and Singapore, thus demonstrating the importance of the combinations of policy flexibility, funding schemes, and technological preparedness in digitalising public health. Though good in application, their application in only one sector restricts its comparative analysis. The present study builds upon such effort by using QCA in two regulated sectors, namely, healthcare and finance, thus allowing to determine common or differing causal “recipes” of innovation. Ringe and Ruof (2020), also in the field of finance, suggested QCA as a method to evaluate the outcomes of regulatory </w:t>
      </w:r>
      <w:r w:rsidRPr="00AA22F9">
        <w:rPr>
          <w:rFonts w:ascii="Times New Roman" w:hAnsi="Times New Roman" w:cs="Times New Roman"/>
          <w:bCs/>
        </w:rPr>
        <w:lastRenderedPageBreak/>
        <w:t>sandboxes, claiming that it might help understand which institutional and policy variables contribute to fintech success. Their work, however, did not empirically follow through, which this study has attempted to fill by implementing the method on actual cases. Additionally, patent studies such as those by Pereira et al. (2024), although useful in tracking innovation outputs at the sectoral level, do not simulate the configurational interaction among regulatory settings, strategic capabilities, and innovation performance. The advantage of QCA is that it compares causal paths, not merely counts – it provides an explanatory power that cannot be found in patent or adoption surveys alone. This puts the current study at the methodological edge, extending the scope of QCA use from sector-specific to cross-sectoral modelling of innovation.</w:t>
      </w:r>
    </w:p>
    <w:p w14:paraId="7856EE40" w14:textId="77777777" w:rsidR="001118A1" w:rsidRPr="00AA22F9" w:rsidRDefault="001118A1" w:rsidP="0025346F">
      <w:pPr>
        <w:pStyle w:val="Heading3"/>
      </w:pPr>
      <w:bookmarkStart w:id="147" w:name="_Toc210260684"/>
      <w:bookmarkStart w:id="148" w:name="_Toc210481193"/>
      <w:r w:rsidRPr="00AA22F9">
        <w:t>2.7.3 Addressing QCA Critiques with Triangulation</w:t>
      </w:r>
      <w:bookmarkEnd w:id="147"/>
      <w:bookmarkEnd w:id="148"/>
    </w:p>
    <w:p w14:paraId="39FF1313" w14:textId="77777777" w:rsidR="001118A1" w:rsidRPr="00AA22F9" w:rsidRDefault="001118A1" w:rsidP="001118A1">
      <w:pPr>
        <w:spacing w:after="0" w:line="480" w:lineRule="auto"/>
        <w:ind w:firstLine="720"/>
        <w:contextualSpacing/>
        <w:rPr>
          <w:rFonts w:ascii="Times New Roman" w:hAnsi="Times New Roman" w:cs="Times New Roman"/>
          <w:bCs/>
        </w:rPr>
      </w:pPr>
      <w:r w:rsidRPr="00AA22F9">
        <w:rPr>
          <w:rFonts w:ascii="Times New Roman" w:hAnsi="Times New Roman" w:cs="Times New Roman"/>
          <w:bCs/>
        </w:rPr>
        <w:t xml:space="preserve">Although QCA is associated with strengths, it has been criticised, especially in the context of reliability and generalisability of small-N samples. Beaulieu and Lehoux (2018) warn that cases with small volumes may yield brittle inferences, particularly in the presence of high contextual variance. In this regard, the present research includes various types of </w:t>
      </w:r>
      <w:proofErr w:type="gramStart"/>
      <w:r w:rsidRPr="00AA22F9">
        <w:rPr>
          <w:rFonts w:ascii="Times New Roman" w:hAnsi="Times New Roman" w:cs="Times New Roman"/>
          <w:bCs/>
        </w:rPr>
        <w:t>triangulation</w:t>
      </w:r>
      <w:proofErr w:type="gramEnd"/>
      <w:r w:rsidRPr="00AA22F9">
        <w:rPr>
          <w:rFonts w:ascii="Times New Roman" w:hAnsi="Times New Roman" w:cs="Times New Roman"/>
          <w:bCs/>
        </w:rPr>
        <w:t xml:space="preserve">. First, it integrates QCA with regulator interviews and trend analysis of compliance (e.g., GDPR enforcements, HIPAA reinterpretations) obtained via platforms such as Thomson Reuters. This conditions the calibration process of condition enrichment with set definitions based on regulatory dynamics in real time. Second, it uses strong calibration with the </w:t>
      </w:r>
      <w:proofErr w:type="spellStart"/>
      <w:r w:rsidRPr="00AA22F9">
        <w:rPr>
          <w:rFonts w:ascii="Times New Roman" w:hAnsi="Times New Roman" w:cs="Times New Roman"/>
          <w:bCs/>
        </w:rPr>
        <w:t>fsQCA</w:t>
      </w:r>
      <w:proofErr w:type="spellEnd"/>
      <w:r w:rsidRPr="00AA22F9">
        <w:rPr>
          <w:rFonts w:ascii="Times New Roman" w:hAnsi="Times New Roman" w:cs="Times New Roman"/>
          <w:bCs/>
        </w:rPr>
        <w:t xml:space="preserve"> software suggested by Rihoux and Ragin (2009) but with fuzzy-set membership scores instead of the binary thresholds. This provides sophistication and factual malleability. In terms of generalisability, the study focuses on analytic generalisation, rather than statistical generalisation, given the intention to contribute to the extension of theory, rather than to forecast population behaviour, following Yin's (2014) framework. By doing so, QCA would allow theory-building by way of complexity instead of abstraction. The use of multi-source evidence and methodological rigour allows addressing reliability concerns while at the same time getting the most out of the explanatory richness that </w:t>
      </w:r>
      <w:r w:rsidRPr="00AA22F9">
        <w:rPr>
          <w:rFonts w:ascii="Times New Roman" w:hAnsi="Times New Roman" w:cs="Times New Roman"/>
          <w:bCs/>
        </w:rPr>
        <w:lastRenderedPageBreak/>
        <w:t>QCA can provide. It turns criticism into opportunity, bolstering the credibility of the methodology and reinforcing its applicability to the highly regulated, innovation-sensitive settings.</w:t>
      </w:r>
    </w:p>
    <w:p w14:paraId="098B8344" w14:textId="77777777" w:rsidR="001118A1" w:rsidRPr="00AA22F9" w:rsidRDefault="001118A1" w:rsidP="0025346F">
      <w:pPr>
        <w:pStyle w:val="Heading3"/>
      </w:pPr>
      <w:bookmarkStart w:id="149" w:name="_Toc210260685"/>
      <w:bookmarkStart w:id="150" w:name="_Toc210481194"/>
      <w:r w:rsidRPr="00AA22F9">
        <w:t>2.7.4 This Study’s Design Advancements</w:t>
      </w:r>
      <w:bookmarkEnd w:id="149"/>
      <w:bookmarkEnd w:id="150"/>
    </w:p>
    <w:p w14:paraId="4837867E" w14:textId="77777777" w:rsidR="001118A1" w:rsidRPr="00AA22F9" w:rsidRDefault="001118A1" w:rsidP="001118A1">
      <w:pPr>
        <w:spacing w:after="0" w:line="480" w:lineRule="auto"/>
        <w:ind w:firstLine="720"/>
        <w:contextualSpacing/>
        <w:rPr>
          <w:rFonts w:ascii="Times New Roman" w:hAnsi="Times New Roman" w:cs="Times New Roman"/>
          <w:bCs/>
        </w:rPr>
      </w:pPr>
      <w:r w:rsidRPr="00AA22F9">
        <w:rPr>
          <w:rFonts w:ascii="Times New Roman" w:hAnsi="Times New Roman" w:cs="Times New Roman"/>
          <w:bCs/>
        </w:rPr>
        <w:t xml:space="preserve">The proposed study is the first to apply QCA across sectors to innovation issues in both healthcare and finance, which are typically examined separately. As Kaplan (2023) finds, innovation research is afflicted by a problem of "isolated complexity": detailed knowledge of sectors does not transfer between fields. Filling these silos, the study presents an integrated model to conceptualise the relationships between regulation and institutional capacity to affect innovation outcomes. It also supplements QCA with triangulated information on compliance databases and professional interviews, which had previously been absent in QCA studies, including Raghavan et al. (2021) and Haaker et al. (2021). The innovation reinforces causal calibration and contextualises the findings. Lastly, the article operationalises its theoretical framework, i.e., the combination of dynamic capabilities (Teece et al., 1997) and disruptive innovation (Christensen, 1997), in a QCA design. That synergy allows compound proposition testing, including "High compliance culture + sandbox flexibility + adaptive leadership = faster cross-sector innovation." In mapping such configurations, the research not only </w:t>
      </w:r>
      <w:proofErr w:type="gramStart"/>
      <w:r w:rsidRPr="00AA22F9">
        <w:rPr>
          <w:rFonts w:ascii="Times New Roman" w:hAnsi="Times New Roman" w:cs="Times New Roman"/>
          <w:bCs/>
        </w:rPr>
        <w:t>offers an explanation of</w:t>
      </w:r>
      <w:proofErr w:type="gramEnd"/>
      <w:r w:rsidRPr="00AA22F9">
        <w:rPr>
          <w:rFonts w:ascii="Times New Roman" w:hAnsi="Times New Roman" w:cs="Times New Roman"/>
          <w:bCs/>
        </w:rPr>
        <w:t xml:space="preserve"> outcomes but also offers strategic roadmaps to policy and institutional reform. Concisely, the methodological framework is original and productive, and it advances the horizon of QCA.</w:t>
      </w:r>
    </w:p>
    <w:p w14:paraId="152F71DC" w14:textId="77777777" w:rsidR="001118A1" w:rsidRPr="00AA22F9" w:rsidRDefault="001118A1" w:rsidP="0025346F">
      <w:pPr>
        <w:pStyle w:val="Heading2"/>
      </w:pPr>
      <w:bookmarkStart w:id="151" w:name="_Toc210260686"/>
      <w:bookmarkStart w:id="152" w:name="_Toc210481195"/>
      <w:r w:rsidRPr="00AA22F9">
        <w:t>2.8 Conclusions</w:t>
      </w:r>
      <w:bookmarkEnd w:id="151"/>
      <w:bookmarkEnd w:id="152"/>
    </w:p>
    <w:p w14:paraId="582FAF7B" w14:textId="77777777" w:rsidR="001118A1" w:rsidRPr="00AA22F9" w:rsidRDefault="001118A1" w:rsidP="001118A1">
      <w:pPr>
        <w:spacing w:after="0" w:line="480" w:lineRule="auto"/>
        <w:ind w:firstLine="720"/>
        <w:contextualSpacing/>
        <w:rPr>
          <w:rFonts w:ascii="Times New Roman" w:hAnsi="Times New Roman" w:cs="Times New Roman"/>
          <w:bCs/>
        </w:rPr>
      </w:pPr>
      <w:r w:rsidRPr="00AA22F9">
        <w:rPr>
          <w:rFonts w:ascii="Times New Roman" w:hAnsi="Times New Roman" w:cs="Times New Roman"/>
          <w:bCs/>
        </w:rPr>
        <w:t xml:space="preserve">Through the analysed literature, </w:t>
      </w:r>
      <w:proofErr w:type="gramStart"/>
      <w:r w:rsidRPr="00AA22F9">
        <w:rPr>
          <w:rFonts w:ascii="Times New Roman" w:hAnsi="Times New Roman" w:cs="Times New Roman"/>
          <w:bCs/>
        </w:rPr>
        <w:t>it is clear that innovation</w:t>
      </w:r>
      <w:proofErr w:type="gramEnd"/>
      <w:r w:rsidRPr="00AA22F9">
        <w:rPr>
          <w:rFonts w:ascii="Times New Roman" w:hAnsi="Times New Roman" w:cs="Times New Roman"/>
          <w:bCs/>
        </w:rPr>
        <w:t xml:space="preserve"> in regulated industries like healthcare and finance has received academic interest; nevertheless, the studies are still fragmented both in the theoretical conceptualisation and the construction of methods. In healthcare research, context-dependent qualitative approaches, including ethnographies and policy studies, are frequently used, revealing micro-level obstacles such as clinician resistance or institutional inertness (Fascia et al., 2023; Lottes et al., 2022). Nevertheless, such insights cannot be generalised across institutions and frequently do not extrapolate causal dynamics across systems (Kaplan, 2023). </w:t>
      </w:r>
      <w:r w:rsidRPr="00AA22F9">
        <w:rPr>
          <w:rFonts w:ascii="Times New Roman" w:hAnsi="Times New Roman" w:cs="Times New Roman"/>
          <w:bCs/>
        </w:rPr>
        <w:lastRenderedPageBreak/>
        <w:t>Conversely, fintech studies rely on econometric modelling and statistical abstraction (Agyei-</w:t>
      </w:r>
      <w:proofErr w:type="spellStart"/>
      <w:r w:rsidRPr="00AA22F9">
        <w:rPr>
          <w:rFonts w:ascii="Times New Roman" w:hAnsi="Times New Roman" w:cs="Times New Roman"/>
          <w:bCs/>
        </w:rPr>
        <w:t>Boapeah</w:t>
      </w:r>
      <w:proofErr w:type="spellEnd"/>
      <w:r w:rsidRPr="00AA22F9">
        <w:rPr>
          <w:rFonts w:ascii="Times New Roman" w:hAnsi="Times New Roman" w:cs="Times New Roman"/>
          <w:bCs/>
        </w:rPr>
        <w:t xml:space="preserve"> et al., 2022; </w:t>
      </w:r>
      <w:proofErr w:type="spellStart"/>
      <w:r w:rsidRPr="00AA22F9">
        <w:rPr>
          <w:rFonts w:ascii="Times New Roman" w:hAnsi="Times New Roman" w:cs="Times New Roman"/>
          <w:bCs/>
        </w:rPr>
        <w:t>Zetzsche</w:t>
      </w:r>
      <w:proofErr w:type="spellEnd"/>
      <w:r w:rsidRPr="00AA22F9">
        <w:rPr>
          <w:rFonts w:ascii="Times New Roman" w:hAnsi="Times New Roman" w:cs="Times New Roman"/>
          <w:bCs/>
        </w:rPr>
        <w:t xml:space="preserve"> et al., 2020), which seizes trends but underrates cultural frictions and compliance peculiarities. Cross-sectoral research is mostly descriptive, recording technologies instead of describing the outcomes of innovation under regulatory pressure (Pereira et al., 2024; Junaid et al., 2022). This testifies to a methodological deficit in the grasp of complex, conjunctural causality involving regulation, organisational capabilities and innovation paths.</w:t>
      </w:r>
    </w:p>
    <w:p w14:paraId="386BE21E" w14:textId="77777777" w:rsidR="001118A1" w:rsidRPr="00AA22F9" w:rsidRDefault="001118A1" w:rsidP="001118A1">
      <w:pPr>
        <w:spacing w:after="0" w:line="480" w:lineRule="auto"/>
        <w:ind w:firstLine="720"/>
        <w:contextualSpacing/>
        <w:rPr>
          <w:rFonts w:ascii="Times New Roman" w:hAnsi="Times New Roman" w:cs="Times New Roman"/>
          <w:bCs/>
        </w:rPr>
      </w:pPr>
      <w:proofErr w:type="gramStart"/>
      <w:r w:rsidRPr="00AA22F9">
        <w:rPr>
          <w:rFonts w:ascii="Times New Roman" w:hAnsi="Times New Roman" w:cs="Times New Roman"/>
          <w:bCs/>
        </w:rPr>
        <w:t>In order to</w:t>
      </w:r>
      <w:proofErr w:type="gramEnd"/>
      <w:r w:rsidRPr="00AA22F9">
        <w:rPr>
          <w:rFonts w:ascii="Times New Roman" w:hAnsi="Times New Roman" w:cs="Times New Roman"/>
          <w:bCs/>
        </w:rPr>
        <w:t xml:space="preserve"> overcome these shortcomings, the chapter suggests Qualitative Comparative Analysis (QCA) as a promising but little-used method in this research area. The set-theoretic logic of QCA allows analysing how the </w:t>
      </w:r>
      <w:proofErr w:type="gramStart"/>
      <w:r w:rsidRPr="00AA22F9">
        <w:rPr>
          <w:rFonts w:ascii="Times New Roman" w:hAnsi="Times New Roman" w:cs="Times New Roman"/>
          <w:bCs/>
        </w:rPr>
        <w:t>particular mixture</w:t>
      </w:r>
      <w:proofErr w:type="gramEnd"/>
      <w:r w:rsidRPr="00AA22F9">
        <w:rPr>
          <w:rFonts w:ascii="Times New Roman" w:hAnsi="Times New Roman" w:cs="Times New Roman"/>
          <w:bCs/>
        </w:rPr>
        <w:t xml:space="preserve"> of conditions, e.g., dynamic capabilities and regulatory sandbox frameworks, can trigger innovation outcomes in various settings (Ragin, 2008; Schneider &amp; Wagemann, 2012). Despite some applications of QCA to healthcare policy (Raghavan et al., 2021) and some suggestions to apply it to fintech assessment (Ringe &amp; Ruof, 2020), no current research has utilised it to explore innovation in both fields in a cross-sector analysis. The contribution of this research is QCA triangulated with regulatory analytics and theory-guided calibration, filling methodological gaps and theoretical silos. By so doing, it experimentally evaluates the interplay of disruptive innovation and dynamic capabilities within specific institutional ecosystems, eventually contributing to the discourse on how regulated industries could promote innovation without affecting compliance, ethics, or systemic stability.</w:t>
      </w:r>
    </w:p>
    <w:p w14:paraId="1DCE69F9" w14:textId="77777777" w:rsidR="001118A1" w:rsidRPr="00AA22F9" w:rsidRDefault="001118A1" w:rsidP="001118A1">
      <w:pPr>
        <w:spacing w:after="0" w:line="480" w:lineRule="auto"/>
        <w:contextualSpacing/>
        <w:rPr>
          <w:rFonts w:ascii="Times New Roman" w:hAnsi="Times New Roman" w:cs="Times New Roman"/>
          <w:bCs/>
        </w:rPr>
      </w:pPr>
      <w:r w:rsidRPr="00AA22F9">
        <w:rPr>
          <w:rFonts w:ascii="Times New Roman" w:hAnsi="Times New Roman" w:cs="Times New Roman"/>
          <w:bCs/>
        </w:rPr>
        <w:br w:type="page"/>
      </w:r>
    </w:p>
    <w:p w14:paraId="12C43D77" w14:textId="77777777" w:rsidR="001118A1" w:rsidRPr="00AA22F9" w:rsidRDefault="001118A1" w:rsidP="003B5E0C">
      <w:pPr>
        <w:pStyle w:val="Heading1"/>
      </w:pPr>
      <w:bookmarkStart w:id="153" w:name="_Toc210260687"/>
      <w:bookmarkStart w:id="154" w:name="_Toc210481196"/>
      <w:r w:rsidRPr="00AA22F9">
        <w:lastRenderedPageBreak/>
        <w:t>References</w:t>
      </w:r>
      <w:bookmarkEnd w:id="153"/>
      <w:bookmarkEnd w:id="154"/>
    </w:p>
    <w:p w14:paraId="0D76C710" w14:textId="77777777" w:rsidR="001118A1" w:rsidRPr="00AA22F9" w:rsidRDefault="001118A1" w:rsidP="001118A1">
      <w:pPr>
        <w:pStyle w:val="NormalWeb"/>
        <w:spacing w:before="0" w:beforeAutospacing="0" w:after="0" w:afterAutospacing="0" w:line="480" w:lineRule="auto"/>
        <w:ind w:left="720" w:hanging="720"/>
        <w:contextualSpacing/>
      </w:pPr>
      <w:r w:rsidRPr="00AA22F9">
        <w:rPr>
          <w:bCs/>
        </w:rPr>
        <w:t>Adner, R.</w:t>
      </w:r>
      <w:r w:rsidRPr="00AA22F9">
        <w:t> (2012). </w:t>
      </w:r>
      <w:r w:rsidRPr="00AA22F9">
        <w:rPr>
          <w:i/>
          <w:iCs/>
        </w:rPr>
        <w:t>The Wide Lens: What Successful Innovators See That Others Miss</w:t>
      </w:r>
      <w:r w:rsidRPr="00AA22F9">
        <w:t xml:space="preserve">. </w:t>
      </w:r>
      <w:hyperlink r:id="rId6" w:history="1">
        <w:r w:rsidRPr="00AA22F9">
          <w:rPr>
            <w:rStyle w:val="Hyperlink"/>
            <w:rFonts w:eastAsiaTheme="majorEastAsia"/>
          </w:rPr>
          <w:t>https://pdfs.semanticscholar.org/470a/60ae86e74a3aee3f34d2f2dda1d9b08f727a.pdf</w:t>
        </w:r>
      </w:hyperlink>
    </w:p>
    <w:p w14:paraId="20BF7992" w14:textId="77777777" w:rsidR="001118A1" w:rsidRPr="00AA22F9" w:rsidRDefault="001118A1" w:rsidP="001118A1">
      <w:pPr>
        <w:pStyle w:val="NormalWeb"/>
        <w:spacing w:before="0" w:beforeAutospacing="0" w:after="0" w:afterAutospacing="0" w:line="480" w:lineRule="auto"/>
        <w:ind w:left="720" w:hanging="720"/>
        <w:contextualSpacing/>
        <w:rPr>
          <w:bCs/>
        </w:rPr>
      </w:pPr>
      <w:r w:rsidRPr="00AA22F9">
        <w:rPr>
          <w:bCs/>
        </w:rPr>
        <w:t>Agyei-</w:t>
      </w:r>
      <w:proofErr w:type="spellStart"/>
      <w:r w:rsidRPr="00AA22F9">
        <w:rPr>
          <w:bCs/>
        </w:rPr>
        <w:t>Boapeah</w:t>
      </w:r>
      <w:proofErr w:type="spellEnd"/>
      <w:r w:rsidRPr="00AA22F9">
        <w:rPr>
          <w:bCs/>
        </w:rPr>
        <w:t>, H, Evans, R &amp; Nisar, TM 2022, ‘Disruptive innovation: Designing business platforms for new financial services’, </w:t>
      </w:r>
      <w:r w:rsidRPr="00AA22F9">
        <w:rPr>
          <w:bCs/>
          <w:i/>
          <w:iCs/>
        </w:rPr>
        <w:t>Journal of Business Research</w:t>
      </w:r>
      <w:r w:rsidRPr="00AA22F9">
        <w:rPr>
          <w:bCs/>
        </w:rPr>
        <w:t>, vol. 150, pp. 134–146.</w:t>
      </w:r>
      <w:r w:rsidRPr="00AA22F9">
        <w:t xml:space="preserve"> </w:t>
      </w:r>
      <w:hyperlink r:id="rId7" w:history="1">
        <w:r w:rsidRPr="00AA22F9">
          <w:rPr>
            <w:rStyle w:val="Hyperlink"/>
            <w:rFonts w:eastAsiaTheme="majorEastAsia"/>
            <w:bCs/>
          </w:rPr>
          <w:t>https://doi.org/10.1016/j.jbusres.2022.05.066</w:t>
        </w:r>
      </w:hyperlink>
    </w:p>
    <w:p w14:paraId="6CA797D3" w14:textId="77777777" w:rsidR="001118A1" w:rsidRPr="00AA22F9" w:rsidRDefault="001118A1" w:rsidP="001118A1">
      <w:pPr>
        <w:pStyle w:val="NormalWeb"/>
        <w:spacing w:before="0" w:beforeAutospacing="0" w:after="0" w:afterAutospacing="0" w:line="480" w:lineRule="auto"/>
        <w:ind w:left="720" w:hanging="720"/>
        <w:contextualSpacing/>
      </w:pPr>
      <w:r w:rsidRPr="00AA22F9">
        <w:t>Ahsan, M.M. and Siddique, Z. (2022). Industry 4.0 in Healthcare: A systematic review. </w:t>
      </w:r>
      <w:r w:rsidRPr="00AA22F9">
        <w:rPr>
          <w:i/>
          <w:iCs/>
        </w:rPr>
        <w:t>International Journal of Information Management Data Insights</w:t>
      </w:r>
      <w:r w:rsidRPr="00AA22F9">
        <w:t xml:space="preserve">, [online] 2(1), p.100079. </w:t>
      </w:r>
      <w:proofErr w:type="spellStart"/>
      <w:r w:rsidRPr="00AA22F9">
        <w:t>doi</w:t>
      </w:r>
      <w:proofErr w:type="spellEnd"/>
      <w:r w:rsidRPr="00AA22F9">
        <w:t xml:space="preserve">: </w:t>
      </w:r>
      <w:hyperlink r:id="rId8" w:history="1">
        <w:r w:rsidRPr="00AA22F9">
          <w:rPr>
            <w:rStyle w:val="Hyperlink"/>
            <w:rFonts w:eastAsiaTheme="majorEastAsia"/>
          </w:rPr>
          <w:t>https://doi.org/10.1016/j.jjimei.2022.100079</w:t>
        </w:r>
      </w:hyperlink>
      <w:r w:rsidRPr="00AA22F9">
        <w:t>.</w:t>
      </w:r>
    </w:p>
    <w:p w14:paraId="747865EC" w14:textId="77777777" w:rsidR="001118A1" w:rsidRPr="00AA22F9" w:rsidRDefault="001118A1" w:rsidP="001118A1">
      <w:pPr>
        <w:pStyle w:val="NormalWeb"/>
        <w:spacing w:before="0" w:beforeAutospacing="0" w:after="0" w:afterAutospacing="0" w:line="480" w:lineRule="auto"/>
        <w:ind w:left="720" w:hanging="720"/>
        <w:contextualSpacing/>
      </w:pPr>
      <w:r w:rsidRPr="00AA22F9">
        <w:t xml:space="preserve">Akinwale, Y.O. and </w:t>
      </w:r>
      <w:proofErr w:type="spellStart"/>
      <w:r w:rsidRPr="00AA22F9">
        <w:t>AboAlsamh</w:t>
      </w:r>
      <w:proofErr w:type="spellEnd"/>
      <w:r w:rsidRPr="00AA22F9">
        <w:t>, H.M. (2023). Technology Innovation and Healthcare Performance among Healthcare Organizations in Saudi Arabia: A Structural Equation Model Analysis. </w:t>
      </w:r>
      <w:r w:rsidRPr="00AA22F9">
        <w:rPr>
          <w:i/>
          <w:iCs/>
        </w:rPr>
        <w:t>Sustainability</w:t>
      </w:r>
      <w:r w:rsidRPr="00AA22F9">
        <w:t xml:space="preserve">, [online] 15(5), p.3962. </w:t>
      </w:r>
      <w:hyperlink r:id="rId9" w:history="1">
        <w:r w:rsidRPr="00AA22F9">
          <w:rPr>
            <w:rStyle w:val="Hyperlink"/>
            <w:rFonts w:eastAsiaTheme="majorEastAsia"/>
          </w:rPr>
          <w:t>https://doi.org/10.3390/su15053962</w:t>
        </w:r>
      </w:hyperlink>
    </w:p>
    <w:p w14:paraId="49EAFAB5" w14:textId="77777777" w:rsidR="001118A1" w:rsidRPr="00AA22F9" w:rsidRDefault="001118A1" w:rsidP="001118A1">
      <w:pPr>
        <w:pStyle w:val="NormalWeb"/>
        <w:spacing w:before="0" w:beforeAutospacing="0" w:after="0" w:afterAutospacing="0" w:line="480" w:lineRule="auto"/>
        <w:ind w:left="720" w:hanging="720"/>
        <w:contextualSpacing/>
      </w:pPr>
      <w:r w:rsidRPr="00AA22F9">
        <w:rPr>
          <w:lang w:val="de-DE"/>
        </w:rPr>
        <w:t xml:space="preserve">Ali, O., Jaradat, A., Kulakli, A. and Abuhalimeh, A. (2021). </w:t>
      </w:r>
      <w:r w:rsidRPr="00AA22F9">
        <w:t>A Comparative Study: Blockchain Technology Utilization Benefits, Challenges and Functionalities. </w:t>
      </w:r>
      <w:r w:rsidRPr="00AA22F9">
        <w:rPr>
          <w:i/>
          <w:iCs/>
        </w:rPr>
        <w:t>IEEE Access</w:t>
      </w:r>
      <w:r w:rsidRPr="00AA22F9">
        <w:t xml:space="preserve">, [online] 9, pp.12730–12749. </w:t>
      </w:r>
      <w:proofErr w:type="spellStart"/>
      <w:r w:rsidRPr="00AA22F9">
        <w:t>doi</w:t>
      </w:r>
      <w:proofErr w:type="spellEnd"/>
      <w:r w:rsidRPr="00AA22F9">
        <w:t xml:space="preserve">: </w:t>
      </w:r>
      <w:hyperlink r:id="rId10" w:history="1">
        <w:r w:rsidRPr="00AA22F9">
          <w:rPr>
            <w:rStyle w:val="Hyperlink"/>
            <w:rFonts w:eastAsiaTheme="majorEastAsia"/>
          </w:rPr>
          <w:t>https://doi.org/10.1109/access.2021.3050241</w:t>
        </w:r>
      </w:hyperlink>
      <w:r w:rsidRPr="00AA22F9">
        <w:t>.</w:t>
      </w:r>
    </w:p>
    <w:p w14:paraId="56A0C1DA" w14:textId="77777777" w:rsidR="001118A1" w:rsidRPr="00AA22F9" w:rsidRDefault="001118A1" w:rsidP="001118A1">
      <w:pPr>
        <w:pStyle w:val="NormalWeb"/>
        <w:spacing w:before="0" w:beforeAutospacing="0" w:after="0" w:afterAutospacing="0" w:line="480" w:lineRule="auto"/>
        <w:ind w:left="720" w:hanging="720"/>
        <w:contextualSpacing/>
      </w:pPr>
      <w:r w:rsidRPr="00AA22F9">
        <w:t>Allegrezza, S. and Bruzzese, G. (2025). Supervision and Enforcement of EU’s Anti-Money-Laundering and Countering the Financing of Terrorism. </w:t>
      </w:r>
      <w:r w:rsidRPr="00AA22F9">
        <w:rPr>
          <w:i/>
          <w:iCs/>
        </w:rPr>
        <w:t>EBI Studies in Banking and Capital Markets Law</w:t>
      </w:r>
      <w:r w:rsidRPr="00AA22F9">
        <w:t xml:space="preserve">, [online] pp.487–521. </w:t>
      </w:r>
      <w:proofErr w:type="spellStart"/>
      <w:r w:rsidRPr="00AA22F9">
        <w:t>doi</w:t>
      </w:r>
      <w:proofErr w:type="spellEnd"/>
      <w:r w:rsidRPr="00AA22F9">
        <w:t xml:space="preserve">: </w:t>
      </w:r>
      <w:hyperlink r:id="rId11" w:history="1">
        <w:r w:rsidRPr="00AA22F9">
          <w:rPr>
            <w:rStyle w:val="Hyperlink"/>
            <w:rFonts w:eastAsiaTheme="majorEastAsia"/>
          </w:rPr>
          <w:t>https://doi.org/10.1007/978-3-031-70529-8_14</w:t>
        </w:r>
      </w:hyperlink>
      <w:r w:rsidRPr="00AA22F9">
        <w:t>.</w:t>
      </w:r>
    </w:p>
    <w:p w14:paraId="7039A8B3" w14:textId="77777777" w:rsidR="001118A1" w:rsidRPr="00AA22F9" w:rsidRDefault="001118A1" w:rsidP="001118A1">
      <w:pPr>
        <w:pStyle w:val="NormalWeb"/>
        <w:spacing w:before="0" w:beforeAutospacing="0" w:after="0" w:afterAutospacing="0" w:line="480" w:lineRule="auto"/>
        <w:ind w:left="720" w:hanging="720"/>
        <w:contextualSpacing/>
      </w:pPr>
      <w:r w:rsidRPr="00AA22F9">
        <w:t xml:space="preserve">Allers, S., Eijkenaar, F., van </w:t>
      </w:r>
      <w:proofErr w:type="spellStart"/>
      <w:r w:rsidRPr="00AA22F9">
        <w:t>Raaij</w:t>
      </w:r>
      <w:proofErr w:type="spellEnd"/>
      <w:r w:rsidRPr="00AA22F9">
        <w:t>, E.M. and Schut, F.T. (2023). The long and winding road towards payment for healthcare innovation with high societal value but limited commercial value: A comparative case study of devices and health information technologies. </w:t>
      </w:r>
      <w:r w:rsidRPr="00AA22F9">
        <w:rPr>
          <w:i/>
          <w:iCs/>
        </w:rPr>
        <w:t>Technology in Society</w:t>
      </w:r>
      <w:r w:rsidRPr="00AA22F9">
        <w:t xml:space="preserve">, [online] 75, p.102405. </w:t>
      </w:r>
      <w:proofErr w:type="spellStart"/>
      <w:r w:rsidRPr="00AA22F9">
        <w:t>doi</w:t>
      </w:r>
      <w:proofErr w:type="spellEnd"/>
      <w:r w:rsidRPr="00AA22F9">
        <w:t xml:space="preserve">: </w:t>
      </w:r>
      <w:hyperlink r:id="rId12" w:history="1">
        <w:r w:rsidRPr="00AA22F9">
          <w:rPr>
            <w:rStyle w:val="Hyperlink"/>
            <w:rFonts w:eastAsiaTheme="majorEastAsia"/>
          </w:rPr>
          <w:t>https://doi.org/10.1016/j.techsoc.2023.102405</w:t>
        </w:r>
      </w:hyperlink>
      <w:r w:rsidRPr="00AA22F9">
        <w:t>.</w:t>
      </w:r>
    </w:p>
    <w:p w14:paraId="6F09D96E" w14:textId="77777777" w:rsidR="001118A1" w:rsidRPr="00AA22F9" w:rsidRDefault="001118A1" w:rsidP="001118A1">
      <w:pPr>
        <w:pStyle w:val="NormalWeb"/>
        <w:spacing w:before="0" w:beforeAutospacing="0" w:after="0" w:afterAutospacing="0" w:line="480" w:lineRule="auto"/>
        <w:ind w:left="720" w:hanging="720"/>
        <w:contextualSpacing/>
      </w:pPr>
      <w:r w:rsidRPr="00AA22F9">
        <w:t>Amaral, C., Paiva, M., Rodrigues, A.R., Veiga, F. and Bell, V. (2024). Global Regulatory Challenges for Medical Devices: Impact on Innovation and Market Access. </w:t>
      </w:r>
      <w:r w:rsidRPr="00AA22F9">
        <w:rPr>
          <w:i/>
          <w:iCs/>
        </w:rPr>
        <w:t>Applied Sciences</w:t>
      </w:r>
      <w:r w:rsidRPr="00AA22F9">
        <w:t xml:space="preserve">, [online] 14(20), pp.9304–9304. </w:t>
      </w:r>
      <w:proofErr w:type="spellStart"/>
      <w:r w:rsidRPr="00AA22F9">
        <w:t>doi</w:t>
      </w:r>
      <w:proofErr w:type="spellEnd"/>
      <w:r w:rsidRPr="00AA22F9">
        <w:t xml:space="preserve">: </w:t>
      </w:r>
      <w:hyperlink r:id="rId13" w:history="1">
        <w:r w:rsidRPr="00AA22F9">
          <w:rPr>
            <w:rStyle w:val="Hyperlink"/>
            <w:rFonts w:eastAsiaTheme="majorEastAsia"/>
          </w:rPr>
          <w:t>https://doi.org/10.3390/app14209304</w:t>
        </w:r>
      </w:hyperlink>
      <w:r w:rsidRPr="00AA22F9">
        <w:t>.</w:t>
      </w:r>
    </w:p>
    <w:p w14:paraId="67E73B48" w14:textId="77777777" w:rsidR="001118A1" w:rsidRPr="00AA22F9" w:rsidRDefault="001118A1" w:rsidP="001118A1">
      <w:pPr>
        <w:pStyle w:val="NormalWeb"/>
        <w:spacing w:before="0" w:beforeAutospacing="0" w:after="0" w:afterAutospacing="0" w:line="480" w:lineRule="auto"/>
        <w:ind w:left="720" w:hanging="720"/>
        <w:contextualSpacing/>
      </w:pPr>
      <w:r w:rsidRPr="00AA22F9">
        <w:lastRenderedPageBreak/>
        <w:t>AMERICAN HEALTH LAW ASSOCIATION (2025). </w:t>
      </w:r>
      <w:r w:rsidRPr="00AA22F9">
        <w:rPr>
          <w:i/>
          <w:iCs/>
        </w:rPr>
        <w:t>AHLA - Oscar IPO Another Indicator of Post-Pandemic Telehealth Acceptance</w:t>
      </w:r>
      <w:r w:rsidRPr="00AA22F9">
        <w:t xml:space="preserve">. [online] Americanhealthlaw.org. Available at: </w:t>
      </w:r>
      <w:hyperlink r:id="rId14" w:history="1">
        <w:r w:rsidRPr="00AA22F9">
          <w:rPr>
            <w:rStyle w:val="Hyperlink"/>
            <w:rFonts w:eastAsiaTheme="majorEastAsia"/>
          </w:rPr>
          <w:t>https://www.americanhealthlaw.org/publications/health-law-hub-current-topics/coronavirus-pandemic/oscar-ipo-another-indicator-of-post-pandemic-teleh</w:t>
        </w:r>
      </w:hyperlink>
      <w:r w:rsidRPr="00AA22F9">
        <w:t>.</w:t>
      </w:r>
    </w:p>
    <w:p w14:paraId="2CDA2FC5" w14:textId="77777777" w:rsidR="001118A1" w:rsidRPr="00AA22F9" w:rsidRDefault="001118A1" w:rsidP="001118A1">
      <w:pPr>
        <w:pStyle w:val="NormalWeb"/>
        <w:spacing w:before="0" w:beforeAutospacing="0" w:after="0" w:afterAutospacing="0" w:line="480" w:lineRule="auto"/>
        <w:ind w:left="720" w:hanging="720"/>
        <w:contextualSpacing/>
        <w:rPr>
          <w:bCs/>
        </w:rPr>
      </w:pPr>
      <w:r w:rsidRPr="00AA22F9">
        <w:rPr>
          <w:bCs/>
        </w:rPr>
        <w:t>Archana Bathula, Gupta, SK, Suresh Merugu, Saba, L, Khanna, NN, Laird, JR, Sanagala, SS, Singh, R, Garg, D, Fouda, MM &amp; Suri, JS 2024, ‘Blockchain, artificial intelligence, and healthcare: the tripod of future—a narrative review’, </w:t>
      </w:r>
      <w:r w:rsidRPr="00AA22F9">
        <w:rPr>
          <w:bCs/>
          <w:i/>
          <w:iCs/>
        </w:rPr>
        <w:t>Artificial Intelligence Review</w:t>
      </w:r>
      <w:r w:rsidRPr="00AA22F9">
        <w:rPr>
          <w:bCs/>
        </w:rPr>
        <w:t xml:space="preserve">, vol. 57, Springer </w:t>
      </w:r>
      <w:proofErr w:type="spellStart"/>
      <w:r w:rsidRPr="00AA22F9">
        <w:rPr>
          <w:bCs/>
        </w:rPr>
        <w:t>Science+Business</w:t>
      </w:r>
      <w:proofErr w:type="spellEnd"/>
      <w:r w:rsidRPr="00AA22F9">
        <w:rPr>
          <w:bCs/>
        </w:rPr>
        <w:t xml:space="preserve"> Media, no. 9, viewed 21 May 2025, </w:t>
      </w:r>
      <w:hyperlink r:id="rId15" w:history="1">
        <w:r w:rsidRPr="00AA22F9">
          <w:rPr>
            <w:rStyle w:val="Hyperlink"/>
            <w:rFonts w:eastAsiaTheme="majorEastAsia"/>
            <w:bCs/>
          </w:rPr>
          <w:t>https://www.researchgate.net/publication/382970141_Blockchain_artificial_intelligence_and_healthcare_the_tripod_of_future-a_narrative_review</w:t>
        </w:r>
      </w:hyperlink>
    </w:p>
    <w:p w14:paraId="496760A6" w14:textId="77777777" w:rsidR="001118A1" w:rsidRPr="00AA22F9" w:rsidRDefault="001118A1" w:rsidP="001118A1">
      <w:pPr>
        <w:pStyle w:val="NormalWeb"/>
        <w:spacing w:before="0" w:beforeAutospacing="0" w:after="0" w:afterAutospacing="0" w:line="480" w:lineRule="auto"/>
        <w:ind w:left="720" w:hanging="720"/>
        <w:contextualSpacing/>
      </w:pPr>
      <w:r w:rsidRPr="00AA22F9">
        <w:rPr>
          <w:bCs/>
        </w:rPr>
        <w:t>Arner, D. W., Barberis, J., &amp; Buckley, R. P.</w:t>
      </w:r>
      <w:r w:rsidRPr="00AA22F9">
        <w:t> (2016). </w:t>
      </w:r>
      <w:r w:rsidRPr="00AA22F9">
        <w:rPr>
          <w:i/>
          <w:iCs/>
        </w:rPr>
        <w:t>The Evolution of Fintech: A New Post-Crisis Paradigm?</w:t>
      </w:r>
      <w:r w:rsidRPr="00AA22F9">
        <w:t xml:space="preserve"> </w:t>
      </w:r>
      <w:hyperlink r:id="rId16" w:history="1">
        <w:r w:rsidRPr="00AA22F9">
          <w:rPr>
            <w:rStyle w:val="Hyperlink"/>
            <w:rFonts w:eastAsiaTheme="majorEastAsia"/>
            <w:i/>
            <w:iCs/>
          </w:rPr>
          <w:t>https://heinonline.org/HOL/LandingPage?handle=hein.journals/geojintl47&amp;div=41&amp;id=&amp;page</w:t>
        </w:r>
      </w:hyperlink>
      <w:r w:rsidRPr="00AA22F9">
        <w:rPr>
          <w:i/>
          <w:iCs/>
        </w:rPr>
        <w:t>=</w:t>
      </w:r>
    </w:p>
    <w:p w14:paraId="1DF3901B" w14:textId="77777777" w:rsidR="001118A1" w:rsidRPr="00AA22F9" w:rsidRDefault="001118A1" w:rsidP="001118A1">
      <w:pPr>
        <w:pStyle w:val="NormalWeb"/>
        <w:spacing w:before="0" w:beforeAutospacing="0" w:after="0" w:afterAutospacing="0" w:line="480" w:lineRule="auto"/>
        <w:ind w:left="720" w:hanging="720"/>
        <w:contextualSpacing/>
      </w:pPr>
      <w:proofErr w:type="spellStart"/>
      <w:r w:rsidRPr="00AA22F9">
        <w:t>Audretsch</w:t>
      </w:r>
      <w:proofErr w:type="spellEnd"/>
      <w:r w:rsidRPr="00AA22F9">
        <w:t xml:space="preserve">, D.B., </w:t>
      </w:r>
      <w:proofErr w:type="spellStart"/>
      <w:r w:rsidRPr="00AA22F9">
        <w:t>Belitski</w:t>
      </w:r>
      <w:proofErr w:type="spellEnd"/>
      <w:r w:rsidRPr="00AA22F9">
        <w:t>, M. and Caiazza, R. (2024). Knowledge spillovers or R&amp;D collaboration? Understanding the role of external knowledge for firm innovation. </w:t>
      </w:r>
      <w:r w:rsidRPr="00AA22F9">
        <w:rPr>
          <w:i/>
          <w:iCs/>
        </w:rPr>
        <w:t>R&amp;D Management</w:t>
      </w:r>
      <w:r w:rsidRPr="00AA22F9">
        <w:t xml:space="preserve">. </w:t>
      </w:r>
      <w:proofErr w:type="spellStart"/>
      <w:r w:rsidRPr="00AA22F9">
        <w:t>doi</w:t>
      </w:r>
      <w:proofErr w:type="spellEnd"/>
      <w:r w:rsidRPr="00AA22F9">
        <w:t xml:space="preserve">: </w:t>
      </w:r>
      <w:hyperlink r:id="rId17" w:history="1">
        <w:r w:rsidRPr="00AA22F9">
          <w:rPr>
            <w:rStyle w:val="Hyperlink"/>
            <w:rFonts w:eastAsiaTheme="majorEastAsia"/>
          </w:rPr>
          <w:t>https://doi.org/10.1111/radm.12711</w:t>
        </w:r>
      </w:hyperlink>
      <w:r w:rsidRPr="00AA22F9">
        <w:t>.</w:t>
      </w:r>
    </w:p>
    <w:p w14:paraId="23EC2072" w14:textId="77777777" w:rsidR="001118A1" w:rsidRPr="00AA22F9" w:rsidRDefault="001118A1" w:rsidP="001118A1">
      <w:pPr>
        <w:pStyle w:val="NormalWeb"/>
        <w:spacing w:before="0" w:beforeAutospacing="0" w:after="0" w:afterAutospacing="0" w:line="480" w:lineRule="auto"/>
        <w:ind w:left="720" w:hanging="720"/>
        <w:contextualSpacing/>
      </w:pPr>
      <w:r w:rsidRPr="00AA22F9">
        <w:t xml:space="preserve">Aydın, Z. and </w:t>
      </w:r>
      <w:proofErr w:type="spellStart"/>
      <w:r w:rsidRPr="00AA22F9">
        <w:t>Yardımcı</w:t>
      </w:r>
      <w:proofErr w:type="spellEnd"/>
      <w:r w:rsidRPr="00AA22F9">
        <w:t>, O. (2024). Regulatory sandboxes and pilot projects: Trials, regulations, and insights in energy transition. </w:t>
      </w:r>
      <w:r w:rsidRPr="00AA22F9">
        <w:rPr>
          <w:i/>
          <w:iCs/>
        </w:rPr>
        <w:t>Engineering Science and Technology, an International Journal</w:t>
      </w:r>
      <w:r w:rsidRPr="00AA22F9">
        <w:t xml:space="preserve">, 56, p.101792. </w:t>
      </w:r>
      <w:proofErr w:type="spellStart"/>
      <w:r w:rsidRPr="00AA22F9">
        <w:t>doi</w:t>
      </w:r>
      <w:proofErr w:type="spellEnd"/>
      <w:r w:rsidRPr="00AA22F9">
        <w:t xml:space="preserve">: </w:t>
      </w:r>
      <w:hyperlink r:id="rId18" w:history="1">
        <w:r w:rsidRPr="00AA22F9">
          <w:rPr>
            <w:rStyle w:val="Hyperlink"/>
            <w:rFonts w:eastAsiaTheme="majorEastAsia"/>
          </w:rPr>
          <w:t>https://doi.org/10.1016/j.jestch.2024.101792</w:t>
        </w:r>
      </w:hyperlink>
      <w:r w:rsidRPr="00AA22F9">
        <w:t>.</w:t>
      </w:r>
    </w:p>
    <w:p w14:paraId="34A57794" w14:textId="77777777" w:rsidR="001118A1" w:rsidRPr="00AA22F9" w:rsidRDefault="001118A1" w:rsidP="001118A1">
      <w:pPr>
        <w:pStyle w:val="NormalWeb"/>
        <w:spacing w:before="0" w:beforeAutospacing="0" w:after="0" w:afterAutospacing="0" w:line="480" w:lineRule="auto"/>
        <w:ind w:left="720" w:hanging="720"/>
        <w:contextualSpacing/>
      </w:pPr>
      <w:r w:rsidRPr="00AA22F9">
        <w:t>Baldwin, C &amp; Clark, K 2025, </w:t>
      </w:r>
      <w:r w:rsidRPr="00AA22F9">
        <w:rPr>
          <w:i/>
          <w:iCs/>
        </w:rPr>
        <w:t>Design Rules, Volume 1</w:t>
      </w:r>
      <w:r w:rsidRPr="00AA22F9">
        <w:t xml:space="preserve">, Google Books, viewed 8 April 2025, </w:t>
      </w:r>
      <w:hyperlink r:id="rId19" w:anchor="v=onepage&amp;q=Design%20Rules%3A%20The%20Power%20of%20Modularity&amp;f=false" w:history="1">
        <w:r w:rsidRPr="00AA22F9">
          <w:rPr>
            <w:rStyle w:val="Hyperlink"/>
            <w:rFonts w:eastAsiaTheme="majorEastAsia"/>
          </w:rPr>
          <w:t>https://books.google.nl/books?hl=en&amp;lr=&amp;id=vukGEAAAQBAJ&amp;oi=fnd&amp;pg=PP13&amp;dq=Design+Rules:+The+Power+of+Modularity&amp;ots=w6AzA1bEjh&amp;sig=McdFGv4TOrJX-gEXV9-tkkUp0DY&amp;redir_esc=y#v=onepage&amp;q=Design%20Rules%3A%20The%20Power%20of%20Modularity&amp;f=false</w:t>
        </w:r>
      </w:hyperlink>
    </w:p>
    <w:p w14:paraId="4AE92B27" w14:textId="77777777" w:rsidR="001118A1" w:rsidRPr="00AA22F9" w:rsidRDefault="001118A1" w:rsidP="001118A1">
      <w:pPr>
        <w:pStyle w:val="NormalWeb"/>
        <w:spacing w:before="0" w:beforeAutospacing="0" w:after="0" w:afterAutospacing="0" w:line="480" w:lineRule="auto"/>
        <w:ind w:left="720" w:hanging="720"/>
        <w:contextualSpacing/>
      </w:pPr>
      <w:r w:rsidRPr="00AA22F9">
        <w:lastRenderedPageBreak/>
        <w:t>Bassem Kahouli, Anis Omri and Hatem Afi (2024). Technological innovations and health performance: Effects and transmission channels. </w:t>
      </w:r>
      <w:r w:rsidRPr="00AA22F9">
        <w:rPr>
          <w:i/>
          <w:iCs/>
        </w:rPr>
        <w:t>Technological forecasting &amp; social change/Technological forecasting and social change</w:t>
      </w:r>
      <w:r w:rsidRPr="00AA22F9">
        <w:t xml:space="preserve">, 204, pp.123450–123450. </w:t>
      </w:r>
      <w:proofErr w:type="spellStart"/>
      <w:r w:rsidRPr="00AA22F9">
        <w:t>doi</w:t>
      </w:r>
      <w:proofErr w:type="spellEnd"/>
      <w:r w:rsidRPr="00AA22F9">
        <w:t xml:space="preserve">: </w:t>
      </w:r>
      <w:hyperlink r:id="rId20" w:history="1">
        <w:r w:rsidRPr="00AA22F9">
          <w:rPr>
            <w:rStyle w:val="Hyperlink"/>
            <w:rFonts w:eastAsiaTheme="majorEastAsia"/>
          </w:rPr>
          <w:t>https://doi.org/10.1016/j.techfore.2024.123450</w:t>
        </w:r>
      </w:hyperlink>
      <w:r w:rsidRPr="00AA22F9">
        <w:t>.</w:t>
      </w:r>
    </w:p>
    <w:p w14:paraId="6E294E75" w14:textId="77777777" w:rsidR="001118A1" w:rsidRPr="00AA22F9" w:rsidRDefault="001118A1" w:rsidP="001118A1">
      <w:pPr>
        <w:pStyle w:val="NormalWeb"/>
        <w:spacing w:before="0" w:beforeAutospacing="0" w:after="0" w:afterAutospacing="0" w:line="480" w:lineRule="auto"/>
        <w:ind w:left="720" w:hanging="720"/>
        <w:contextualSpacing/>
        <w:rPr>
          <w:bCs/>
        </w:rPr>
      </w:pPr>
      <w:r w:rsidRPr="00AA22F9">
        <w:rPr>
          <w:bCs/>
        </w:rPr>
        <w:t>Bates, DW, Saria, S, Ohno-Machado, L, Shah, A &amp; Escobar, G 2014, ‘Big Data In Health Care: Using Analytics To Identify And Manage High-Risk And High-Cost Patients’, </w:t>
      </w:r>
      <w:r w:rsidRPr="00AA22F9">
        <w:rPr>
          <w:bCs/>
          <w:i/>
          <w:iCs/>
        </w:rPr>
        <w:t>Health Affairs</w:t>
      </w:r>
      <w:r w:rsidRPr="00AA22F9">
        <w:rPr>
          <w:bCs/>
        </w:rPr>
        <w:t xml:space="preserve">, vol. 33, Health Affairs (Project Hope), no. 7, pp. 1123–1131, viewed 8 April 2025, </w:t>
      </w:r>
      <w:hyperlink r:id="rId21" w:history="1">
        <w:r w:rsidRPr="00AA22F9">
          <w:rPr>
            <w:rStyle w:val="Hyperlink"/>
            <w:rFonts w:eastAsiaTheme="majorEastAsia"/>
            <w:bCs/>
          </w:rPr>
          <w:t>https://pubmed.ncbi.nlm.nih.gov/25006137/</w:t>
        </w:r>
      </w:hyperlink>
    </w:p>
    <w:p w14:paraId="41B3CFCC" w14:textId="77777777" w:rsidR="001118A1" w:rsidRPr="00AA22F9" w:rsidRDefault="001118A1" w:rsidP="001118A1">
      <w:pPr>
        <w:pStyle w:val="NormalWeb"/>
        <w:spacing w:before="0" w:beforeAutospacing="0" w:after="0" w:afterAutospacing="0" w:line="480" w:lineRule="auto"/>
        <w:ind w:left="720" w:hanging="720"/>
        <w:contextualSpacing/>
      </w:pPr>
      <w:r w:rsidRPr="00AA22F9">
        <w:t>Beaulieu, M. and Lehoux, P. (2018). Emerging health technology firms’ strategies and their impact on economic and healthcare system actors: a qualitative study. </w:t>
      </w:r>
      <w:r w:rsidRPr="00AA22F9">
        <w:rPr>
          <w:i/>
          <w:iCs/>
        </w:rPr>
        <w:t>Journal of Innovation and Entrepreneurship</w:t>
      </w:r>
      <w:r w:rsidRPr="00AA22F9">
        <w:t xml:space="preserve">, [online] 7(1). </w:t>
      </w:r>
      <w:proofErr w:type="spellStart"/>
      <w:r w:rsidRPr="00AA22F9">
        <w:t>doi</w:t>
      </w:r>
      <w:proofErr w:type="spellEnd"/>
      <w:r w:rsidRPr="00AA22F9">
        <w:t xml:space="preserve">: </w:t>
      </w:r>
      <w:hyperlink r:id="rId22" w:history="1">
        <w:r w:rsidRPr="00AA22F9">
          <w:rPr>
            <w:rStyle w:val="Hyperlink"/>
            <w:rFonts w:eastAsiaTheme="majorEastAsia"/>
          </w:rPr>
          <w:t>https://doi.org/10.1186/s13731-018-0092-5</w:t>
        </w:r>
      </w:hyperlink>
      <w:r w:rsidRPr="00AA22F9">
        <w:t>.</w:t>
      </w:r>
    </w:p>
    <w:p w14:paraId="2A37912A" w14:textId="77777777" w:rsidR="001118A1" w:rsidRPr="00AA22F9" w:rsidRDefault="001118A1" w:rsidP="001118A1">
      <w:pPr>
        <w:pStyle w:val="NormalWeb"/>
        <w:spacing w:before="0" w:beforeAutospacing="0" w:after="0" w:afterAutospacing="0" w:line="480" w:lineRule="auto"/>
        <w:ind w:left="720" w:hanging="720"/>
        <w:contextualSpacing/>
      </w:pPr>
      <w:r w:rsidRPr="00AA22F9">
        <w:t>Bhardwaj, U., Mane, M. and Samal, S. (2022). Innovations in Healthcare Management: Balancing Cost, Quality, and Access. </w:t>
      </w:r>
      <w:r w:rsidRPr="00AA22F9">
        <w:rPr>
          <w:i/>
          <w:iCs/>
        </w:rPr>
        <w:t>Health Leadership and Quality of Life</w:t>
      </w:r>
      <w:r w:rsidRPr="00AA22F9">
        <w:t xml:space="preserve">, 1, p.100. </w:t>
      </w:r>
      <w:proofErr w:type="spellStart"/>
      <w:r w:rsidRPr="00AA22F9">
        <w:t>doi</w:t>
      </w:r>
      <w:proofErr w:type="spellEnd"/>
      <w:r w:rsidRPr="00AA22F9">
        <w:t xml:space="preserve">: </w:t>
      </w:r>
      <w:hyperlink r:id="rId23" w:history="1">
        <w:r w:rsidRPr="00AA22F9">
          <w:rPr>
            <w:rStyle w:val="Hyperlink"/>
            <w:rFonts w:eastAsiaTheme="majorEastAsia"/>
          </w:rPr>
          <w:t>https://doi.org/10.56294/hl2022100</w:t>
        </w:r>
      </w:hyperlink>
      <w:r w:rsidRPr="00AA22F9">
        <w:t>.</w:t>
      </w:r>
    </w:p>
    <w:p w14:paraId="30C8B9BF" w14:textId="77777777" w:rsidR="001118A1" w:rsidRPr="00AA22F9" w:rsidRDefault="001118A1" w:rsidP="001118A1">
      <w:pPr>
        <w:pStyle w:val="NormalWeb"/>
        <w:spacing w:before="0" w:beforeAutospacing="0" w:after="0" w:afterAutospacing="0" w:line="480" w:lineRule="auto"/>
        <w:ind w:left="720" w:hanging="720"/>
        <w:contextualSpacing/>
      </w:pPr>
      <w:r w:rsidRPr="00AA22F9">
        <w:t xml:space="preserve">Bhattacharya, S., </w:t>
      </w:r>
      <w:proofErr w:type="spellStart"/>
      <w:r w:rsidRPr="00AA22F9">
        <w:t>Castignani</w:t>
      </w:r>
      <w:proofErr w:type="spellEnd"/>
      <w:r w:rsidRPr="00AA22F9">
        <w:t>, G., Masello, L. and Sheehan, B. (2025). AI revolution in insurance: bridging research and reality. </w:t>
      </w:r>
      <w:r w:rsidRPr="00AA22F9">
        <w:rPr>
          <w:i/>
          <w:iCs/>
        </w:rPr>
        <w:t>Frontiers in Artificial Intelligence</w:t>
      </w:r>
      <w:r w:rsidRPr="00AA22F9">
        <w:t xml:space="preserve">, [online] 8. </w:t>
      </w:r>
      <w:proofErr w:type="spellStart"/>
      <w:r w:rsidRPr="00AA22F9">
        <w:t>doi</w:t>
      </w:r>
      <w:proofErr w:type="spellEnd"/>
      <w:r w:rsidRPr="00AA22F9">
        <w:t xml:space="preserve">: </w:t>
      </w:r>
      <w:hyperlink r:id="rId24" w:history="1">
        <w:r w:rsidRPr="00AA22F9">
          <w:rPr>
            <w:rStyle w:val="Hyperlink"/>
            <w:rFonts w:eastAsiaTheme="majorEastAsia"/>
          </w:rPr>
          <w:t>https://doi.org/10.3389/frai.2025.1568266</w:t>
        </w:r>
      </w:hyperlink>
      <w:r w:rsidRPr="00AA22F9">
        <w:t>.</w:t>
      </w:r>
    </w:p>
    <w:p w14:paraId="1F8AA4C9" w14:textId="77777777" w:rsidR="001118A1" w:rsidRPr="00AA22F9" w:rsidRDefault="001118A1" w:rsidP="001118A1">
      <w:pPr>
        <w:pStyle w:val="NormalWeb"/>
        <w:spacing w:before="0" w:beforeAutospacing="0" w:after="0" w:afterAutospacing="0" w:line="480" w:lineRule="auto"/>
        <w:ind w:left="720" w:hanging="720"/>
        <w:contextualSpacing/>
      </w:pPr>
      <w:r w:rsidRPr="00AA22F9">
        <w:t>Bogati, S. (2025). Revolutionizing Healthcare: The Impact of Digital Transformation by 2025. </w:t>
      </w:r>
      <w:r w:rsidRPr="00AA22F9">
        <w:rPr>
          <w:i/>
          <w:iCs/>
        </w:rPr>
        <w:t>International Journal of Innovative Science and Research Technology (IJISRT)</w:t>
      </w:r>
      <w:r w:rsidRPr="00AA22F9">
        <w:t xml:space="preserve">, p.99. </w:t>
      </w:r>
      <w:proofErr w:type="spellStart"/>
      <w:r w:rsidRPr="00AA22F9">
        <w:t>doi</w:t>
      </w:r>
      <w:proofErr w:type="spellEnd"/>
      <w:r w:rsidRPr="00AA22F9">
        <w:t xml:space="preserve">: </w:t>
      </w:r>
      <w:hyperlink r:id="rId25" w:history="1">
        <w:r w:rsidRPr="00AA22F9">
          <w:rPr>
            <w:rStyle w:val="Hyperlink"/>
            <w:rFonts w:eastAsiaTheme="majorEastAsia"/>
          </w:rPr>
          <w:t>https://doi.org/10.38124/ijisrt/ijisrt25feb184</w:t>
        </w:r>
      </w:hyperlink>
      <w:r w:rsidRPr="00AA22F9">
        <w:t>.</w:t>
      </w:r>
    </w:p>
    <w:p w14:paraId="24E0890A" w14:textId="77777777" w:rsidR="001118A1" w:rsidRPr="00AA22F9" w:rsidRDefault="001118A1" w:rsidP="001118A1">
      <w:pPr>
        <w:pStyle w:val="NormalWeb"/>
        <w:spacing w:before="0" w:beforeAutospacing="0" w:after="0" w:afterAutospacing="0" w:line="480" w:lineRule="auto"/>
        <w:ind w:left="720" w:hanging="720"/>
        <w:contextualSpacing/>
      </w:pPr>
      <w:r w:rsidRPr="00AA22F9">
        <w:t>Bower, J. L., &amp; Christensen, C. M. (1995). Disruptive Technologies: Catching the Wave. </w:t>
      </w:r>
      <w:r w:rsidRPr="00AA22F9">
        <w:rPr>
          <w:i/>
          <w:iCs/>
        </w:rPr>
        <w:t>Harvard Business Review</w:t>
      </w:r>
      <w:r w:rsidRPr="00AA22F9">
        <w:t xml:space="preserve">. </w:t>
      </w:r>
      <w:hyperlink r:id="rId26" w:history="1">
        <w:r w:rsidRPr="00AA22F9">
          <w:rPr>
            <w:rStyle w:val="Hyperlink"/>
            <w:rFonts w:eastAsiaTheme="majorEastAsia"/>
          </w:rPr>
          <w:t>https://store.hbr.org/product/disruptive-technologies-catching-the-wave/95103?srsltid=AfmBOorbgViTLDTAadUt3N5QOhQY5qdijzbpSgrilMntzgXz5V__2OvU</w:t>
        </w:r>
      </w:hyperlink>
    </w:p>
    <w:p w14:paraId="54F60C30" w14:textId="77777777" w:rsidR="001118A1" w:rsidRPr="00AA22F9" w:rsidRDefault="001118A1" w:rsidP="001118A1">
      <w:pPr>
        <w:pStyle w:val="NormalWeb"/>
        <w:spacing w:before="0" w:beforeAutospacing="0" w:after="0" w:afterAutospacing="0" w:line="480" w:lineRule="auto"/>
        <w:ind w:left="720" w:hanging="720"/>
        <w:contextualSpacing/>
      </w:pPr>
      <w:r w:rsidRPr="00AA22F9">
        <w:lastRenderedPageBreak/>
        <w:t>Brynjolfsson, E &amp; McAfee, A 2025, </w:t>
      </w:r>
      <w:r w:rsidRPr="00AA22F9">
        <w:rPr>
          <w:i/>
          <w:iCs/>
        </w:rPr>
        <w:t>The Second Machine Age: Work, Progress, and Prosperity in a Time of Brilliant Technologies</w:t>
      </w:r>
      <w:r w:rsidRPr="00AA22F9">
        <w:t xml:space="preserve">, Google Books, viewed 8 April 2025, </w:t>
      </w:r>
      <w:hyperlink r:id="rId27" w:history="1">
        <w:r w:rsidRPr="00AA22F9">
          <w:rPr>
            <w:rStyle w:val="Hyperlink"/>
            <w:rFonts w:eastAsiaTheme="majorEastAsia"/>
          </w:rPr>
          <w:t>https://shorturl.at/OQ0Ir</w:t>
        </w:r>
      </w:hyperlink>
    </w:p>
    <w:p w14:paraId="7E3E792E" w14:textId="77777777" w:rsidR="001118A1" w:rsidRPr="00AA22F9" w:rsidRDefault="001118A1" w:rsidP="001118A1">
      <w:pPr>
        <w:pStyle w:val="NormalWeb"/>
        <w:spacing w:before="0" w:beforeAutospacing="0" w:after="0" w:afterAutospacing="0" w:line="480" w:lineRule="auto"/>
        <w:ind w:left="720" w:hanging="720"/>
        <w:contextualSpacing/>
        <w:rPr>
          <w:bCs/>
        </w:rPr>
      </w:pPr>
      <w:r w:rsidRPr="00AA22F9">
        <w:rPr>
          <w:bCs/>
        </w:rPr>
        <w:t xml:space="preserve">Buckley, R, Arner, D &amp; </w:t>
      </w:r>
      <w:proofErr w:type="spellStart"/>
      <w:r w:rsidRPr="00AA22F9">
        <w:rPr>
          <w:bCs/>
        </w:rPr>
        <w:t>Zetzsche</w:t>
      </w:r>
      <w:proofErr w:type="spellEnd"/>
      <w:r w:rsidRPr="00AA22F9">
        <w:rPr>
          <w:bCs/>
        </w:rPr>
        <w:t>, D 2020, </w:t>
      </w:r>
      <w:r w:rsidRPr="00AA22F9">
        <w:rPr>
          <w:bCs/>
          <w:i/>
          <w:iCs/>
        </w:rPr>
        <w:t>FinTech</w:t>
      </w:r>
      <w:r w:rsidRPr="00AA22F9">
        <w:rPr>
          <w:bCs/>
        </w:rPr>
        <w:t xml:space="preserve">, Google Books, viewed 8 April 2025, </w:t>
      </w:r>
      <w:hyperlink r:id="rId28" w:history="1">
        <w:r w:rsidRPr="00AA22F9">
          <w:rPr>
            <w:rStyle w:val="Hyperlink"/>
            <w:rFonts w:eastAsiaTheme="majorEastAsia"/>
            <w:bCs/>
          </w:rPr>
          <w:t>https://shorturl.at/rEqhp</w:t>
        </w:r>
      </w:hyperlink>
    </w:p>
    <w:p w14:paraId="3DBBE18E" w14:textId="77777777" w:rsidR="001118A1" w:rsidRPr="00AA22F9" w:rsidRDefault="001118A1" w:rsidP="001118A1">
      <w:pPr>
        <w:pStyle w:val="NormalWeb"/>
        <w:spacing w:before="0" w:beforeAutospacing="0" w:after="0" w:afterAutospacing="0" w:line="480" w:lineRule="auto"/>
        <w:ind w:left="720" w:hanging="720"/>
        <w:contextualSpacing/>
      </w:pPr>
      <w:r w:rsidRPr="00AA22F9">
        <w:t xml:space="preserve">Cao, L. (2024). Ai4tech: X-AI enabling X-Tech with human-like, generative, </w:t>
      </w:r>
      <w:proofErr w:type="spellStart"/>
      <w:r w:rsidRPr="00AA22F9">
        <w:t>decentralised</w:t>
      </w:r>
      <w:proofErr w:type="spellEnd"/>
      <w:r w:rsidRPr="00AA22F9">
        <w:t>, humanoid and metaverse AI. </w:t>
      </w:r>
      <w:r w:rsidRPr="00AA22F9">
        <w:rPr>
          <w:i/>
          <w:iCs/>
        </w:rPr>
        <w:t>International Journal of Data Science and Analytics</w:t>
      </w:r>
      <w:r w:rsidRPr="00AA22F9">
        <w:t xml:space="preserve">, [online] 18(3), pp.219–238. </w:t>
      </w:r>
      <w:proofErr w:type="spellStart"/>
      <w:r w:rsidRPr="00AA22F9">
        <w:t>doi</w:t>
      </w:r>
      <w:proofErr w:type="spellEnd"/>
      <w:r w:rsidRPr="00AA22F9">
        <w:t xml:space="preserve">: </w:t>
      </w:r>
      <w:hyperlink r:id="rId29" w:history="1">
        <w:r w:rsidRPr="00AA22F9">
          <w:rPr>
            <w:rStyle w:val="Hyperlink"/>
            <w:rFonts w:eastAsiaTheme="majorEastAsia"/>
          </w:rPr>
          <w:t>https://doi.org/10.1007/s41060-024-00615-9</w:t>
        </w:r>
      </w:hyperlink>
      <w:r w:rsidRPr="00AA22F9">
        <w:t>.</w:t>
      </w:r>
    </w:p>
    <w:p w14:paraId="6BC8EA90" w14:textId="77777777" w:rsidR="001118A1" w:rsidRPr="00AA22F9" w:rsidRDefault="001118A1" w:rsidP="001118A1">
      <w:pPr>
        <w:pStyle w:val="NormalWeb"/>
        <w:spacing w:before="0" w:beforeAutospacing="0" w:after="0" w:afterAutospacing="0" w:line="480" w:lineRule="auto"/>
        <w:ind w:left="720" w:hanging="720"/>
        <w:contextualSpacing/>
        <w:rPr>
          <w:bCs/>
        </w:rPr>
      </w:pPr>
      <w:r w:rsidRPr="00AA22F9">
        <w:rPr>
          <w:bCs/>
        </w:rPr>
        <w:t>Carpenter, D 2014, </w:t>
      </w:r>
      <w:r w:rsidRPr="00AA22F9">
        <w:rPr>
          <w:bCs/>
          <w:i/>
          <w:iCs/>
        </w:rPr>
        <w:t>Reputation and Power</w:t>
      </w:r>
      <w:r w:rsidRPr="00AA22F9">
        <w:rPr>
          <w:bCs/>
        </w:rPr>
        <w:t xml:space="preserve">, Princeton University Press, viewed 8 April 2025, </w:t>
      </w:r>
      <w:hyperlink r:id="rId30" w:history="1">
        <w:r w:rsidRPr="00AA22F9">
          <w:rPr>
            <w:rStyle w:val="Hyperlink"/>
            <w:rFonts w:eastAsiaTheme="majorEastAsia"/>
            <w:bCs/>
          </w:rPr>
          <w:t>https://www.degruyterbrill.com/document/doi/10.1515/9781400835119/html?lang%3Den=&amp;lang=de</w:t>
        </w:r>
      </w:hyperlink>
    </w:p>
    <w:p w14:paraId="15DB7852" w14:textId="77777777" w:rsidR="001118A1" w:rsidRPr="00AA22F9" w:rsidRDefault="001118A1" w:rsidP="001118A1">
      <w:pPr>
        <w:pStyle w:val="NormalWeb"/>
        <w:spacing w:before="0" w:beforeAutospacing="0" w:after="0" w:afterAutospacing="0" w:line="480" w:lineRule="auto"/>
        <w:ind w:left="720" w:hanging="720"/>
        <w:contextualSpacing/>
      </w:pPr>
      <w:r w:rsidRPr="00AA22F9">
        <w:t>Chalmers, R., Marras, A. and Brannan, G.D. (2025). </w:t>
      </w:r>
      <w:r w:rsidRPr="00AA22F9">
        <w:rPr>
          <w:i/>
          <w:iCs/>
        </w:rPr>
        <w:t>Organizational Culture</w:t>
      </w:r>
      <w:r w:rsidRPr="00AA22F9">
        <w:t xml:space="preserve">. [online] Nih.gov. Available at: </w:t>
      </w:r>
      <w:hyperlink r:id="rId31" w:history="1">
        <w:r w:rsidRPr="00AA22F9">
          <w:rPr>
            <w:rStyle w:val="Hyperlink"/>
            <w:rFonts w:eastAsiaTheme="majorEastAsia"/>
          </w:rPr>
          <w:t>https://www.ncbi.nlm.nih.gov/books/NBK560543/</w:t>
        </w:r>
      </w:hyperlink>
      <w:r w:rsidRPr="00AA22F9">
        <w:t>.</w:t>
      </w:r>
    </w:p>
    <w:p w14:paraId="1FA3ABBF" w14:textId="77777777" w:rsidR="001118A1" w:rsidRPr="00AA22F9" w:rsidRDefault="001118A1" w:rsidP="001118A1">
      <w:pPr>
        <w:pStyle w:val="NormalWeb"/>
        <w:spacing w:before="0" w:beforeAutospacing="0" w:after="0" w:afterAutospacing="0" w:line="480" w:lineRule="auto"/>
        <w:ind w:left="720" w:hanging="720"/>
        <w:contextualSpacing/>
      </w:pPr>
      <w:r w:rsidRPr="00AA22F9">
        <w:rPr>
          <w:lang w:val="de-DE"/>
        </w:rPr>
        <w:t xml:space="preserve">Chen, P., Wu, L. and Wang, L. (2023). </w:t>
      </w:r>
      <w:r w:rsidRPr="00AA22F9">
        <w:t>AI Fairness in Data Management and Analytics: A Review on Challenges, Methodologies and Applications. </w:t>
      </w:r>
      <w:r w:rsidRPr="00AA22F9">
        <w:rPr>
          <w:i/>
          <w:iCs/>
        </w:rPr>
        <w:t>Applied Sciences</w:t>
      </w:r>
      <w:r w:rsidRPr="00AA22F9">
        <w:t xml:space="preserve">, [online] 13(18), pp.10258–10258. </w:t>
      </w:r>
      <w:proofErr w:type="spellStart"/>
      <w:r w:rsidRPr="00AA22F9">
        <w:t>doi</w:t>
      </w:r>
      <w:proofErr w:type="spellEnd"/>
      <w:r w:rsidRPr="00AA22F9">
        <w:t xml:space="preserve">: </w:t>
      </w:r>
      <w:hyperlink r:id="rId32" w:history="1">
        <w:r w:rsidRPr="00AA22F9">
          <w:rPr>
            <w:rStyle w:val="Hyperlink"/>
            <w:rFonts w:eastAsiaTheme="majorEastAsia"/>
          </w:rPr>
          <w:t>https://doi.org/10.3390/app131810258</w:t>
        </w:r>
      </w:hyperlink>
      <w:r w:rsidRPr="00AA22F9">
        <w:t>.</w:t>
      </w:r>
    </w:p>
    <w:p w14:paraId="65007C93" w14:textId="77777777" w:rsidR="001118A1" w:rsidRPr="00AA22F9" w:rsidRDefault="001118A1" w:rsidP="001118A1">
      <w:pPr>
        <w:pStyle w:val="NormalWeb"/>
        <w:spacing w:before="0" w:beforeAutospacing="0" w:after="0" w:afterAutospacing="0" w:line="480" w:lineRule="auto"/>
        <w:ind w:left="720" w:hanging="720"/>
        <w:contextualSpacing/>
      </w:pPr>
      <w:r w:rsidRPr="00AA22F9">
        <w:t>Choi, J., Shin, N. and Chang, Y.S. (2021). Strategic Investment Decisions for Emerging Technology Fields in the Health Care Sector Based on M&amp;A Analysis. </w:t>
      </w:r>
      <w:r w:rsidRPr="00AA22F9">
        <w:rPr>
          <w:i/>
          <w:iCs/>
        </w:rPr>
        <w:t>Sustainability</w:t>
      </w:r>
      <w:r w:rsidRPr="00AA22F9">
        <w:t xml:space="preserve">, [online] 13(7), pp.3644–3644. </w:t>
      </w:r>
      <w:proofErr w:type="spellStart"/>
      <w:r w:rsidRPr="00AA22F9">
        <w:t>doi</w:t>
      </w:r>
      <w:proofErr w:type="spellEnd"/>
      <w:r w:rsidRPr="00AA22F9">
        <w:t xml:space="preserve">: </w:t>
      </w:r>
      <w:hyperlink r:id="rId33" w:history="1">
        <w:r w:rsidRPr="00AA22F9">
          <w:rPr>
            <w:rStyle w:val="Hyperlink"/>
            <w:rFonts w:eastAsiaTheme="majorEastAsia"/>
          </w:rPr>
          <w:t>https://doi.org/10.3390/su13073644</w:t>
        </w:r>
      </w:hyperlink>
      <w:r w:rsidRPr="00AA22F9">
        <w:t>.</w:t>
      </w:r>
    </w:p>
    <w:p w14:paraId="5EB80A76" w14:textId="77777777" w:rsidR="001118A1" w:rsidRPr="00AA22F9" w:rsidRDefault="001118A1" w:rsidP="001118A1">
      <w:pPr>
        <w:pStyle w:val="NormalWeb"/>
        <w:spacing w:before="0" w:beforeAutospacing="0" w:after="0" w:afterAutospacing="0" w:line="480" w:lineRule="auto"/>
        <w:ind w:left="720" w:hanging="720"/>
        <w:contextualSpacing/>
      </w:pPr>
      <w:r w:rsidRPr="00AA22F9">
        <w:rPr>
          <w:bCs/>
        </w:rPr>
        <w:t>Christensen, C. M.</w:t>
      </w:r>
      <w:r w:rsidRPr="00AA22F9">
        <w:t> (1997). </w:t>
      </w:r>
      <w:r w:rsidRPr="00AA22F9">
        <w:rPr>
          <w:i/>
          <w:iCs/>
        </w:rPr>
        <w:t>The Innovator’s Dilemma: When New Technologies Cause Great Firms to Fail</w:t>
      </w:r>
      <w:r w:rsidRPr="00AA22F9">
        <w:t xml:space="preserve">. </w:t>
      </w:r>
      <w:hyperlink r:id="rId34" w:history="1">
        <w:r w:rsidRPr="00AA22F9">
          <w:rPr>
            <w:rStyle w:val="Hyperlink"/>
            <w:rFonts w:eastAsiaTheme="majorEastAsia"/>
          </w:rPr>
          <w:t>https://www.hbs.edu/faculty/Pages/item.aspx?num=46</w:t>
        </w:r>
      </w:hyperlink>
    </w:p>
    <w:p w14:paraId="557642C2" w14:textId="77777777" w:rsidR="001118A1" w:rsidRPr="00AA22F9" w:rsidRDefault="001118A1" w:rsidP="001118A1">
      <w:pPr>
        <w:pStyle w:val="NormalWeb"/>
        <w:spacing w:before="0" w:beforeAutospacing="0" w:after="0" w:afterAutospacing="0" w:line="480" w:lineRule="auto"/>
        <w:ind w:left="720" w:hanging="720"/>
        <w:contextualSpacing/>
      </w:pPr>
      <w:r w:rsidRPr="00AA22F9">
        <w:t>Cross, J.L., Choma, M.A. and Onofrey, J.A. (2024). Bias in medical AI: Implications for clinical decision-making. </w:t>
      </w:r>
      <w:r w:rsidRPr="00AA22F9">
        <w:rPr>
          <w:i/>
          <w:iCs/>
        </w:rPr>
        <w:t>PLOS Digital Health</w:t>
      </w:r>
      <w:r w:rsidRPr="00AA22F9">
        <w:t xml:space="preserve">, [online] 3(11), </w:t>
      </w:r>
      <w:proofErr w:type="gramStart"/>
      <w:r w:rsidRPr="00AA22F9">
        <w:t>pp.e</w:t>
      </w:r>
      <w:proofErr w:type="gramEnd"/>
      <w:r w:rsidRPr="00AA22F9">
        <w:t xml:space="preserve">0000651–e0000651. </w:t>
      </w:r>
      <w:proofErr w:type="spellStart"/>
      <w:r w:rsidRPr="00AA22F9">
        <w:t>doi</w:t>
      </w:r>
      <w:proofErr w:type="spellEnd"/>
      <w:r w:rsidRPr="00AA22F9">
        <w:t xml:space="preserve">: </w:t>
      </w:r>
      <w:hyperlink r:id="rId35" w:history="1">
        <w:r w:rsidRPr="00AA22F9">
          <w:rPr>
            <w:rStyle w:val="Hyperlink"/>
            <w:rFonts w:eastAsiaTheme="majorEastAsia"/>
          </w:rPr>
          <w:t>https://doi.org/10.1371/journal.pdig.0000651</w:t>
        </w:r>
      </w:hyperlink>
      <w:r w:rsidRPr="00AA22F9">
        <w:t>.</w:t>
      </w:r>
    </w:p>
    <w:p w14:paraId="34EBE9EA" w14:textId="77777777" w:rsidR="001118A1" w:rsidRPr="00AA22F9" w:rsidRDefault="001118A1" w:rsidP="001118A1">
      <w:pPr>
        <w:pStyle w:val="NormalWeb"/>
        <w:spacing w:before="0" w:beforeAutospacing="0" w:after="0" w:afterAutospacing="0" w:line="480" w:lineRule="auto"/>
        <w:ind w:left="720" w:hanging="720"/>
        <w:contextualSpacing/>
      </w:pPr>
      <w:r w:rsidRPr="00AA22F9">
        <w:lastRenderedPageBreak/>
        <w:t xml:space="preserve">Dada, M.A. (2025). Blocked Page. [online] Archive.org. Available at: </w:t>
      </w:r>
      <w:hyperlink r:id="rId36" w:history="1">
        <w:r w:rsidRPr="00AA22F9">
          <w:rPr>
            <w:rStyle w:val="Hyperlink"/>
            <w:rFonts w:eastAsiaTheme="majorEastAsia"/>
          </w:rPr>
          <w:t>https://web.archive.org/web/20240426141214id_/https://api.mdsoar.org/server/api/core/bitstreams/b5eaaaf2-5344-4017-93ce-84f6f56b6346/content</w:t>
        </w:r>
      </w:hyperlink>
      <w:r w:rsidRPr="00AA22F9">
        <w:t>.</w:t>
      </w:r>
    </w:p>
    <w:p w14:paraId="59797CE4" w14:textId="77777777" w:rsidR="001118A1" w:rsidRPr="00AA22F9" w:rsidRDefault="001118A1" w:rsidP="001118A1">
      <w:pPr>
        <w:pStyle w:val="NormalWeb"/>
        <w:spacing w:before="0" w:beforeAutospacing="0" w:after="0" w:afterAutospacing="0" w:line="480" w:lineRule="auto"/>
        <w:ind w:left="720" w:hanging="720"/>
        <w:contextualSpacing/>
      </w:pPr>
      <w:r w:rsidRPr="00AA22F9">
        <w:t>Duan, C. and Morten, C.J. (2024). Patient Access to Health Device Data. </w:t>
      </w:r>
      <w:r w:rsidRPr="00AA22F9">
        <w:rPr>
          <w:i/>
          <w:iCs/>
        </w:rPr>
        <w:t>Cambridge University Press eBooks</w:t>
      </w:r>
      <w:r w:rsidRPr="00AA22F9">
        <w:t xml:space="preserve">, [online] pp.27–37. </w:t>
      </w:r>
      <w:proofErr w:type="spellStart"/>
      <w:r w:rsidRPr="00AA22F9">
        <w:t>doi</w:t>
      </w:r>
      <w:proofErr w:type="spellEnd"/>
      <w:r w:rsidRPr="00AA22F9">
        <w:t>: https://doi.org/10.1017/9781009373234.004.</w:t>
      </w:r>
    </w:p>
    <w:p w14:paraId="24B90A3A" w14:textId="77777777" w:rsidR="001118A1" w:rsidRPr="00AA22F9" w:rsidRDefault="001118A1" w:rsidP="001118A1">
      <w:pPr>
        <w:pStyle w:val="NormalWeb"/>
        <w:spacing w:before="0" w:beforeAutospacing="0" w:after="0" w:afterAutospacing="0" w:line="480" w:lineRule="auto"/>
        <w:ind w:left="720" w:hanging="720"/>
        <w:contextualSpacing/>
        <w:rPr>
          <w:bCs/>
        </w:rPr>
      </w:pPr>
      <w:r w:rsidRPr="00AA22F9">
        <w:rPr>
          <w:bCs/>
        </w:rPr>
        <w:t>E, T 2019, </w:t>
      </w:r>
      <w:r w:rsidRPr="00AA22F9">
        <w:rPr>
          <w:bCs/>
          <w:i/>
          <w:iCs/>
        </w:rPr>
        <w:t>Deep Medicine</w:t>
      </w:r>
      <w:r w:rsidRPr="00AA22F9">
        <w:rPr>
          <w:bCs/>
        </w:rPr>
        <w:t xml:space="preserve">, Google Books, viewed 8 April 2025, </w:t>
      </w:r>
      <w:hyperlink r:id="rId37" w:history="1">
        <w:r w:rsidRPr="00AA22F9">
          <w:rPr>
            <w:rStyle w:val="Hyperlink"/>
            <w:rFonts w:eastAsiaTheme="majorEastAsia"/>
            <w:bCs/>
          </w:rPr>
          <w:t>https://shorturl.at/PMpBD</w:t>
        </w:r>
      </w:hyperlink>
    </w:p>
    <w:p w14:paraId="69CA0CEA" w14:textId="77777777" w:rsidR="001118A1" w:rsidRPr="00AA22F9" w:rsidRDefault="001118A1" w:rsidP="001118A1">
      <w:pPr>
        <w:pStyle w:val="NormalWeb"/>
        <w:spacing w:before="0" w:beforeAutospacing="0" w:after="0" w:afterAutospacing="0" w:line="480" w:lineRule="auto"/>
        <w:ind w:left="720" w:hanging="720"/>
        <w:contextualSpacing/>
      </w:pPr>
      <w:r w:rsidRPr="00AA22F9">
        <w:t xml:space="preserve">Ebele, E., </w:t>
      </w:r>
      <w:proofErr w:type="spellStart"/>
      <w:r w:rsidRPr="00AA22F9">
        <w:t>Iyelolu</w:t>
      </w:r>
      <w:proofErr w:type="spellEnd"/>
      <w:r w:rsidRPr="00AA22F9">
        <w:t>, V., Idemudia, N.C. and Ignatius, T. (2024). Exploring the Relationship between Sustainable Business Practices and Increased Brand Loyalty. </w:t>
      </w:r>
      <w:r w:rsidRPr="00AA22F9">
        <w:rPr>
          <w:i/>
          <w:iCs/>
        </w:rPr>
        <w:t>International Journal of Management &amp; Entrepreneurship Research</w:t>
      </w:r>
      <w:r w:rsidRPr="00AA22F9">
        <w:t xml:space="preserve">, 6(8), pp.2463–2475. </w:t>
      </w:r>
      <w:proofErr w:type="spellStart"/>
      <w:r w:rsidRPr="00AA22F9">
        <w:t>doi</w:t>
      </w:r>
      <w:proofErr w:type="spellEnd"/>
      <w:r w:rsidRPr="00AA22F9">
        <w:t xml:space="preserve">: </w:t>
      </w:r>
      <w:hyperlink r:id="rId38" w:history="1">
        <w:r w:rsidRPr="00AA22F9">
          <w:rPr>
            <w:rStyle w:val="Hyperlink"/>
            <w:rFonts w:eastAsiaTheme="majorEastAsia"/>
          </w:rPr>
          <w:t>https://doi.org/10.51594/ijmer.v6i8.1365</w:t>
        </w:r>
      </w:hyperlink>
      <w:r w:rsidRPr="00AA22F9">
        <w:t>.</w:t>
      </w:r>
    </w:p>
    <w:p w14:paraId="075E4F8B" w14:textId="77777777" w:rsidR="001118A1" w:rsidRPr="00AA22F9" w:rsidRDefault="001118A1" w:rsidP="001118A1">
      <w:pPr>
        <w:pStyle w:val="NormalWeb"/>
        <w:spacing w:after="0" w:line="480" w:lineRule="auto"/>
        <w:ind w:left="720" w:hanging="720"/>
        <w:contextualSpacing/>
      </w:pPr>
      <w:proofErr w:type="spellStart"/>
      <w:r w:rsidRPr="00AA22F9">
        <w:t>Edemekong</w:t>
      </w:r>
      <w:proofErr w:type="spellEnd"/>
      <w:r w:rsidRPr="00AA22F9">
        <w:t xml:space="preserve">, PF, Pavan </w:t>
      </w:r>
      <w:proofErr w:type="spellStart"/>
      <w:r w:rsidRPr="00AA22F9">
        <w:t>Annamaraju</w:t>
      </w:r>
      <w:proofErr w:type="spellEnd"/>
      <w:r w:rsidRPr="00AA22F9">
        <w:t>, Afzal, M &amp; Haydel, MJ 2024, </w:t>
      </w:r>
      <w:r w:rsidRPr="00AA22F9">
        <w:rPr>
          <w:i/>
          <w:iCs/>
        </w:rPr>
        <w:t>Health Insurance Portability and Accountability Act (HIPAA) Compliance</w:t>
      </w:r>
      <w:r w:rsidRPr="00AA22F9">
        <w:t xml:space="preserve">, Nih.gov, </w:t>
      </w:r>
      <w:proofErr w:type="spellStart"/>
      <w:r w:rsidRPr="00AA22F9">
        <w:t>StatPearls</w:t>
      </w:r>
      <w:proofErr w:type="spellEnd"/>
      <w:r w:rsidRPr="00AA22F9">
        <w:t xml:space="preserve"> Publishing, viewed 30 September 2025, </w:t>
      </w:r>
      <w:hyperlink r:id="rId39" w:history="1">
        <w:r w:rsidRPr="00AA22F9">
          <w:rPr>
            <w:rStyle w:val="Hyperlink"/>
            <w:rFonts w:eastAsiaTheme="majorEastAsia"/>
          </w:rPr>
          <w:t>https://www.ncbi.nlm.nih.gov/books/NBK500019/</w:t>
        </w:r>
      </w:hyperlink>
    </w:p>
    <w:p w14:paraId="481E3580" w14:textId="77777777" w:rsidR="001118A1" w:rsidRPr="00AA22F9" w:rsidRDefault="001118A1" w:rsidP="001118A1">
      <w:pPr>
        <w:pStyle w:val="NormalWeb"/>
        <w:spacing w:before="0" w:beforeAutospacing="0" w:after="0" w:afterAutospacing="0" w:line="480" w:lineRule="auto"/>
        <w:ind w:left="720" w:hanging="720"/>
        <w:contextualSpacing/>
      </w:pPr>
      <w:r w:rsidRPr="00AA22F9">
        <w:t>Fahad Al-</w:t>
      </w:r>
      <w:proofErr w:type="spellStart"/>
      <w:r w:rsidRPr="00AA22F9">
        <w:t>Anezi</w:t>
      </w:r>
      <w:proofErr w:type="spellEnd"/>
      <w:r w:rsidRPr="00AA22F9">
        <w:t xml:space="preserve"> (2024). Interlinking FinTech and eHealth: a qualitative study. </w:t>
      </w:r>
      <w:r w:rsidRPr="00AA22F9">
        <w:rPr>
          <w:i/>
          <w:iCs/>
        </w:rPr>
        <w:t>Frontiers in Public Health</w:t>
      </w:r>
      <w:r w:rsidRPr="00AA22F9">
        <w:t xml:space="preserve">, [online] 12. </w:t>
      </w:r>
      <w:proofErr w:type="spellStart"/>
      <w:r w:rsidRPr="00AA22F9">
        <w:t>doi</w:t>
      </w:r>
      <w:proofErr w:type="spellEnd"/>
      <w:r w:rsidRPr="00AA22F9">
        <w:t xml:space="preserve">: </w:t>
      </w:r>
      <w:hyperlink r:id="rId40" w:history="1">
        <w:r w:rsidRPr="00AA22F9">
          <w:rPr>
            <w:rStyle w:val="Hyperlink"/>
            <w:rFonts w:eastAsiaTheme="majorEastAsia"/>
          </w:rPr>
          <w:t>https://doi.org/10.3389/fpubh.2024.1398136</w:t>
        </w:r>
      </w:hyperlink>
      <w:r w:rsidRPr="00AA22F9">
        <w:t>.</w:t>
      </w:r>
    </w:p>
    <w:p w14:paraId="49F75D92" w14:textId="77777777" w:rsidR="001118A1" w:rsidRPr="00AA22F9" w:rsidRDefault="001118A1" w:rsidP="001118A1">
      <w:pPr>
        <w:pStyle w:val="NormalWeb"/>
        <w:spacing w:before="0" w:beforeAutospacing="0" w:after="0" w:afterAutospacing="0" w:line="480" w:lineRule="auto"/>
        <w:ind w:left="720" w:hanging="720"/>
        <w:contextualSpacing/>
      </w:pPr>
      <w:proofErr w:type="spellStart"/>
      <w:r w:rsidRPr="00AA22F9">
        <w:t>Falivena</w:t>
      </w:r>
      <w:proofErr w:type="spellEnd"/>
      <w:r w:rsidRPr="00AA22F9">
        <w:t>, C &amp; Palozzi, G 2019, ‘Value-Based Healthcare Paradigm for Healthcare Sustainability’, </w:t>
      </w:r>
      <w:r w:rsidRPr="00AA22F9">
        <w:rPr>
          <w:i/>
          <w:iCs/>
        </w:rPr>
        <w:t>Accounting, finance, sustainability, governance &amp; fraud</w:t>
      </w:r>
      <w:r w:rsidRPr="00AA22F9">
        <w:t xml:space="preserve">, Springer Nature, pp. 133–153, viewed 8 April 2025, </w:t>
      </w:r>
      <w:hyperlink r:id="rId41" w:history="1">
        <w:r w:rsidRPr="00AA22F9">
          <w:rPr>
            <w:rStyle w:val="Hyperlink"/>
            <w:rFonts w:eastAsiaTheme="majorEastAsia"/>
          </w:rPr>
          <w:t>https://link.springer.com/chapter/10.1007/978-3-030-31193-3_7</w:t>
        </w:r>
      </w:hyperlink>
    </w:p>
    <w:p w14:paraId="31CD7D5C" w14:textId="77777777" w:rsidR="001118A1" w:rsidRPr="00AA22F9" w:rsidRDefault="001118A1" w:rsidP="001118A1">
      <w:pPr>
        <w:spacing w:after="0" w:line="480" w:lineRule="auto"/>
        <w:ind w:left="720" w:hanging="720"/>
        <w:contextualSpacing/>
        <w:rPr>
          <w:rFonts w:ascii="Times New Roman" w:hAnsi="Times New Roman" w:cs="Times New Roman"/>
        </w:rPr>
      </w:pPr>
      <w:r w:rsidRPr="00AA22F9">
        <w:rPr>
          <w:rFonts w:ascii="Times New Roman" w:hAnsi="Times New Roman" w:cs="Times New Roman"/>
        </w:rPr>
        <w:t xml:space="preserve">Fascia, M, </w:t>
      </w:r>
      <w:proofErr w:type="spellStart"/>
      <w:r w:rsidRPr="00AA22F9">
        <w:rPr>
          <w:rFonts w:ascii="Times New Roman" w:hAnsi="Times New Roman" w:cs="Times New Roman"/>
        </w:rPr>
        <w:t>Koseda</w:t>
      </w:r>
      <w:proofErr w:type="spellEnd"/>
      <w:r w:rsidRPr="00AA22F9">
        <w:rPr>
          <w:rFonts w:ascii="Times New Roman" w:hAnsi="Times New Roman" w:cs="Times New Roman"/>
        </w:rPr>
        <w:t>, E &amp; McIntosh, B 2023, ‘Healthcare Technology and Innovation Management Methods: Theoretical Interpretation’, </w:t>
      </w:r>
      <w:r w:rsidRPr="00AA22F9">
        <w:rPr>
          <w:rFonts w:ascii="Times New Roman" w:hAnsi="Times New Roman" w:cs="Times New Roman"/>
          <w:i/>
          <w:iCs/>
        </w:rPr>
        <w:t>Internet of Things</w:t>
      </w:r>
      <w:r w:rsidRPr="00AA22F9">
        <w:rPr>
          <w:rFonts w:ascii="Times New Roman" w:hAnsi="Times New Roman" w:cs="Times New Roman"/>
        </w:rPr>
        <w:t xml:space="preserve">, Springer International Publishing, Cham, pp. 315–322, viewed 8 June 2025, </w:t>
      </w:r>
      <w:hyperlink r:id="rId42" w:history="1">
        <w:r w:rsidRPr="00AA22F9">
          <w:rPr>
            <w:rStyle w:val="Hyperlink"/>
            <w:rFonts w:cs="Times New Roman"/>
          </w:rPr>
          <w:t>https://www.researchgate.net/publication/373133417_Healthcare_Technology_and_Innovation_Management_Methods_Theoretical_Interpretation</w:t>
        </w:r>
      </w:hyperlink>
      <w:r w:rsidRPr="00AA22F9">
        <w:rPr>
          <w:rFonts w:ascii="Times New Roman" w:hAnsi="Times New Roman" w:cs="Times New Roman"/>
        </w:rPr>
        <w:t>.</w:t>
      </w:r>
    </w:p>
    <w:p w14:paraId="334F0BAA" w14:textId="77777777" w:rsidR="001118A1" w:rsidRPr="00AA22F9" w:rsidRDefault="001118A1" w:rsidP="001118A1">
      <w:pPr>
        <w:pStyle w:val="NormalWeb"/>
        <w:spacing w:before="0" w:beforeAutospacing="0" w:after="0" w:afterAutospacing="0" w:line="480" w:lineRule="auto"/>
        <w:ind w:left="720" w:hanging="720"/>
        <w:contextualSpacing/>
      </w:pPr>
      <w:r w:rsidRPr="00AA22F9">
        <w:t xml:space="preserve">Feng, Y., Hu, J., Afshan, S., Irfan, M., Hu, M. and Abbas, S. (2023). Bridging resource disparities for sustainable development: A comparative analysis of resource-rich and resource-scarce </w:t>
      </w:r>
      <w:r w:rsidRPr="00AA22F9">
        <w:lastRenderedPageBreak/>
        <w:t>countries. </w:t>
      </w:r>
      <w:r w:rsidRPr="00AA22F9">
        <w:rPr>
          <w:i/>
          <w:iCs/>
        </w:rPr>
        <w:t>Resources Policy</w:t>
      </w:r>
      <w:r w:rsidRPr="00AA22F9">
        <w:t xml:space="preserve">, [online] 85, p.103981. </w:t>
      </w:r>
      <w:proofErr w:type="spellStart"/>
      <w:r w:rsidRPr="00AA22F9">
        <w:t>doi</w:t>
      </w:r>
      <w:proofErr w:type="spellEnd"/>
      <w:r w:rsidRPr="00AA22F9">
        <w:t xml:space="preserve">: </w:t>
      </w:r>
      <w:hyperlink r:id="rId43" w:history="1">
        <w:r w:rsidRPr="00AA22F9">
          <w:rPr>
            <w:rStyle w:val="Hyperlink"/>
            <w:rFonts w:eastAsiaTheme="majorEastAsia"/>
          </w:rPr>
          <w:t>https://doi.org/10.1016/j.resourpol.2023.103981</w:t>
        </w:r>
      </w:hyperlink>
      <w:r w:rsidRPr="00AA22F9">
        <w:t>.</w:t>
      </w:r>
    </w:p>
    <w:p w14:paraId="7A7F390B" w14:textId="77777777" w:rsidR="001118A1" w:rsidRPr="00AA22F9" w:rsidRDefault="001118A1" w:rsidP="001118A1">
      <w:pPr>
        <w:pStyle w:val="NormalWeb"/>
        <w:spacing w:before="0" w:beforeAutospacing="0" w:after="0" w:afterAutospacing="0" w:line="480" w:lineRule="auto"/>
        <w:ind w:left="720" w:hanging="720"/>
        <w:contextualSpacing/>
      </w:pPr>
      <w:r w:rsidRPr="00AA22F9">
        <w:t>Ferrara, E. (2023). Fairness and Bias in Artificial Intelligence: A Brief Survey of Sources, Impacts, and Mitigation Strategies. </w:t>
      </w:r>
      <w:r w:rsidRPr="00AA22F9">
        <w:rPr>
          <w:i/>
          <w:iCs/>
        </w:rPr>
        <w:t>Sci</w:t>
      </w:r>
      <w:r w:rsidRPr="00AA22F9">
        <w:t xml:space="preserve">, [online] 6(1), p.3. </w:t>
      </w:r>
      <w:proofErr w:type="spellStart"/>
      <w:r w:rsidRPr="00AA22F9">
        <w:t>doi</w:t>
      </w:r>
      <w:proofErr w:type="spellEnd"/>
      <w:r w:rsidRPr="00AA22F9">
        <w:t xml:space="preserve">: </w:t>
      </w:r>
      <w:hyperlink r:id="rId44" w:history="1">
        <w:r w:rsidRPr="00AA22F9">
          <w:rPr>
            <w:rStyle w:val="Hyperlink"/>
            <w:rFonts w:eastAsiaTheme="majorEastAsia"/>
          </w:rPr>
          <w:t>https://doi.org/10.3390/sci6010003</w:t>
        </w:r>
      </w:hyperlink>
      <w:r w:rsidRPr="00AA22F9">
        <w:t>.</w:t>
      </w:r>
    </w:p>
    <w:p w14:paraId="7DBC555A" w14:textId="77777777" w:rsidR="001118A1" w:rsidRPr="00AA22F9" w:rsidRDefault="001118A1" w:rsidP="001118A1">
      <w:pPr>
        <w:pStyle w:val="NormalWeb"/>
        <w:spacing w:before="0" w:beforeAutospacing="0" w:after="0" w:afterAutospacing="0" w:line="480" w:lineRule="auto"/>
        <w:ind w:left="720" w:hanging="720"/>
        <w:contextualSpacing/>
      </w:pPr>
      <w:r w:rsidRPr="00AA22F9">
        <w:t>Gans, J, Hart, O, Holden, R, Holmstrom, B, Ma, S, Nalebuff, B, Stern, S &amp; Van Den Steen, E 2022, </w:t>
      </w:r>
      <w:r w:rsidRPr="00AA22F9">
        <w:rPr>
          <w:i/>
          <w:iCs/>
        </w:rPr>
        <w:t>NBER WORKING PAPER SERIES A THEORY OF VISIONARY DISRUPTION Thanks to</w:t>
      </w:r>
      <w:r w:rsidRPr="00AA22F9">
        <w:t xml:space="preserve">, viewed 8 April 2025, </w:t>
      </w:r>
      <w:hyperlink r:id="rId45" w:history="1">
        <w:r w:rsidRPr="00AA22F9">
          <w:rPr>
            <w:rStyle w:val="Hyperlink"/>
            <w:rFonts w:eastAsiaTheme="majorEastAsia"/>
          </w:rPr>
          <w:t>https://www.nber.org/system/files/working_papers/w30091/w30091.pdf</w:t>
        </w:r>
      </w:hyperlink>
    </w:p>
    <w:p w14:paraId="3D234F5D" w14:textId="77777777" w:rsidR="001118A1" w:rsidRPr="00AA22F9" w:rsidRDefault="001118A1" w:rsidP="001118A1">
      <w:pPr>
        <w:pStyle w:val="NormalWeb"/>
        <w:spacing w:before="0" w:beforeAutospacing="0" w:after="0" w:afterAutospacing="0" w:line="480" w:lineRule="auto"/>
        <w:ind w:left="720" w:hanging="720"/>
        <w:contextualSpacing/>
      </w:pPr>
      <w:r w:rsidRPr="00AA22F9">
        <w:t>George and George (2024). Towards a Super Smart Society 5.0: Opportunities and Challenges of Integrating Emerging Technologies for Social Innovation. </w:t>
      </w:r>
      <w:r w:rsidRPr="00AA22F9">
        <w:rPr>
          <w:i/>
          <w:iCs/>
        </w:rPr>
        <w:t>Partners Universal International Research Journal</w:t>
      </w:r>
      <w:r w:rsidRPr="00AA22F9">
        <w:t xml:space="preserve">, [online] 3(2), pp.01-29. </w:t>
      </w:r>
      <w:proofErr w:type="spellStart"/>
      <w:r w:rsidRPr="00AA22F9">
        <w:t>doi</w:t>
      </w:r>
      <w:proofErr w:type="spellEnd"/>
      <w:r w:rsidRPr="00AA22F9">
        <w:t xml:space="preserve">: </w:t>
      </w:r>
      <w:hyperlink r:id="rId46" w:history="1">
        <w:r w:rsidRPr="00AA22F9">
          <w:rPr>
            <w:rStyle w:val="Hyperlink"/>
            <w:rFonts w:eastAsiaTheme="majorEastAsia"/>
          </w:rPr>
          <w:t>https://doi.org/10.5281/zenodo.11522048</w:t>
        </w:r>
      </w:hyperlink>
      <w:r w:rsidRPr="00AA22F9">
        <w:t>.</w:t>
      </w:r>
    </w:p>
    <w:p w14:paraId="0EA86B65" w14:textId="77777777" w:rsidR="001118A1" w:rsidRPr="00AA22F9" w:rsidRDefault="001118A1" w:rsidP="001118A1">
      <w:pPr>
        <w:pStyle w:val="NormalWeb"/>
        <w:spacing w:before="0" w:beforeAutospacing="0" w:after="0" w:afterAutospacing="0" w:line="480" w:lineRule="auto"/>
        <w:ind w:left="720" w:hanging="720"/>
        <w:contextualSpacing/>
      </w:pPr>
      <w:proofErr w:type="spellStart"/>
      <w:r w:rsidRPr="00AA22F9">
        <w:t>Gounari</w:t>
      </w:r>
      <w:proofErr w:type="spellEnd"/>
      <w:r w:rsidRPr="00AA22F9">
        <w:t xml:space="preserve">, M., Stergiopoulos, G., Kosmas </w:t>
      </w:r>
      <w:proofErr w:type="spellStart"/>
      <w:r w:rsidRPr="00AA22F9">
        <w:t>Pipyros</w:t>
      </w:r>
      <w:proofErr w:type="spellEnd"/>
      <w:r w:rsidRPr="00AA22F9">
        <w:t xml:space="preserve"> and Dimitris </w:t>
      </w:r>
      <w:proofErr w:type="spellStart"/>
      <w:r w:rsidRPr="00AA22F9">
        <w:t>Gritzalis</w:t>
      </w:r>
      <w:proofErr w:type="spellEnd"/>
      <w:r w:rsidRPr="00AA22F9">
        <w:t xml:space="preserve"> (2024). Harmonizing open banking in the European Union: an analysis of PSD2 compliance and interrelation with cybersecurity frameworks and standards. </w:t>
      </w:r>
      <w:r w:rsidRPr="00AA22F9">
        <w:rPr>
          <w:i/>
          <w:iCs/>
        </w:rPr>
        <w:t>International Cybersecurity Law Review</w:t>
      </w:r>
      <w:r w:rsidRPr="00AA22F9">
        <w:t xml:space="preserve">, [online] 5(1), pp.79–120. </w:t>
      </w:r>
      <w:proofErr w:type="spellStart"/>
      <w:r w:rsidRPr="00AA22F9">
        <w:t>doi</w:t>
      </w:r>
      <w:proofErr w:type="spellEnd"/>
      <w:r w:rsidRPr="00AA22F9">
        <w:t xml:space="preserve">: </w:t>
      </w:r>
      <w:hyperlink r:id="rId47" w:history="1">
        <w:r w:rsidRPr="00AA22F9">
          <w:rPr>
            <w:rStyle w:val="Hyperlink"/>
            <w:rFonts w:eastAsiaTheme="majorEastAsia"/>
          </w:rPr>
          <w:t>https://doi.org/10.1365/s43439-023-00108-8</w:t>
        </w:r>
      </w:hyperlink>
      <w:r w:rsidRPr="00AA22F9">
        <w:t>.</w:t>
      </w:r>
    </w:p>
    <w:p w14:paraId="6E2CB58A" w14:textId="77777777" w:rsidR="001118A1" w:rsidRPr="00AA22F9" w:rsidRDefault="001118A1" w:rsidP="001118A1">
      <w:pPr>
        <w:pStyle w:val="NormalWeb"/>
        <w:spacing w:before="0" w:beforeAutospacing="0" w:after="0" w:afterAutospacing="0" w:line="480" w:lineRule="auto"/>
        <w:ind w:left="720" w:hanging="720"/>
        <w:contextualSpacing/>
      </w:pPr>
      <w:r w:rsidRPr="00AA22F9">
        <w:t>Gupta, A.P. and II, R.S. (2024). The Role of Fintech in Streamlining Insurance Processes and Reducing Administrative Overheads. </w:t>
      </w:r>
      <w:r w:rsidRPr="00AA22F9">
        <w:rPr>
          <w:i/>
          <w:iCs/>
        </w:rPr>
        <w:t>ResearchGate</w:t>
      </w:r>
      <w:r w:rsidRPr="00AA22F9">
        <w:t xml:space="preserve">, [online] 37(2), pp.21–31. Available at: </w:t>
      </w:r>
      <w:hyperlink r:id="rId48" w:history="1">
        <w:r w:rsidRPr="00AA22F9">
          <w:rPr>
            <w:rStyle w:val="Hyperlink"/>
            <w:rFonts w:eastAsiaTheme="majorEastAsia"/>
          </w:rPr>
          <w:t>https://www.researchgate.net/publication/384012595_The_Role_of_Fintech_in_Streamlining_Insurance_Processes_and_Reducing_Administrative_Overheads</w:t>
        </w:r>
      </w:hyperlink>
      <w:r w:rsidRPr="00AA22F9">
        <w:t>.</w:t>
      </w:r>
    </w:p>
    <w:p w14:paraId="443D63A5" w14:textId="77777777" w:rsidR="001118A1" w:rsidRPr="00AA22F9" w:rsidRDefault="001118A1" w:rsidP="001118A1">
      <w:pPr>
        <w:pStyle w:val="NormalWeb"/>
        <w:spacing w:before="0" w:beforeAutospacing="0" w:after="0" w:afterAutospacing="0" w:line="480" w:lineRule="auto"/>
        <w:ind w:left="720" w:hanging="720"/>
        <w:contextualSpacing/>
      </w:pPr>
      <w:r w:rsidRPr="00AA22F9">
        <w:t xml:space="preserve">Haaker, T., Ly, P.T.M., Nguyen-Thanh, N. and Nguyen, H.T.H. (2021). Business Model Innovation through the Application of the Internet-of-Things: </w:t>
      </w:r>
      <w:proofErr w:type="gramStart"/>
      <w:r w:rsidRPr="00AA22F9">
        <w:t>a</w:t>
      </w:r>
      <w:proofErr w:type="gramEnd"/>
      <w:r w:rsidRPr="00AA22F9">
        <w:t xml:space="preserve"> Comparative Analysis. </w:t>
      </w:r>
      <w:r w:rsidRPr="00AA22F9">
        <w:rPr>
          <w:i/>
          <w:iCs/>
        </w:rPr>
        <w:t>Journal of Business Research</w:t>
      </w:r>
      <w:r w:rsidRPr="00AA22F9">
        <w:t xml:space="preserve">, 126, pp.126–136. </w:t>
      </w:r>
      <w:hyperlink r:id="rId49" w:history="1">
        <w:r w:rsidRPr="00AA22F9">
          <w:rPr>
            <w:rStyle w:val="Hyperlink"/>
            <w:rFonts w:eastAsiaTheme="majorEastAsia"/>
          </w:rPr>
          <w:t>https://doi.org/10.1016/j.jbusres.2020.12.034</w:t>
        </w:r>
      </w:hyperlink>
    </w:p>
    <w:p w14:paraId="02249C2B" w14:textId="77777777" w:rsidR="001118A1" w:rsidRPr="00AA22F9" w:rsidRDefault="001118A1" w:rsidP="001118A1">
      <w:pPr>
        <w:pStyle w:val="NormalWeb"/>
        <w:spacing w:before="0" w:beforeAutospacing="0" w:after="0" w:afterAutospacing="0" w:line="480" w:lineRule="auto"/>
        <w:ind w:left="720" w:hanging="720"/>
        <w:contextualSpacing/>
        <w:rPr>
          <w:bCs/>
        </w:rPr>
      </w:pPr>
      <w:r w:rsidRPr="00AA22F9">
        <w:rPr>
          <w:bCs/>
        </w:rPr>
        <w:t xml:space="preserve">Haddad, C &amp; Lars </w:t>
      </w:r>
      <w:proofErr w:type="spellStart"/>
      <w:r w:rsidRPr="00AA22F9">
        <w:rPr>
          <w:bCs/>
        </w:rPr>
        <w:t>Hornuf</w:t>
      </w:r>
      <w:proofErr w:type="spellEnd"/>
      <w:r w:rsidRPr="00AA22F9">
        <w:rPr>
          <w:bCs/>
        </w:rPr>
        <w:t xml:space="preserve"> 2018, ‘The emergence of the global fintech market: economic and technological determinants’, </w:t>
      </w:r>
      <w:r w:rsidRPr="00AA22F9">
        <w:rPr>
          <w:bCs/>
          <w:i/>
          <w:iCs/>
        </w:rPr>
        <w:t>Small Business Economics</w:t>
      </w:r>
      <w:r w:rsidRPr="00AA22F9">
        <w:rPr>
          <w:bCs/>
        </w:rPr>
        <w:t xml:space="preserve">, vol. 53, Springer </w:t>
      </w:r>
      <w:proofErr w:type="spellStart"/>
      <w:r w:rsidRPr="00AA22F9">
        <w:rPr>
          <w:bCs/>
        </w:rPr>
        <w:t>Science+Business</w:t>
      </w:r>
      <w:proofErr w:type="spellEnd"/>
      <w:r w:rsidRPr="00AA22F9">
        <w:rPr>
          <w:bCs/>
        </w:rPr>
        <w:t xml:space="preserve"> Media, no. 1, pp. 81–105, viewed 8 April 2025, </w:t>
      </w:r>
      <w:hyperlink r:id="rId50" w:history="1">
        <w:r w:rsidRPr="00AA22F9">
          <w:rPr>
            <w:rStyle w:val="Hyperlink"/>
            <w:rFonts w:eastAsiaTheme="majorEastAsia"/>
            <w:bCs/>
          </w:rPr>
          <w:t>https://link.springer.com/article/10.1007/s11187-018-9991-x?trk=public_post_comment-text</w:t>
        </w:r>
      </w:hyperlink>
      <w:r w:rsidRPr="00AA22F9">
        <w:rPr>
          <w:bCs/>
        </w:rPr>
        <w:t>&gt;</w:t>
      </w:r>
    </w:p>
    <w:p w14:paraId="5187CE53" w14:textId="77777777" w:rsidR="001118A1" w:rsidRPr="00AA22F9" w:rsidRDefault="001118A1" w:rsidP="001118A1">
      <w:pPr>
        <w:pStyle w:val="NormalWeb"/>
        <w:spacing w:before="0" w:beforeAutospacing="0" w:after="0" w:afterAutospacing="0" w:line="480" w:lineRule="auto"/>
        <w:ind w:left="720" w:hanging="720"/>
        <w:contextualSpacing/>
      </w:pPr>
      <w:r w:rsidRPr="00AA22F9">
        <w:t>Harvard Business Review. (2024). </w:t>
      </w:r>
      <w:r w:rsidRPr="00AA22F9">
        <w:rPr>
          <w:i/>
          <w:iCs/>
        </w:rPr>
        <w:t>A New Model for Funding Healthcare Innovation</w:t>
      </w:r>
      <w:r w:rsidRPr="00AA22F9">
        <w:t xml:space="preserve">. [online] Available at: </w:t>
      </w:r>
      <w:hyperlink r:id="rId51" w:history="1">
        <w:r w:rsidRPr="00AA22F9">
          <w:rPr>
            <w:rStyle w:val="Hyperlink"/>
            <w:rFonts w:eastAsiaTheme="majorEastAsia"/>
          </w:rPr>
          <w:t>https://hbr.org/podcast/2024/12/a-new-model-for-funding-healthcare-innovation</w:t>
        </w:r>
      </w:hyperlink>
      <w:r w:rsidRPr="00AA22F9">
        <w:t>.</w:t>
      </w:r>
    </w:p>
    <w:p w14:paraId="6203228A" w14:textId="77777777" w:rsidR="001118A1" w:rsidRPr="00AA22F9" w:rsidRDefault="001118A1" w:rsidP="001118A1">
      <w:pPr>
        <w:spacing w:after="0" w:line="480" w:lineRule="auto"/>
        <w:ind w:left="720" w:hanging="720"/>
        <w:contextualSpacing/>
        <w:rPr>
          <w:rFonts w:ascii="Times New Roman" w:hAnsi="Times New Roman" w:cs="Times New Roman"/>
        </w:rPr>
      </w:pPr>
      <w:hyperlink r:id="rId52" w:history="1">
        <w:r w:rsidRPr="00AA22F9">
          <w:rPr>
            <w:rStyle w:val="Hyperlink"/>
            <w:rFonts w:cs="Times New Roman"/>
          </w:rPr>
          <w:t>https://doi.org/10.1016/j.joitmc.2024.100428</w:t>
        </w:r>
      </w:hyperlink>
    </w:p>
    <w:p w14:paraId="2D50F78D" w14:textId="77777777" w:rsidR="001118A1" w:rsidRPr="00AA22F9" w:rsidRDefault="001118A1" w:rsidP="001118A1">
      <w:pPr>
        <w:pStyle w:val="NormalWeb"/>
        <w:spacing w:after="0" w:line="480" w:lineRule="auto"/>
        <w:ind w:left="720" w:hanging="720"/>
        <w:contextualSpacing/>
      </w:pPr>
      <w:proofErr w:type="spellStart"/>
      <w:r w:rsidRPr="00AA22F9">
        <w:t>Hurani</w:t>
      </w:r>
      <w:proofErr w:type="spellEnd"/>
      <w:r w:rsidRPr="00AA22F9">
        <w:t>, J &amp; Abdel-Haq, MK 2025, ‘Factors Influencing FinTech Adoption Among Bank Customers in Palestine: An Extended Technology Acceptance Model Approach’, </w:t>
      </w:r>
      <w:r w:rsidRPr="00AA22F9">
        <w:rPr>
          <w:i/>
          <w:iCs/>
        </w:rPr>
        <w:t>International Journal of Financial Studies</w:t>
      </w:r>
      <w:r w:rsidRPr="00AA22F9">
        <w:t xml:space="preserve">, vol. 13, Multidisciplinary Digital Publishing Institute, no. 1, pp. 11–11, viewed 30 September 2025, </w:t>
      </w:r>
      <w:hyperlink r:id="rId53" w:history="1">
        <w:r w:rsidRPr="00AA22F9">
          <w:rPr>
            <w:rStyle w:val="Hyperlink"/>
            <w:rFonts w:eastAsiaTheme="majorEastAsia"/>
          </w:rPr>
          <w:t>https://www.mdpi.com/2227-7072/13/1/11</w:t>
        </w:r>
      </w:hyperlink>
    </w:p>
    <w:p w14:paraId="1635B9E3" w14:textId="77777777" w:rsidR="001118A1" w:rsidRPr="00AA22F9" w:rsidRDefault="001118A1" w:rsidP="001118A1">
      <w:pPr>
        <w:pStyle w:val="NormalWeb"/>
        <w:spacing w:before="0" w:beforeAutospacing="0" w:after="0" w:afterAutospacing="0" w:line="480" w:lineRule="auto"/>
        <w:ind w:left="720" w:hanging="720"/>
        <w:contextualSpacing/>
      </w:pPr>
      <w:r w:rsidRPr="00AA22F9">
        <w:t xml:space="preserve">Hussien, H.M., Yasin, S.M., </w:t>
      </w:r>
      <w:proofErr w:type="spellStart"/>
      <w:r w:rsidRPr="00AA22F9">
        <w:t>Udzir</w:t>
      </w:r>
      <w:proofErr w:type="spellEnd"/>
      <w:r w:rsidRPr="00AA22F9">
        <w:t xml:space="preserve">, N.I., </w:t>
      </w:r>
      <w:proofErr w:type="spellStart"/>
      <w:r w:rsidRPr="00AA22F9">
        <w:t>Ninggal</w:t>
      </w:r>
      <w:proofErr w:type="spellEnd"/>
      <w:r w:rsidRPr="00AA22F9">
        <w:t>, M.I.H. and Salman, S. (2021). Blockchain technology in the healthcare industry: Trends and opportunities. </w:t>
      </w:r>
      <w:r w:rsidRPr="00AA22F9">
        <w:rPr>
          <w:i/>
          <w:iCs/>
        </w:rPr>
        <w:t>Journal of Industrial Information Integration</w:t>
      </w:r>
      <w:r w:rsidRPr="00AA22F9">
        <w:t xml:space="preserve">, 22, p.100217. </w:t>
      </w:r>
      <w:proofErr w:type="spellStart"/>
      <w:r w:rsidRPr="00AA22F9">
        <w:t>doi</w:t>
      </w:r>
      <w:proofErr w:type="spellEnd"/>
      <w:r w:rsidRPr="00AA22F9">
        <w:t xml:space="preserve">: </w:t>
      </w:r>
      <w:hyperlink r:id="rId54" w:history="1">
        <w:r w:rsidRPr="00AA22F9">
          <w:rPr>
            <w:rStyle w:val="Hyperlink"/>
            <w:rFonts w:eastAsiaTheme="majorEastAsia"/>
          </w:rPr>
          <w:t>https://doi.org/10.1016/j.jii.2021.100217</w:t>
        </w:r>
      </w:hyperlink>
      <w:r w:rsidRPr="00AA22F9">
        <w:t>.</w:t>
      </w:r>
    </w:p>
    <w:p w14:paraId="2628EEE4" w14:textId="77777777" w:rsidR="001118A1" w:rsidRPr="00AA22F9" w:rsidRDefault="001118A1" w:rsidP="001118A1">
      <w:pPr>
        <w:pStyle w:val="NormalWeb"/>
        <w:spacing w:before="0" w:beforeAutospacing="0" w:after="0" w:afterAutospacing="0" w:line="480" w:lineRule="auto"/>
        <w:ind w:left="720" w:hanging="720"/>
        <w:contextualSpacing/>
      </w:pPr>
      <w:proofErr w:type="spellStart"/>
      <w:r w:rsidRPr="00AA22F9">
        <w:t>Iansiti</w:t>
      </w:r>
      <w:proofErr w:type="spellEnd"/>
      <w:r w:rsidRPr="00AA22F9">
        <w:t>, M., &amp; Lakhani, K. R. (2020). </w:t>
      </w:r>
      <w:r w:rsidRPr="00AA22F9">
        <w:rPr>
          <w:i/>
          <w:iCs/>
        </w:rPr>
        <w:t>Competing in the Age of AI: Strategy and Leadership When Algorithms and Networks Run the World</w:t>
      </w:r>
      <w:r w:rsidRPr="00AA22F9">
        <w:t xml:space="preserve">. </w:t>
      </w:r>
      <w:hyperlink r:id="rId55" w:history="1">
        <w:r w:rsidRPr="00AA22F9">
          <w:rPr>
            <w:rStyle w:val="Hyperlink"/>
            <w:rFonts w:eastAsiaTheme="majorEastAsia"/>
          </w:rPr>
          <w:t>https://hbr.org/2020/01/competing-in-the-age-of-ai</w:t>
        </w:r>
      </w:hyperlink>
    </w:p>
    <w:p w14:paraId="0B6167DD" w14:textId="77777777" w:rsidR="001118A1" w:rsidRPr="00AA22F9" w:rsidRDefault="001118A1" w:rsidP="001118A1">
      <w:pPr>
        <w:pStyle w:val="NormalWeb"/>
        <w:spacing w:before="0" w:beforeAutospacing="0" w:after="0" w:afterAutospacing="0" w:line="480" w:lineRule="auto"/>
        <w:ind w:left="720" w:hanging="720"/>
        <w:contextualSpacing/>
      </w:pPr>
      <w:r w:rsidRPr="00AA22F9">
        <w:t xml:space="preserve">Javaid, M., Haleem, A., Singh, R.P. and Suman, R. (2023). Towards </w:t>
      </w:r>
      <w:proofErr w:type="spellStart"/>
      <w:r w:rsidRPr="00AA22F9">
        <w:t>insighting</w:t>
      </w:r>
      <w:proofErr w:type="spellEnd"/>
      <w:r w:rsidRPr="00AA22F9">
        <w:t xml:space="preserve"> Cybersecurity for Healthcare domains: A comprehensive review of recent practices and trends. </w:t>
      </w:r>
      <w:r w:rsidRPr="00AA22F9">
        <w:rPr>
          <w:i/>
          <w:iCs/>
        </w:rPr>
        <w:t>Cyber Security and Applications</w:t>
      </w:r>
      <w:r w:rsidRPr="00AA22F9">
        <w:t xml:space="preserve">, [online] 1(100016), p.100016. </w:t>
      </w:r>
      <w:proofErr w:type="spellStart"/>
      <w:r w:rsidRPr="00AA22F9">
        <w:t>doi</w:t>
      </w:r>
      <w:proofErr w:type="spellEnd"/>
      <w:r w:rsidRPr="00AA22F9">
        <w:t xml:space="preserve">: </w:t>
      </w:r>
      <w:hyperlink r:id="rId56" w:history="1">
        <w:r w:rsidRPr="00AA22F9">
          <w:rPr>
            <w:rStyle w:val="Hyperlink"/>
            <w:rFonts w:eastAsiaTheme="majorEastAsia"/>
          </w:rPr>
          <w:t>https://doi.org/10.1016/j.csa.2023.100016</w:t>
        </w:r>
      </w:hyperlink>
      <w:r w:rsidRPr="00AA22F9">
        <w:t>.</w:t>
      </w:r>
    </w:p>
    <w:p w14:paraId="32DA4441" w14:textId="77777777" w:rsidR="001118A1" w:rsidRPr="00AA22F9" w:rsidRDefault="001118A1" w:rsidP="001118A1">
      <w:pPr>
        <w:spacing w:after="0" w:line="480" w:lineRule="auto"/>
        <w:ind w:left="720" w:hanging="720"/>
        <w:contextualSpacing/>
        <w:rPr>
          <w:rFonts w:ascii="Times New Roman" w:hAnsi="Times New Roman" w:cs="Times New Roman"/>
        </w:rPr>
      </w:pPr>
      <w:r w:rsidRPr="00AA22F9">
        <w:rPr>
          <w:rFonts w:ascii="Times New Roman" w:hAnsi="Times New Roman" w:cs="Times New Roman"/>
        </w:rPr>
        <w:t xml:space="preserve">Junaid, S. B., Imam, A. A., Balogun, A. O., De Silva, L. C., </w:t>
      </w:r>
      <w:proofErr w:type="spellStart"/>
      <w:r w:rsidRPr="00AA22F9">
        <w:rPr>
          <w:rFonts w:ascii="Times New Roman" w:hAnsi="Times New Roman" w:cs="Times New Roman"/>
        </w:rPr>
        <w:t>Surakat</w:t>
      </w:r>
      <w:proofErr w:type="spellEnd"/>
      <w:r w:rsidRPr="00AA22F9">
        <w:rPr>
          <w:rFonts w:ascii="Times New Roman" w:hAnsi="Times New Roman" w:cs="Times New Roman"/>
        </w:rPr>
        <w:t xml:space="preserve">, Y. A., Kumar, G., Abdulkarim, M., Shuaibu, A. N., Garba, A., </w:t>
      </w:r>
      <w:proofErr w:type="spellStart"/>
      <w:r w:rsidRPr="00AA22F9">
        <w:rPr>
          <w:rFonts w:ascii="Times New Roman" w:hAnsi="Times New Roman" w:cs="Times New Roman"/>
        </w:rPr>
        <w:t>Sahalu</w:t>
      </w:r>
      <w:proofErr w:type="spellEnd"/>
      <w:r w:rsidRPr="00AA22F9">
        <w:rPr>
          <w:rFonts w:ascii="Times New Roman" w:hAnsi="Times New Roman" w:cs="Times New Roman"/>
        </w:rPr>
        <w:t>, Y., Mohammed, A., Mohammed, T. Y., Abdulkadir, B. A., Abba, A. A., Kakumi, N. A. I., &amp; Mahamad, S. (2022). Recent Advancements in Emerging Technologies for Healthcare Management Systems: A Survey. </w:t>
      </w:r>
      <w:r w:rsidRPr="00AA22F9">
        <w:rPr>
          <w:rFonts w:ascii="Times New Roman" w:hAnsi="Times New Roman" w:cs="Times New Roman"/>
          <w:i/>
          <w:iCs/>
        </w:rPr>
        <w:t>Healthcare</w:t>
      </w:r>
      <w:r w:rsidRPr="00AA22F9">
        <w:rPr>
          <w:rFonts w:ascii="Times New Roman" w:hAnsi="Times New Roman" w:cs="Times New Roman"/>
        </w:rPr>
        <w:t>, </w:t>
      </w:r>
      <w:r w:rsidRPr="00AA22F9">
        <w:rPr>
          <w:rFonts w:ascii="Times New Roman" w:hAnsi="Times New Roman" w:cs="Times New Roman"/>
          <w:i/>
          <w:iCs/>
        </w:rPr>
        <w:t>10</w:t>
      </w:r>
      <w:r w:rsidRPr="00AA22F9">
        <w:rPr>
          <w:rFonts w:ascii="Times New Roman" w:hAnsi="Times New Roman" w:cs="Times New Roman"/>
        </w:rPr>
        <w:t xml:space="preserve">(10), 1940. </w:t>
      </w:r>
      <w:hyperlink r:id="rId57" w:history="1">
        <w:r w:rsidRPr="00AA22F9">
          <w:rPr>
            <w:rStyle w:val="Hyperlink"/>
            <w:rFonts w:cs="Times New Roman"/>
          </w:rPr>
          <w:t>https://doi.org/10.3390/healthcare10101940</w:t>
        </w:r>
      </w:hyperlink>
    </w:p>
    <w:p w14:paraId="7A794993" w14:textId="77777777" w:rsidR="001118A1" w:rsidRPr="00AA22F9" w:rsidRDefault="001118A1" w:rsidP="001118A1">
      <w:pPr>
        <w:pStyle w:val="NormalWeb"/>
        <w:spacing w:before="0" w:beforeAutospacing="0" w:after="0" w:afterAutospacing="0" w:line="480" w:lineRule="auto"/>
        <w:ind w:left="720" w:hanging="720"/>
        <w:contextualSpacing/>
      </w:pPr>
      <w:r w:rsidRPr="00AA22F9">
        <w:lastRenderedPageBreak/>
        <w:t xml:space="preserve">Junaid, S.B., Imam, A.A., Balogun, A.O., De Silva, L.C., </w:t>
      </w:r>
      <w:proofErr w:type="spellStart"/>
      <w:r w:rsidRPr="00AA22F9">
        <w:t>Surakat</w:t>
      </w:r>
      <w:proofErr w:type="spellEnd"/>
      <w:r w:rsidRPr="00AA22F9">
        <w:t xml:space="preserve">, Y.A., Kumar, G., Abdulkarim, M., Shuaibu, A.N., Garba, A., </w:t>
      </w:r>
      <w:proofErr w:type="spellStart"/>
      <w:r w:rsidRPr="00AA22F9">
        <w:t>Sahalu</w:t>
      </w:r>
      <w:proofErr w:type="spellEnd"/>
      <w:r w:rsidRPr="00AA22F9">
        <w:t>, Y., Mohammed, A., Mohammed, T.Y., Abdulkadir, B.A., Abba, A.A., Kakumi, N.A.I. and Mahamad, S. (2022). Recent Advancements in Emerging Technologies for Healthcare Management Systems: A Survey. </w:t>
      </w:r>
      <w:r w:rsidRPr="00AA22F9">
        <w:rPr>
          <w:i/>
          <w:iCs/>
        </w:rPr>
        <w:t>Healthcare</w:t>
      </w:r>
      <w:r w:rsidRPr="00AA22F9">
        <w:t xml:space="preserve">, [online] 10(10), p.1940. </w:t>
      </w:r>
      <w:proofErr w:type="spellStart"/>
      <w:r w:rsidRPr="00AA22F9">
        <w:t>doi</w:t>
      </w:r>
      <w:proofErr w:type="spellEnd"/>
      <w:r w:rsidRPr="00AA22F9">
        <w:t xml:space="preserve">: </w:t>
      </w:r>
      <w:hyperlink r:id="rId58" w:history="1">
        <w:r w:rsidRPr="00AA22F9">
          <w:rPr>
            <w:rStyle w:val="Hyperlink"/>
            <w:rFonts w:eastAsiaTheme="majorEastAsia"/>
          </w:rPr>
          <w:t>https://doi.org/10.3390/healthcare10101940</w:t>
        </w:r>
      </w:hyperlink>
      <w:r w:rsidRPr="00AA22F9">
        <w:t>.</w:t>
      </w:r>
    </w:p>
    <w:p w14:paraId="1A08960C" w14:textId="77777777" w:rsidR="001118A1" w:rsidRPr="00AA22F9" w:rsidRDefault="001118A1" w:rsidP="001118A1">
      <w:pPr>
        <w:pStyle w:val="NormalWeb"/>
        <w:spacing w:before="0" w:beforeAutospacing="0" w:after="0" w:afterAutospacing="0" w:line="480" w:lineRule="auto"/>
        <w:ind w:left="720" w:hanging="720"/>
        <w:contextualSpacing/>
      </w:pPr>
      <w:r w:rsidRPr="00AA22F9">
        <w:t>Jung, C., Kearns, M., Roth, A., Stapleton, L. and Wu, Z. (2021). </w:t>
      </w:r>
      <w:r w:rsidRPr="00AA22F9">
        <w:rPr>
          <w:i/>
          <w:iCs/>
        </w:rPr>
        <w:t>An Algorithmic Framework for Fairness Elicitation - Conference Presentation - Faculty &amp; Research - Harvard Business School</w:t>
      </w:r>
      <w:r w:rsidRPr="00AA22F9">
        <w:t xml:space="preserve">. [online] Hbs.edu. Available at: </w:t>
      </w:r>
      <w:hyperlink r:id="rId59" w:history="1">
        <w:r w:rsidRPr="00AA22F9">
          <w:rPr>
            <w:rStyle w:val="Hyperlink"/>
            <w:rFonts w:eastAsiaTheme="majorEastAsia"/>
          </w:rPr>
          <w:t>https://www.hbs.edu/faculty/Pages/item.aspx?num=61195</w:t>
        </w:r>
      </w:hyperlink>
      <w:r w:rsidRPr="00AA22F9">
        <w:t>.</w:t>
      </w:r>
    </w:p>
    <w:p w14:paraId="567117C2" w14:textId="77777777" w:rsidR="001118A1" w:rsidRPr="00AA22F9" w:rsidRDefault="001118A1" w:rsidP="001118A1">
      <w:pPr>
        <w:pStyle w:val="NormalWeb"/>
        <w:spacing w:before="0" w:beforeAutospacing="0" w:after="0" w:afterAutospacing="0" w:line="480" w:lineRule="auto"/>
        <w:ind w:left="720" w:hanging="720"/>
        <w:contextualSpacing/>
      </w:pPr>
      <w:r w:rsidRPr="00AA22F9">
        <w:t>Kaplan, R 2023, ‘“Rather than Follow Change, Business Must Lead This Transformation”: Global Business’s Institutional Project to Privatize Global Environmental Governance, 1990–2010’, </w:t>
      </w:r>
      <w:r w:rsidRPr="00AA22F9">
        <w:rPr>
          <w:i/>
          <w:iCs/>
        </w:rPr>
        <w:t>Organization Studies</w:t>
      </w:r>
      <w:r w:rsidRPr="00AA22F9">
        <w:t xml:space="preserve">, p. 017084062311514 </w:t>
      </w:r>
      <w:hyperlink r:id="rId60" w:history="1">
        <w:r w:rsidRPr="00AA22F9">
          <w:rPr>
            <w:rStyle w:val="Hyperlink"/>
            <w:rFonts w:eastAsiaTheme="majorEastAsia"/>
          </w:rPr>
          <w:t>https://journals.sagepub.com/doi/full/10.1177/01708406231151498</w:t>
        </w:r>
      </w:hyperlink>
    </w:p>
    <w:p w14:paraId="4BA95FAB" w14:textId="77777777" w:rsidR="001118A1" w:rsidRPr="00AA22F9" w:rsidRDefault="001118A1" w:rsidP="001118A1">
      <w:pPr>
        <w:pStyle w:val="NormalWeb"/>
        <w:spacing w:before="0" w:beforeAutospacing="0" w:after="0" w:afterAutospacing="0" w:line="480" w:lineRule="auto"/>
        <w:ind w:left="720" w:hanging="720"/>
        <w:contextualSpacing/>
      </w:pPr>
      <w:r w:rsidRPr="00AA22F9">
        <w:t>Kesavan, P. and Dy, C.J. (2020). Impact of Health Care Reform on Technology and Innovation. </w:t>
      </w:r>
      <w:r w:rsidRPr="00AA22F9">
        <w:rPr>
          <w:i/>
          <w:iCs/>
        </w:rPr>
        <w:t>Hand Clinics</w:t>
      </w:r>
      <w:r w:rsidRPr="00AA22F9">
        <w:t xml:space="preserve">, [online] 36(2), pp.255–262. </w:t>
      </w:r>
      <w:proofErr w:type="spellStart"/>
      <w:r w:rsidRPr="00AA22F9">
        <w:t>doi</w:t>
      </w:r>
      <w:proofErr w:type="spellEnd"/>
      <w:r w:rsidRPr="00AA22F9">
        <w:t xml:space="preserve">: </w:t>
      </w:r>
      <w:hyperlink r:id="rId61" w:history="1">
        <w:r w:rsidRPr="00AA22F9">
          <w:rPr>
            <w:rStyle w:val="Hyperlink"/>
            <w:rFonts w:eastAsiaTheme="majorEastAsia"/>
          </w:rPr>
          <w:t>https://doi.org/10.1016/j.hcl.2020.01.008</w:t>
        </w:r>
      </w:hyperlink>
      <w:r w:rsidRPr="00AA22F9">
        <w:t>.</w:t>
      </w:r>
    </w:p>
    <w:p w14:paraId="3BC7F611" w14:textId="77777777" w:rsidR="001118A1" w:rsidRPr="00AA22F9" w:rsidRDefault="001118A1" w:rsidP="001118A1">
      <w:pPr>
        <w:pStyle w:val="NormalWeb"/>
        <w:spacing w:before="0" w:beforeAutospacing="0" w:after="0" w:afterAutospacing="0" w:line="480" w:lineRule="auto"/>
        <w:ind w:left="720" w:hanging="720"/>
        <w:contextualSpacing/>
      </w:pPr>
      <w:r w:rsidRPr="00AA22F9">
        <w:t>Khan, M.J., Lang, A.L., Olamide Timothy Tawose and Zhao, D. (2024). Model-Decoupled Federated Learning: Exploring Database Adaptability and Neural Architectural Dynamics in... </w:t>
      </w:r>
      <w:r w:rsidRPr="00AA22F9">
        <w:rPr>
          <w:i/>
          <w:iCs/>
        </w:rPr>
        <w:t>ResearchGate</w:t>
      </w:r>
      <w:r w:rsidRPr="00AA22F9">
        <w:t xml:space="preserve">. [online] </w:t>
      </w:r>
      <w:proofErr w:type="spellStart"/>
      <w:r w:rsidRPr="00AA22F9">
        <w:t>doi</w:t>
      </w:r>
      <w:proofErr w:type="spellEnd"/>
      <w:r w:rsidRPr="00AA22F9">
        <w:t xml:space="preserve">: </w:t>
      </w:r>
      <w:hyperlink r:id="rId62" w:history="1">
        <w:r w:rsidRPr="00AA22F9">
          <w:rPr>
            <w:rStyle w:val="Hyperlink"/>
            <w:rFonts w:eastAsiaTheme="majorEastAsia"/>
          </w:rPr>
          <w:t>https://doi.org/10.13140/RG.2.2.26105.68963</w:t>
        </w:r>
      </w:hyperlink>
      <w:r w:rsidRPr="00AA22F9">
        <w:t>.</w:t>
      </w:r>
    </w:p>
    <w:p w14:paraId="0137C6F1" w14:textId="77777777" w:rsidR="001118A1" w:rsidRPr="00AA22F9" w:rsidRDefault="001118A1" w:rsidP="001118A1">
      <w:pPr>
        <w:pStyle w:val="NormalWeb"/>
        <w:spacing w:before="0" w:beforeAutospacing="0" w:after="0" w:afterAutospacing="0" w:line="480" w:lineRule="auto"/>
        <w:ind w:left="720" w:hanging="720"/>
        <w:contextualSpacing/>
      </w:pPr>
      <w:r w:rsidRPr="00AA22F9">
        <w:t xml:space="preserve">Khoury, R., </w:t>
      </w:r>
      <w:proofErr w:type="spellStart"/>
      <w:r w:rsidRPr="00AA22F9">
        <w:t>Alshater</w:t>
      </w:r>
      <w:proofErr w:type="spellEnd"/>
      <w:r w:rsidRPr="00AA22F9">
        <w:t xml:space="preserve">, M. and Joshipura, M. (2024). </w:t>
      </w:r>
      <w:proofErr w:type="spellStart"/>
      <w:r w:rsidRPr="00AA22F9">
        <w:t>RegTech</w:t>
      </w:r>
      <w:proofErr w:type="spellEnd"/>
      <w:r w:rsidRPr="00AA22F9">
        <w:t xml:space="preserve"> advancements-a comprehensive review of its evolution, challenges, and implications for financial regulation and compliance | Emerald Insight. </w:t>
      </w:r>
      <w:r w:rsidRPr="00AA22F9">
        <w:rPr>
          <w:i/>
          <w:iCs/>
        </w:rPr>
        <w:t>Journal of Financial Reporting and Accounting</w:t>
      </w:r>
      <w:r w:rsidRPr="00AA22F9">
        <w:t xml:space="preserve">, [online] ahead-of-print(ahead-of-print), p.-. </w:t>
      </w:r>
      <w:proofErr w:type="spellStart"/>
      <w:r w:rsidRPr="00AA22F9">
        <w:t>doi</w:t>
      </w:r>
      <w:proofErr w:type="spellEnd"/>
      <w:r w:rsidRPr="00AA22F9">
        <w:t xml:space="preserve">: </w:t>
      </w:r>
      <w:hyperlink r:id="rId63" w:history="1">
        <w:r w:rsidRPr="00AA22F9">
          <w:rPr>
            <w:rStyle w:val="Hyperlink"/>
            <w:rFonts w:eastAsiaTheme="majorEastAsia"/>
          </w:rPr>
          <w:t>https://doi.org/10.1108//JFRA</w:t>
        </w:r>
      </w:hyperlink>
      <w:r w:rsidRPr="00AA22F9">
        <w:t>.</w:t>
      </w:r>
    </w:p>
    <w:p w14:paraId="53D7BA15" w14:textId="77777777" w:rsidR="001118A1" w:rsidRPr="00AA22F9" w:rsidRDefault="001118A1" w:rsidP="001118A1">
      <w:pPr>
        <w:pStyle w:val="NormalWeb"/>
        <w:spacing w:before="0" w:beforeAutospacing="0" w:after="0" w:afterAutospacing="0" w:line="480" w:lineRule="auto"/>
        <w:ind w:left="720" w:hanging="720"/>
        <w:contextualSpacing/>
      </w:pPr>
      <w:r w:rsidRPr="00AA22F9">
        <w:t>Kim, H.K. and Lee, C.W. (2021). Relationships among Healthcare Digitalization, Social Capital, and Supply Chain Performance in the Healthcare Manufacturing Industry. </w:t>
      </w:r>
      <w:r w:rsidRPr="00AA22F9">
        <w:rPr>
          <w:i/>
          <w:iCs/>
        </w:rPr>
        <w:t xml:space="preserve">International </w:t>
      </w:r>
      <w:r w:rsidRPr="00AA22F9">
        <w:rPr>
          <w:i/>
          <w:iCs/>
        </w:rPr>
        <w:lastRenderedPageBreak/>
        <w:t>Journal of Environmental Research and Public Health</w:t>
      </w:r>
      <w:r w:rsidRPr="00AA22F9">
        <w:t xml:space="preserve">, [online] 18(4), p.1417. </w:t>
      </w:r>
      <w:proofErr w:type="spellStart"/>
      <w:r w:rsidRPr="00AA22F9">
        <w:t>doi</w:t>
      </w:r>
      <w:proofErr w:type="spellEnd"/>
      <w:r w:rsidRPr="00AA22F9">
        <w:t xml:space="preserve">: </w:t>
      </w:r>
      <w:hyperlink r:id="rId64" w:history="1">
        <w:r w:rsidRPr="00AA22F9">
          <w:rPr>
            <w:rStyle w:val="Hyperlink"/>
            <w:rFonts w:eastAsiaTheme="majorEastAsia"/>
          </w:rPr>
          <w:t>https://doi.org/10.3390/ijerph18041417</w:t>
        </w:r>
      </w:hyperlink>
      <w:r w:rsidRPr="00AA22F9">
        <w:t>.</w:t>
      </w:r>
    </w:p>
    <w:p w14:paraId="160A89C1" w14:textId="77777777" w:rsidR="001118A1" w:rsidRPr="00AA22F9" w:rsidRDefault="001118A1" w:rsidP="001118A1">
      <w:pPr>
        <w:pStyle w:val="NormalWeb"/>
        <w:spacing w:before="0" w:beforeAutospacing="0" w:after="0" w:afterAutospacing="0" w:line="480" w:lineRule="auto"/>
        <w:ind w:left="720" w:hanging="720"/>
        <w:contextualSpacing/>
      </w:pPr>
      <w:r w:rsidRPr="00AA22F9">
        <w:t>Kishore Kumar Gangwani and Manjot Singh Bhatia (2024). The effect of market orientation and technology orientation on industry 4.0 technologies and market performance: Role of innovation capability. </w:t>
      </w:r>
      <w:r w:rsidRPr="00AA22F9">
        <w:rPr>
          <w:i/>
          <w:iCs/>
        </w:rPr>
        <w:t>Industrial marketing management</w:t>
      </w:r>
      <w:r w:rsidRPr="00AA22F9">
        <w:t xml:space="preserve">, 118, pp.231–241. </w:t>
      </w:r>
      <w:proofErr w:type="spellStart"/>
      <w:r w:rsidRPr="00AA22F9">
        <w:t>doi</w:t>
      </w:r>
      <w:proofErr w:type="spellEnd"/>
      <w:r w:rsidRPr="00AA22F9">
        <w:t xml:space="preserve">: </w:t>
      </w:r>
      <w:hyperlink r:id="rId65" w:history="1">
        <w:r w:rsidRPr="00AA22F9">
          <w:rPr>
            <w:rStyle w:val="Hyperlink"/>
            <w:rFonts w:eastAsiaTheme="majorEastAsia"/>
          </w:rPr>
          <w:t>https://doi.org/10.1016/j.indmarman.2024.03.004</w:t>
        </w:r>
      </w:hyperlink>
      <w:r w:rsidRPr="00AA22F9">
        <w:t>.</w:t>
      </w:r>
    </w:p>
    <w:p w14:paraId="2D53730D" w14:textId="77777777" w:rsidR="001118A1" w:rsidRPr="00AA22F9" w:rsidRDefault="001118A1" w:rsidP="001118A1">
      <w:pPr>
        <w:pStyle w:val="NormalWeb"/>
        <w:spacing w:before="0" w:beforeAutospacing="0" w:after="0" w:afterAutospacing="0" w:line="480" w:lineRule="auto"/>
        <w:ind w:left="720" w:hanging="720"/>
        <w:contextualSpacing/>
      </w:pPr>
      <w:r w:rsidRPr="00AA22F9">
        <w:t>Korea Development Institute, O. (2021). </w:t>
      </w:r>
      <w:r w:rsidRPr="00AA22F9">
        <w:rPr>
          <w:i/>
          <w:iCs/>
        </w:rPr>
        <w:t>Case Studies on the Regulatory Challenges Raised by Innovation and the Regulatory Responses</w:t>
      </w:r>
      <w:r w:rsidRPr="00AA22F9">
        <w:t xml:space="preserve">. [online] Google Books. Available at: </w:t>
      </w:r>
      <w:hyperlink r:id="rId66" w:anchor="v=onepage&amp;q&amp;f=false" w:history="1">
        <w:r w:rsidRPr="00AA22F9">
          <w:rPr>
            <w:rStyle w:val="Hyperlink"/>
            <w:rFonts w:eastAsiaTheme="majorEastAsia"/>
          </w:rPr>
          <w:t>https://books.google.ro/books?hl=en&amp;lr=&amp;id=XpJUEAAAQBAJ&amp;oi=fnd&amp;pg=PA3&amp;dq=Cross-sector+regulatory+learning+offers+a+compelling+avenue+for+accelerating+innovation+while+maintaining+sector-specific+safety+and+trust+thresholds&amp;ots=IBVULmIQX0&amp;sig=O3VY98rAjx0wDePSyGO61o6a4Fo&amp;redir_esc=y#v=onepage&amp;q&amp;f=false</w:t>
        </w:r>
      </w:hyperlink>
      <w:r w:rsidRPr="00AA22F9">
        <w:t>.</w:t>
      </w:r>
    </w:p>
    <w:p w14:paraId="75718D91" w14:textId="77777777" w:rsidR="001118A1" w:rsidRPr="00AA22F9" w:rsidRDefault="001118A1" w:rsidP="001118A1">
      <w:pPr>
        <w:pStyle w:val="NormalWeb"/>
        <w:spacing w:before="0" w:beforeAutospacing="0" w:after="0" w:afterAutospacing="0" w:line="480" w:lineRule="auto"/>
        <w:ind w:left="720" w:hanging="720"/>
        <w:contextualSpacing/>
      </w:pPr>
      <w:r w:rsidRPr="00AA22F9">
        <w:t>Kumar, D. and Sireesha Nanduri (2025). </w:t>
      </w:r>
      <w:r w:rsidRPr="00AA22F9">
        <w:rPr>
          <w:i/>
          <w:iCs/>
        </w:rPr>
        <w:t>The Rise of Embedded Finance: Transforming Consumer Experience and Business Models – A Conceptual Framework</w:t>
      </w:r>
      <w:r w:rsidRPr="00AA22F9">
        <w:t xml:space="preserve">. [online] ResearchGate. Available at: </w:t>
      </w:r>
      <w:hyperlink r:id="rId67" w:history="1">
        <w:r w:rsidRPr="00AA22F9">
          <w:rPr>
            <w:rStyle w:val="Hyperlink"/>
            <w:rFonts w:eastAsiaTheme="majorEastAsia"/>
          </w:rPr>
          <w:t>https://www.researchgate.net/publication/392316015_The_Rise_of_Embedded_Finance_Transforming_Consumer_Experience_and_Business_Models_-_A_Conceptual_Framework</w:t>
        </w:r>
      </w:hyperlink>
      <w:r w:rsidRPr="00AA22F9">
        <w:t>.</w:t>
      </w:r>
    </w:p>
    <w:p w14:paraId="2050D755" w14:textId="77777777" w:rsidR="001118A1" w:rsidRPr="00AA22F9" w:rsidRDefault="001118A1" w:rsidP="001118A1">
      <w:pPr>
        <w:pStyle w:val="NormalWeb"/>
        <w:spacing w:before="0" w:beforeAutospacing="0" w:after="0" w:afterAutospacing="0" w:line="480" w:lineRule="auto"/>
        <w:ind w:left="720" w:hanging="720"/>
        <w:contextualSpacing/>
      </w:pPr>
      <w:r w:rsidRPr="00AA22F9">
        <w:t>Kuwaiti, A.A., Nazer, K., Abdullah Al-Reedy, Shaher Al-Shehri, Afnan Al-Muhanna, Arun Vijay Subbarayalu, Dhoha Al Muhanna and Al-Muhanna, F.A. (2023). A Review of the Role of Artificial Intelligence in Healthcare. </w:t>
      </w:r>
      <w:r w:rsidRPr="00AA22F9">
        <w:rPr>
          <w:i/>
          <w:iCs/>
        </w:rPr>
        <w:t>Journal of Personalized Medicine</w:t>
      </w:r>
      <w:r w:rsidRPr="00AA22F9">
        <w:t xml:space="preserve">, [online] 13(6), pp.951–951. </w:t>
      </w:r>
      <w:proofErr w:type="spellStart"/>
      <w:r w:rsidRPr="00AA22F9">
        <w:t>doi</w:t>
      </w:r>
      <w:proofErr w:type="spellEnd"/>
      <w:r w:rsidRPr="00AA22F9">
        <w:t xml:space="preserve">: </w:t>
      </w:r>
      <w:hyperlink r:id="rId68" w:history="1">
        <w:r w:rsidRPr="00AA22F9">
          <w:rPr>
            <w:rStyle w:val="Hyperlink"/>
            <w:rFonts w:eastAsiaTheme="majorEastAsia"/>
          </w:rPr>
          <w:t>https://doi.org/10.3390/jpm13060951</w:t>
        </w:r>
      </w:hyperlink>
      <w:r w:rsidRPr="00AA22F9">
        <w:t>.</w:t>
      </w:r>
    </w:p>
    <w:p w14:paraId="5861A1D5" w14:textId="77777777" w:rsidR="001118A1" w:rsidRPr="00AA22F9" w:rsidRDefault="001118A1" w:rsidP="001118A1">
      <w:pPr>
        <w:pStyle w:val="NormalWeb"/>
        <w:spacing w:before="0" w:beforeAutospacing="0" w:after="0" w:afterAutospacing="0" w:line="480" w:lineRule="auto"/>
        <w:ind w:left="720" w:hanging="720"/>
        <w:contextualSpacing/>
      </w:pPr>
      <w:r w:rsidRPr="00AA22F9">
        <w:rPr>
          <w:lang w:val="de-DE"/>
        </w:rPr>
        <w:t xml:space="preserve">Laje, A. and Schmidt, K. (2024). </w:t>
      </w:r>
      <w:r w:rsidRPr="00AA22F9">
        <w:t>The Right to Data Portability as a Personal Right. </w:t>
      </w:r>
      <w:r w:rsidRPr="00AA22F9">
        <w:rPr>
          <w:i/>
          <w:iCs/>
        </w:rPr>
        <w:t>Laws</w:t>
      </w:r>
      <w:r w:rsidRPr="00AA22F9">
        <w:t xml:space="preserve">, [online] 13(4), p.47. </w:t>
      </w:r>
      <w:proofErr w:type="spellStart"/>
      <w:r w:rsidRPr="00AA22F9">
        <w:t>doi</w:t>
      </w:r>
      <w:proofErr w:type="spellEnd"/>
      <w:r w:rsidRPr="00AA22F9">
        <w:t xml:space="preserve">: </w:t>
      </w:r>
      <w:hyperlink r:id="rId69" w:history="1">
        <w:r w:rsidRPr="00AA22F9">
          <w:rPr>
            <w:rStyle w:val="Hyperlink"/>
            <w:rFonts w:eastAsiaTheme="majorEastAsia"/>
          </w:rPr>
          <w:t>https://doi.org/10.3390/laws13040047</w:t>
        </w:r>
      </w:hyperlink>
      <w:r w:rsidRPr="00AA22F9">
        <w:t>.</w:t>
      </w:r>
    </w:p>
    <w:p w14:paraId="348A4CEF" w14:textId="77777777" w:rsidR="001118A1" w:rsidRPr="00AA22F9" w:rsidRDefault="001118A1" w:rsidP="001118A1">
      <w:pPr>
        <w:pStyle w:val="NormalWeb"/>
        <w:spacing w:before="0" w:beforeAutospacing="0" w:after="0" w:afterAutospacing="0" w:line="480" w:lineRule="auto"/>
        <w:ind w:left="720" w:hanging="720"/>
        <w:contextualSpacing/>
      </w:pPr>
      <w:r w:rsidRPr="00AA22F9">
        <w:lastRenderedPageBreak/>
        <w:t xml:space="preserve">Laker, B., Weisz, N. and </w:t>
      </w:r>
      <w:proofErr w:type="spellStart"/>
      <w:r w:rsidRPr="00AA22F9">
        <w:t>Vassolo</w:t>
      </w:r>
      <w:proofErr w:type="spellEnd"/>
      <w:r w:rsidRPr="00AA22F9">
        <w:t>, R. (2024). Countercyclical approach to enhancing health and well-being in healthcare systems: strategies for economic resilience and sustainable care. </w:t>
      </w:r>
      <w:r w:rsidRPr="00AA22F9">
        <w:rPr>
          <w:i/>
          <w:iCs/>
        </w:rPr>
        <w:t>BMJ Leader</w:t>
      </w:r>
      <w:r w:rsidRPr="00AA22F9">
        <w:t xml:space="preserve">, [online] </w:t>
      </w:r>
      <w:proofErr w:type="gramStart"/>
      <w:r w:rsidRPr="00AA22F9">
        <w:t>p.leader</w:t>
      </w:r>
      <w:proofErr w:type="gramEnd"/>
      <w:r w:rsidRPr="00AA22F9">
        <w:t xml:space="preserve">-000873. </w:t>
      </w:r>
      <w:proofErr w:type="spellStart"/>
      <w:r w:rsidRPr="00AA22F9">
        <w:t>doi</w:t>
      </w:r>
      <w:proofErr w:type="spellEnd"/>
      <w:r w:rsidRPr="00AA22F9">
        <w:t xml:space="preserve">: </w:t>
      </w:r>
      <w:hyperlink r:id="rId70" w:history="1">
        <w:r w:rsidRPr="00AA22F9">
          <w:rPr>
            <w:rStyle w:val="Hyperlink"/>
            <w:rFonts w:eastAsiaTheme="majorEastAsia"/>
          </w:rPr>
          <w:t>https://doi.org/10.1136/leader-2023-000873</w:t>
        </w:r>
      </w:hyperlink>
      <w:r w:rsidRPr="00AA22F9">
        <w:t>.</w:t>
      </w:r>
    </w:p>
    <w:p w14:paraId="38B63D86" w14:textId="77777777" w:rsidR="001118A1" w:rsidRPr="00AA22F9" w:rsidRDefault="001118A1" w:rsidP="001118A1">
      <w:pPr>
        <w:pStyle w:val="NormalWeb"/>
        <w:spacing w:before="0" w:beforeAutospacing="0" w:after="0" w:afterAutospacing="0" w:line="480" w:lineRule="auto"/>
        <w:ind w:left="720" w:hanging="720"/>
        <w:contextualSpacing/>
      </w:pPr>
      <w:r w:rsidRPr="00AA22F9">
        <w:t>Lakhani, K. R., &amp; Panetta, J. A. (2007). The Principles of Distributed Innovation. </w:t>
      </w:r>
      <w:r w:rsidRPr="00AA22F9">
        <w:rPr>
          <w:i/>
          <w:iCs/>
        </w:rPr>
        <w:t>Innovations: Technology, Governance, Globalization</w:t>
      </w:r>
      <w:r w:rsidRPr="00AA22F9">
        <w:t xml:space="preserve">. </w:t>
      </w:r>
      <w:hyperlink r:id="rId71" w:history="1">
        <w:r w:rsidRPr="00AA22F9">
          <w:rPr>
            <w:rStyle w:val="Hyperlink"/>
            <w:rFonts w:eastAsiaTheme="majorEastAsia"/>
          </w:rPr>
          <w:t>https://hbr.org/2020/01/competing-in-the-age-of-ai</w:t>
        </w:r>
      </w:hyperlink>
    </w:p>
    <w:p w14:paraId="42630935" w14:textId="77777777" w:rsidR="001118A1" w:rsidRPr="00AA22F9" w:rsidRDefault="001118A1" w:rsidP="001118A1">
      <w:pPr>
        <w:pStyle w:val="NormalWeb"/>
        <w:spacing w:before="0" w:beforeAutospacing="0" w:after="0" w:afterAutospacing="0" w:line="480" w:lineRule="auto"/>
        <w:ind w:left="720" w:hanging="720"/>
        <w:contextualSpacing/>
      </w:pPr>
      <w:r w:rsidRPr="00AA22F9">
        <w:t>Leckenby, E., Dawoud, D., Bouvy, J. and Páll Jónsson (2021). The Sandbox Approach and its Potential for Use in Health Technology Assessment: A Literature Review. </w:t>
      </w:r>
      <w:r w:rsidRPr="00AA22F9">
        <w:rPr>
          <w:i/>
          <w:iCs/>
        </w:rPr>
        <w:t>Applied Health Economics and Health Policy</w:t>
      </w:r>
      <w:r w:rsidRPr="00AA22F9">
        <w:t xml:space="preserve">, [online] 19(6), pp.857–869. </w:t>
      </w:r>
      <w:proofErr w:type="spellStart"/>
      <w:r w:rsidRPr="00AA22F9">
        <w:t>doi</w:t>
      </w:r>
      <w:proofErr w:type="spellEnd"/>
      <w:r w:rsidRPr="00AA22F9">
        <w:t xml:space="preserve">: </w:t>
      </w:r>
      <w:hyperlink r:id="rId72" w:history="1">
        <w:r w:rsidRPr="00AA22F9">
          <w:rPr>
            <w:rStyle w:val="Hyperlink"/>
            <w:rFonts w:eastAsiaTheme="majorEastAsia"/>
          </w:rPr>
          <w:t>https://doi.org/10.1007/s40258-021-00665-1</w:t>
        </w:r>
      </w:hyperlink>
      <w:r w:rsidRPr="00AA22F9">
        <w:t>.</w:t>
      </w:r>
    </w:p>
    <w:p w14:paraId="6C6513B0" w14:textId="77777777" w:rsidR="001118A1" w:rsidRPr="00AA22F9" w:rsidRDefault="001118A1" w:rsidP="001118A1">
      <w:pPr>
        <w:pStyle w:val="NormalWeb"/>
        <w:spacing w:before="0" w:beforeAutospacing="0" w:after="0" w:afterAutospacing="0" w:line="480" w:lineRule="auto"/>
        <w:ind w:left="720" w:hanging="720"/>
        <w:contextualSpacing/>
      </w:pPr>
      <w:r w:rsidRPr="00AA22F9">
        <w:t>Li, J. (2023). Security Implications of AI Chatbots in Health Care. </w:t>
      </w:r>
      <w:r w:rsidRPr="00AA22F9">
        <w:rPr>
          <w:i/>
          <w:iCs/>
        </w:rPr>
        <w:t>Journal of Medical Internet Research</w:t>
      </w:r>
      <w:r w:rsidRPr="00AA22F9">
        <w:t xml:space="preserve">, [online] 25, </w:t>
      </w:r>
      <w:proofErr w:type="gramStart"/>
      <w:r w:rsidRPr="00AA22F9">
        <w:t>pp.e</w:t>
      </w:r>
      <w:proofErr w:type="gramEnd"/>
      <w:r w:rsidRPr="00AA22F9">
        <w:t xml:space="preserve">47551–e47551. </w:t>
      </w:r>
      <w:proofErr w:type="spellStart"/>
      <w:r w:rsidRPr="00AA22F9">
        <w:t>doi</w:t>
      </w:r>
      <w:proofErr w:type="spellEnd"/>
      <w:r w:rsidRPr="00AA22F9">
        <w:t xml:space="preserve">: </w:t>
      </w:r>
      <w:hyperlink r:id="rId73" w:history="1">
        <w:r w:rsidRPr="00AA22F9">
          <w:rPr>
            <w:rStyle w:val="Hyperlink"/>
            <w:rFonts w:eastAsiaTheme="majorEastAsia"/>
          </w:rPr>
          <w:t>https://doi.org/10.2196/47551</w:t>
        </w:r>
      </w:hyperlink>
      <w:r w:rsidRPr="00AA22F9">
        <w:t>.</w:t>
      </w:r>
    </w:p>
    <w:p w14:paraId="7CB1342E" w14:textId="77777777" w:rsidR="001118A1" w:rsidRPr="00AA22F9" w:rsidRDefault="001118A1" w:rsidP="001118A1">
      <w:pPr>
        <w:pStyle w:val="NormalWeb"/>
        <w:spacing w:after="0" w:line="480" w:lineRule="auto"/>
        <w:ind w:left="720" w:hanging="720"/>
        <w:contextualSpacing/>
      </w:pPr>
      <w:r w:rsidRPr="00AA22F9">
        <w:t>Lin, JC, Jain, B, Iyer, JM, Rola, I, Srinivasan, AR, Kang, C, Patel, H &amp; Parikh, RB 2025, ‘Benefit-Risk Reporting for FDA-Cleared Artificial Intelligence−Enabled Medical Devices’, </w:t>
      </w:r>
      <w:r w:rsidRPr="00AA22F9">
        <w:rPr>
          <w:i/>
          <w:iCs/>
        </w:rPr>
        <w:t>JAMA Health Forum</w:t>
      </w:r>
      <w:r w:rsidRPr="00AA22F9">
        <w:t xml:space="preserve">, vol. 6, American Medical Association, no. 9, pp. e253351–e253351, viewed 30 September 2025, </w:t>
      </w:r>
      <w:hyperlink r:id="rId74" w:history="1">
        <w:r w:rsidRPr="00AA22F9">
          <w:rPr>
            <w:rStyle w:val="Hyperlink"/>
            <w:rFonts w:eastAsiaTheme="majorEastAsia"/>
          </w:rPr>
          <w:t>https://pmc.ncbi.nlm.nih.gov/articles/PMC12475944/</w:t>
        </w:r>
      </w:hyperlink>
    </w:p>
    <w:p w14:paraId="352BC29F" w14:textId="77777777" w:rsidR="001118A1" w:rsidRPr="00AA22F9" w:rsidRDefault="001118A1" w:rsidP="001118A1">
      <w:pPr>
        <w:pStyle w:val="NormalWeb"/>
        <w:spacing w:before="0" w:beforeAutospacing="0" w:after="0" w:afterAutospacing="0" w:line="480" w:lineRule="auto"/>
        <w:ind w:left="720" w:hanging="720"/>
        <w:contextualSpacing/>
      </w:pPr>
      <w:r w:rsidRPr="00AA22F9">
        <w:t xml:space="preserve">Linton, W., </w:t>
      </w:r>
      <w:proofErr w:type="spellStart"/>
      <w:r w:rsidRPr="00AA22F9">
        <w:t>Ii</w:t>
      </w:r>
      <w:proofErr w:type="spellEnd"/>
      <w:r w:rsidRPr="00AA22F9">
        <w:t>, K. and Laskey (2023). </w:t>
      </w:r>
      <w:r w:rsidRPr="00AA22F9">
        <w:rPr>
          <w:i/>
          <w:iCs/>
        </w:rPr>
        <w:t>Recommendations with corresponding justifications to policy and regulatory decision-makers/institutions for cross-sector regulatory standards 1</w:t>
      </w:r>
      <w:r w:rsidRPr="00AA22F9">
        <w:t xml:space="preserve">. [online] Available at: </w:t>
      </w:r>
      <w:hyperlink r:id="rId75" w:history="1">
        <w:r w:rsidRPr="00AA22F9">
          <w:rPr>
            <w:rStyle w:val="Hyperlink"/>
            <w:rFonts w:eastAsiaTheme="majorEastAsia"/>
          </w:rPr>
          <w:t>https://c-rasc.gmu.edu/wp-content/uploads/2024/03/Recommendations-Paper-Final-230830c.pdf</w:t>
        </w:r>
      </w:hyperlink>
      <w:r w:rsidRPr="00AA22F9">
        <w:t>.</w:t>
      </w:r>
    </w:p>
    <w:p w14:paraId="6AD6159E" w14:textId="77777777" w:rsidR="001118A1" w:rsidRPr="00AA22F9" w:rsidRDefault="001118A1" w:rsidP="001118A1">
      <w:pPr>
        <w:pStyle w:val="NormalWeb"/>
        <w:spacing w:before="0" w:beforeAutospacing="0" w:after="0" w:afterAutospacing="0" w:line="480" w:lineRule="auto"/>
        <w:ind w:left="720" w:hanging="720"/>
        <w:contextualSpacing/>
      </w:pPr>
      <w:r w:rsidRPr="00AA22F9">
        <w:t xml:space="preserve">Lo, A. and </w:t>
      </w:r>
      <w:proofErr w:type="spellStart"/>
      <w:r w:rsidRPr="00AA22F9">
        <w:t>Chudhuri</w:t>
      </w:r>
      <w:proofErr w:type="spellEnd"/>
      <w:r w:rsidRPr="00AA22F9">
        <w:t>, S. (2022). </w:t>
      </w:r>
      <w:r w:rsidRPr="00AA22F9">
        <w:rPr>
          <w:i/>
          <w:iCs/>
        </w:rPr>
        <w:t>Healthcare Finance</w:t>
      </w:r>
      <w:r w:rsidRPr="00AA22F9">
        <w:t xml:space="preserve">. [online] Google Books. Available at: </w:t>
      </w:r>
      <w:hyperlink r:id="rId76" w:anchor="v=onepage&amp;q=Comparative%20Study%20of%20Innovation%20in%20Healthcare%20and%20Finance&amp;f=false" w:history="1">
        <w:r w:rsidRPr="00AA22F9">
          <w:rPr>
            <w:rStyle w:val="Hyperlink"/>
            <w:rFonts w:eastAsiaTheme="majorEastAsia"/>
          </w:rPr>
          <w:t>https://books.google.ro/books?hl=en&amp;lr=&amp;id=JdBbEAAAQBAJ&amp;oi=fnd&amp;pg=PP1&amp;dq=Comparative+Study+of+Innovation+in+Healthcare+and+Finance&amp;ots=uJFLtzT3nM&amp;sig=xutzEvQBZnNYQhzyVMoRuZE6XlQ&amp;redir_esc=y#v=onepage&amp;q=Comparative%20Study%20of%20Innovation%20in%20Healthcare%20and%20Finance&amp;f=false</w:t>
        </w:r>
      </w:hyperlink>
      <w:r w:rsidRPr="00AA22F9">
        <w:t>.</w:t>
      </w:r>
    </w:p>
    <w:p w14:paraId="32082FA8" w14:textId="77777777" w:rsidR="001118A1" w:rsidRPr="00AA22F9" w:rsidRDefault="001118A1" w:rsidP="001118A1">
      <w:pPr>
        <w:pStyle w:val="NormalWeb"/>
        <w:spacing w:before="0" w:beforeAutospacing="0" w:after="0" w:afterAutospacing="0" w:line="480" w:lineRule="auto"/>
        <w:ind w:left="720" w:hanging="720"/>
        <w:contextualSpacing/>
      </w:pPr>
      <w:r w:rsidRPr="00AA22F9">
        <w:lastRenderedPageBreak/>
        <w:t xml:space="preserve">Lottes, A.E., Cavanaugh, K.J., Chan, Y.Y.-F., Devlin, V.J., Goergen, C.J., Jean, R., </w:t>
      </w:r>
      <w:proofErr w:type="spellStart"/>
      <w:r w:rsidRPr="00AA22F9">
        <w:t>Linnes</w:t>
      </w:r>
      <w:proofErr w:type="spellEnd"/>
      <w:r w:rsidRPr="00AA22F9">
        <w:t>, J.C., Malone, M., Peat, R., Reuter, D.G., Taylor, K. and Wodicka, G.R. (2022). Navigating the Regulatory Pathway for Medical Devices—a Conversation with the FDA, Clinicians, Researchers, and Industry Experts. </w:t>
      </w:r>
      <w:r w:rsidRPr="00AA22F9">
        <w:rPr>
          <w:i/>
          <w:iCs/>
        </w:rPr>
        <w:t>Journal of Cardiovascular Translational Research</w:t>
      </w:r>
      <w:r w:rsidRPr="00AA22F9">
        <w:t xml:space="preserve">, [online] 15(5), pp.927–943. </w:t>
      </w:r>
      <w:proofErr w:type="spellStart"/>
      <w:r w:rsidRPr="00AA22F9">
        <w:t>doi</w:t>
      </w:r>
      <w:proofErr w:type="spellEnd"/>
      <w:r w:rsidRPr="00AA22F9">
        <w:t xml:space="preserve">: </w:t>
      </w:r>
      <w:hyperlink r:id="rId77" w:history="1">
        <w:r w:rsidRPr="00AA22F9">
          <w:rPr>
            <w:rStyle w:val="Hyperlink"/>
            <w:rFonts w:eastAsiaTheme="majorEastAsia"/>
          </w:rPr>
          <w:t>https://doi.org/10.1007/s12265-022-10232-1</w:t>
        </w:r>
      </w:hyperlink>
      <w:r w:rsidRPr="00AA22F9">
        <w:t>.</w:t>
      </w:r>
    </w:p>
    <w:p w14:paraId="7F19112D" w14:textId="77777777" w:rsidR="001118A1" w:rsidRPr="00AA22F9" w:rsidRDefault="001118A1" w:rsidP="001118A1">
      <w:pPr>
        <w:pStyle w:val="NormalWeb"/>
        <w:spacing w:before="0" w:beforeAutospacing="0" w:after="0" w:afterAutospacing="0" w:line="480" w:lineRule="auto"/>
        <w:ind w:left="720" w:hanging="720"/>
        <w:contextualSpacing/>
      </w:pPr>
      <w:r w:rsidRPr="00AA22F9">
        <w:t>Lu, Y. (2021). The Current Status and Developing Trends of Industry 4.0: a Review. </w:t>
      </w:r>
      <w:r w:rsidRPr="00AA22F9">
        <w:rPr>
          <w:i/>
          <w:iCs/>
        </w:rPr>
        <w:t>Information Systems Frontiers</w:t>
      </w:r>
      <w:r w:rsidRPr="00AA22F9">
        <w:t xml:space="preserve">, [online] 27(1), pp.215–234. </w:t>
      </w:r>
      <w:proofErr w:type="spellStart"/>
      <w:r w:rsidRPr="00AA22F9">
        <w:t>doi</w:t>
      </w:r>
      <w:proofErr w:type="spellEnd"/>
      <w:r w:rsidRPr="00AA22F9">
        <w:t xml:space="preserve">: </w:t>
      </w:r>
      <w:hyperlink r:id="rId78" w:history="1">
        <w:r w:rsidRPr="00AA22F9">
          <w:rPr>
            <w:rStyle w:val="Hyperlink"/>
            <w:rFonts w:eastAsiaTheme="majorEastAsia"/>
          </w:rPr>
          <w:t>https://doi.org/10.1007/s10796-021-10221-</w:t>
        </w:r>
      </w:hyperlink>
      <w:r w:rsidRPr="00AA22F9">
        <w:t>.</w:t>
      </w:r>
    </w:p>
    <w:p w14:paraId="7FB4E0AF" w14:textId="77777777" w:rsidR="001118A1" w:rsidRPr="00AA22F9" w:rsidRDefault="001118A1" w:rsidP="001118A1">
      <w:pPr>
        <w:pStyle w:val="NormalWeb"/>
        <w:spacing w:before="0" w:beforeAutospacing="0" w:after="0" w:afterAutospacing="0" w:line="480" w:lineRule="auto"/>
        <w:ind w:left="720" w:hanging="720"/>
        <w:contextualSpacing/>
      </w:pPr>
      <w:r w:rsidRPr="00AA22F9">
        <w:t>Malatji, M. and Tolah, A. (2024). Artificial intelligence (AI) cybersecurity dimensions: a comprehensive framework for understanding adversarial and offensive AI. </w:t>
      </w:r>
      <w:r w:rsidRPr="00AA22F9">
        <w:rPr>
          <w:i/>
          <w:iCs/>
        </w:rPr>
        <w:t>AI and Ethics</w:t>
      </w:r>
      <w:r w:rsidRPr="00AA22F9">
        <w:t xml:space="preserve">, [online] 5(2), pp.883–910. </w:t>
      </w:r>
      <w:proofErr w:type="spellStart"/>
      <w:r w:rsidRPr="00AA22F9">
        <w:t>doi</w:t>
      </w:r>
      <w:proofErr w:type="spellEnd"/>
      <w:r w:rsidRPr="00AA22F9">
        <w:t xml:space="preserve">: </w:t>
      </w:r>
      <w:hyperlink r:id="rId79" w:history="1">
        <w:r w:rsidRPr="00AA22F9">
          <w:rPr>
            <w:rStyle w:val="Hyperlink"/>
            <w:rFonts w:eastAsiaTheme="majorEastAsia"/>
          </w:rPr>
          <w:t>https://doi.org/10.1007/s43681-024-00427-4</w:t>
        </w:r>
      </w:hyperlink>
      <w:r w:rsidRPr="00AA22F9">
        <w:t>.</w:t>
      </w:r>
    </w:p>
    <w:p w14:paraId="591C84CC" w14:textId="77777777" w:rsidR="001118A1" w:rsidRPr="00AA22F9" w:rsidRDefault="001118A1" w:rsidP="001118A1">
      <w:pPr>
        <w:pStyle w:val="NormalWeb"/>
        <w:spacing w:before="0" w:beforeAutospacing="0" w:after="0" w:afterAutospacing="0" w:line="480" w:lineRule="auto"/>
        <w:ind w:left="720" w:hanging="720"/>
        <w:contextualSpacing/>
      </w:pPr>
      <w:r w:rsidRPr="00AA22F9">
        <w:t>Malerba, F., Mancusi, M.L. and Fabio Montobbio (2013). Innovation, international R&amp;D spillovers and the sectoral heterogeneity of knowledge flows. </w:t>
      </w:r>
      <w:r w:rsidRPr="00AA22F9">
        <w:rPr>
          <w:i/>
          <w:iCs/>
        </w:rPr>
        <w:t>Review of World Economics</w:t>
      </w:r>
      <w:r w:rsidRPr="00AA22F9">
        <w:t xml:space="preserve">, [online] 149(4), pp.697–722. </w:t>
      </w:r>
      <w:proofErr w:type="spellStart"/>
      <w:r w:rsidRPr="00AA22F9">
        <w:t>doi</w:t>
      </w:r>
      <w:proofErr w:type="spellEnd"/>
      <w:r w:rsidRPr="00AA22F9">
        <w:t xml:space="preserve">: </w:t>
      </w:r>
      <w:hyperlink r:id="rId80" w:history="1">
        <w:r w:rsidRPr="00AA22F9">
          <w:rPr>
            <w:rStyle w:val="Hyperlink"/>
            <w:rFonts w:eastAsiaTheme="majorEastAsia"/>
          </w:rPr>
          <w:t>https://doi.org/10.1007/s10290-013-0167-0</w:t>
        </w:r>
      </w:hyperlink>
      <w:r w:rsidRPr="00AA22F9">
        <w:t>.</w:t>
      </w:r>
    </w:p>
    <w:p w14:paraId="361F5D40" w14:textId="77777777" w:rsidR="001118A1" w:rsidRPr="00AA22F9" w:rsidRDefault="001118A1" w:rsidP="001118A1">
      <w:pPr>
        <w:pStyle w:val="NormalWeb"/>
        <w:spacing w:before="0" w:beforeAutospacing="0" w:after="0" w:afterAutospacing="0" w:line="480" w:lineRule="auto"/>
        <w:ind w:left="720" w:hanging="720"/>
        <w:contextualSpacing/>
      </w:pPr>
      <w:proofErr w:type="spellStart"/>
      <w:r w:rsidRPr="00AA22F9">
        <w:t>Maresova</w:t>
      </w:r>
      <w:proofErr w:type="spellEnd"/>
      <w:r w:rsidRPr="00AA22F9">
        <w:t>, P. (2022). Impact of Regulatory Changes on Innovations in the Medical Device Industry Comment on ‘Clinical Decision Support and New Regulatory Frameworks for Medical Devices: Are We Ready for It? - A Viewpoint Paper’. </w:t>
      </w:r>
      <w:r w:rsidRPr="00AA22F9">
        <w:rPr>
          <w:i/>
          <w:iCs/>
        </w:rPr>
        <w:t>International Journal of Health Policy and Management</w:t>
      </w:r>
      <w:r w:rsidRPr="00AA22F9">
        <w:t xml:space="preserve">. [online] </w:t>
      </w:r>
      <w:proofErr w:type="spellStart"/>
      <w:r w:rsidRPr="00AA22F9">
        <w:t>doi</w:t>
      </w:r>
      <w:proofErr w:type="spellEnd"/>
      <w:r w:rsidRPr="00AA22F9">
        <w:t xml:space="preserve">: </w:t>
      </w:r>
      <w:hyperlink r:id="rId81" w:history="1">
        <w:r w:rsidRPr="00AA22F9">
          <w:rPr>
            <w:rStyle w:val="Hyperlink"/>
            <w:rFonts w:eastAsiaTheme="majorEastAsia"/>
          </w:rPr>
          <w:t>https://doi.org/10.34172/ijhpm.2022.7262</w:t>
        </w:r>
      </w:hyperlink>
      <w:r w:rsidRPr="00AA22F9">
        <w:t>.</w:t>
      </w:r>
    </w:p>
    <w:p w14:paraId="6C49439A" w14:textId="77777777" w:rsidR="001118A1" w:rsidRPr="00AA22F9" w:rsidRDefault="001118A1" w:rsidP="001118A1">
      <w:pPr>
        <w:pStyle w:val="NormalWeb"/>
        <w:spacing w:before="0" w:beforeAutospacing="0" w:after="0" w:afterAutospacing="0" w:line="480" w:lineRule="auto"/>
        <w:ind w:left="720" w:hanging="720"/>
        <w:contextualSpacing/>
      </w:pPr>
      <w:r w:rsidRPr="00AA22F9">
        <w:t xml:space="preserve">Marín-González, F., </w:t>
      </w:r>
      <w:proofErr w:type="spellStart"/>
      <w:r w:rsidRPr="00AA22F9">
        <w:t>Moganadas</w:t>
      </w:r>
      <w:proofErr w:type="spellEnd"/>
      <w:r w:rsidRPr="00AA22F9">
        <w:t>, S.R., Paredes-</w:t>
      </w:r>
      <w:proofErr w:type="spellStart"/>
      <w:r w:rsidRPr="00AA22F9">
        <w:t>Chacín</w:t>
      </w:r>
      <w:proofErr w:type="spellEnd"/>
      <w:r w:rsidRPr="00AA22F9">
        <w:t>, A.J., Yeo, S.F. and Subramaniam, S. (2022). Sustainable Local Development: Consolidated Framework for Cross-Sectoral Cooperation via a Systematic Approach. </w:t>
      </w:r>
      <w:r w:rsidRPr="00AA22F9">
        <w:rPr>
          <w:i/>
          <w:iCs/>
        </w:rPr>
        <w:t>Sustainability</w:t>
      </w:r>
      <w:r w:rsidRPr="00AA22F9">
        <w:t xml:space="preserve">, [online] 14(11), p.6601. </w:t>
      </w:r>
      <w:proofErr w:type="spellStart"/>
      <w:r w:rsidRPr="00AA22F9">
        <w:t>doi</w:t>
      </w:r>
      <w:proofErr w:type="spellEnd"/>
      <w:r w:rsidRPr="00AA22F9">
        <w:t xml:space="preserve">: </w:t>
      </w:r>
      <w:hyperlink r:id="rId82" w:history="1">
        <w:r w:rsidRPr="00AA22F9">
          <w:rPr>
            <w:rStyle w:val="Hyperlink"/>
            <w:rFonts w:eastAsiaTheme="majorEastAsia"/>
          </w:rPr>
          <w:t>https://doi.org/10.3390/su14116601</w:t>
        </w:r>
      </w:hyperlink>
      <w:r w:rsidRPr="00AA22F9">
        <w:t>.</w:t>
      </w:r>
    </w:p>
    <w:p w14:paraId="51B3659A" w14:textId="77777777" w:rsidR="001118A1" w:rsidRPr="00AA22F9" w:rsidRDefault="001118A1" w:rsidP="001118A1">
      <w:pPr>
        <w:pStyle w:val="NormalWeb"/>
        <w:spacing w:before="0" w:beforeAutospacing="0" w:after="0" w:afterAutospacing="0" w:line="480" w:lineRule="auto"/>
        <w:ind w:left="720" w:hanging="720"/>
        <w:contextualSpacing/>
      </w:pPr>
      <w:r w:rsidRPr="00AA22F9">
        <w:t xml:space="preserve">Martin, BR &amp; </w:t>
      </w:r>
      <w:proofErr w:type="spellStart"/>
      <w:r w:rsidRPr="00AA22F9">
        <w:t>Steinmueller</w:t>
      </w:r>
      <w:proofErr w:type="spellEnd"/>
      <w:r w:rsidRPr="00AA22F9">
        <w:t>, WE 2025, ‘Richard R Nelson (1930–2025): Evolutionary economist and innovation scholar’, </w:t>
      </w:r>
      <w:r w:rsidRPr="00AA22F9">
        <w:rPr>
          <w:i/>
          <w:iCs/>
        </w:rPr>
        <w:t>Research Policy</w:t>
      </w:r>
      <w:r w:rsidRPr="00AA22F9">
        <w:t xml:space="preserve">, vol. 54, no. 4, p. 105211. </w:t>
      </w:r>
      <w:hyperlink r:id="rId83" w:history="1">
        <w:r w:rsidRPr="00AA22F9">
          <w:rPr>
            <w:rStyle w:val="Hyperlink"/>
            <w:rFonts w:eastAsiaTheme="majorEastAsia"/>
          </w:rPr>
          <w:t>https://www.sciencedirect.com/science/article/pii/S004873332500040X</w:t>
        </w:r>
      </w:hyperlink>
    </w:p>
    <w:p w14:paraId="6A4DAC1F" w14:textId="77777777" w:rsidR="001118A1" w:rsidRPr="00AA22F9" w:rsidRDefault="001118A1" w:rsidP="001118A1">
      <w:pPr>
        <w:pStyle w:val="NormalWeb"/>
        <w:spacing w:before="0" w:beforeAutospacing="0" w:after="0" w:afterAutospacing="0" w:line="480" w:lineRule="auto"/>
        <w:ind w:left="720" w:hanging="720"/>
        <w:contextualSpacing/>
      </w:pPr>
      <w:r w:rsidRPr="00AA22F9">
        <w:lastRenderedPageBreak/>
        <w:t xml:space="preserve">Mathews, D., Abernethy, A.P., Butte, A.J., Ginsburg, P.Β., Kocher, B., Novelli, C., Sandy, L.G., Smee, J., Fabi, R., </w:t>
      </w:r>
      <w:proofErr w:type="spellStart"/>
      <w:r w:rsidRPr="00AA22F9">
        <w:t>Offodile</w:t>
      </w:r>
      <w:proofErr w:type="spellEnd"/>
      <w:r w:rsidRPr="00AA22F9">
        <w:t xml:space="preserve">, A.C., </w:t>
      </w:r>
      <w:proofErr w:type="spellStart"/>
      <w:r w:rsidRPr="00AA22F9">
        <w:t>Sherkow</w:t>
      </w:r>
      <w:proofErr w:type="spellEnd"/>
      <w:r w:rsidRPr="00AA22F9">
        <w:t>, J.S., Sullenger, R.D., Freiling, E. and Balatbat, C. (2023). Telehealth and Mobile Health: Case Study for Understanding and Anticipating Emerging Science and Technology. </w:t>
      </w:r>
      <w:r w:rsidRPr="00AA22F9">
        <w:rPr>
          <w:i/>
          <w:iCs/>
        </w:rPr>
        <w:t>NAM perspectives</w:t>
      </w:r>
      <w:r w:rsidRPr="00AA22F9">
        <w:t xml:space="preserve">, [online] 11(15). </w:t>
      </w:r>
      <w:proofErr w:type="spellStart"/>
      <w:r w:rsidRPr="00AA22F9">
        <w:t>doi</w:t>
      </w:r>
      <w:proofErr w:type="spellEnd"/>
      <w:r w:rsidRPr="00AA22F9">
        <w:t xml:space="preserve">: </w:t>
      </w:r>
      <w:hyperlink r:id="rId84" w:history="1">
        <w:r w:rsidRPr="00AA22F9">
          <w:rPr>
            <w:rStyle w:val="Hyperlink"/>
            <w:rFonts w:eastAsiaTheme="majorEastAsia"/>
          </w:rPr>
          <w:t>https://doi.org/10.31478/202311e</w:t>
        </w:r>
      </w:hyperlink>
      <w:r w:rsidRPr="00AA22F9">
        <w:t>.</w:t>
      </w:r>
    </w:p>
    <w:p w14:paraId="40D0FFAC" w14:textId="77777777" w:rsidR="001118A1" w:rsidRPr="00AA22F9" w:rsidRDefault="001118A1" w:rsidP="001118A1">
      <w:pPr>
        <w:pStyle w:val="NormalWeb"/>
        <w:spacing w:before="0" w:beforeAutospacing="0" w:after="0" w:afterAutospacing="0" w:line="480" w:lineRule="auto"/>
        <w:ind w:left="720" w:hanging="720"/>
        <w:contextualSpacing/>
      </w:pPr>
      <w:r w:rsidRPr="00AA22F9">
        <w:t xml:space="preserve">Matti Haverila, </w:t>
      </w:r>
      <w:proofErr w:type="spellStart"/>
      <w:r w:rsidRPr="00AA22F9">
        <w:t>Twyford</w:t>
      </w:r>
      <w:proofErr w:type="spellEnd"/>
      <w:r w:rsidRPr="00AA22F9">
        <w:t>, J.C. and Hadi Zarea (2025). Analyzing the Interaction of Industry 4.0 and Sustainable Global Marketing Channel Development with Necessary Condition Analysis: The Role of Inter-Organizational Trust. </w:t>
      </w:r>
      <w:r w:rsidRPr="00AA22F9">
        <w:rPr>
          <w:i/>
          <w:iCs/>
        </w:rPr>
        <w:t>Sustainability</w:t>
      </w:r>
      <w:r w:rsidRPr="00AA22F9">
        <w:t xml:space="preserve">, [online] 17(6), pp.2489–2489. </w:t>
      </w:r>
      <w:proofErr w:type="spellStart"/>
      <w:r w:rsidRPr="00AA22F9">
        <w:t>doi</w:t>
      </w:r>
      <w:proofErr w:type="spellEnd"/>
      <w:r w:rsidRPr="00AA22F9">
        <w:t xml:space="preserve">: </w:t>
      </w:r>
      <w:hyperlink r:id="rId85" w:history="1">
        <w:r w:rsidRPr="00AA22F9">
          <w:rPr>
            <w:rStyle w:val="Hyperlink"/>
            <w:rFonts w:eastAsiaTheme="majorEastAsia"/>
          </w:rPr>
          <w:t>https://doi.org/10.3390/su17062489</w:t>
        </w:r>
      </w:hyperlink>
      <w:r w:rsidRPr="00AA22F9">
        <w:t>.</w:t>
      </w:r>
    </w:p>
    <w:p w14:paraId="2CED3E3B" w14:textId="77777777" w:rsidR="001118A1" w:rsidRPr="00AA22F9" w:rsidRDefault="001118A1" w:rsidP="001118A1">
      <w:pPr>
        <w:pStyle w:val="NormalWeb"/>
        <w:spacing w:before="0" w:beforeAutospacing="0" w:after="0" w:afterAutospacing="0" w:line="480" w:lineRule="auto"/>
        <w:ind w:left="720" w:hanging="720"/>
        <w:contextualSpacing/>
      </w:pPr>
      <w:r w:rsidRPr="00AA22F9">
        <w:t xml:space="preserve">Mauro, M., Noto, G., </w:t>
      </w:r>
      <w:proofErr w:type="spellStart"/>
      <w:r w:rsidRPr="00AA22F9">
        <w:t>Prenestini</w:t>
      </w:r>
      <w:proofErr w:type="spellEnd"/>
      <w:r w:rsidRPr="00AA22F9">
        <w:t>, A. and Sarto, F. (2024). Digital transformation in healthcare: Assessing the role of digital technologies for managerial support processes. </w:t>
      </w:r>
      <w:r w:rsidRPr="00AA22F9">
        <w:rPr>
          <w:i/>
          <w:iCs/>
        </w:rPr>
        <w:t>Technological Forecasting and Social Change</w:t>
      </w:r>
      <w:r w:rsidRPr="00AA22F9">
        <w:t xml:space="preserve">, 209(123781), p.123781. </w:t>
      </w:r>
      <w:proofErr w:type="spellStart"/>
      <w:r w:rsidRPr="00AA22F9">
        <w:t>doi</w:t>
      </w:r>
      <w:proofErr w:type="spellEnd"/>
      <w:r w:rsidRPr="00AA22F9">
        <w:t xml:space="preserve">: </w:t>
      </w:r>
      <w:hyperlink r:id="rId86" w:history="1">
        <w:r w:rsidRPr="00AA22F9">
          <w:rPr>
            <w:rStyle w:val="Hyperlink"/>
            <w:rFonts w:eastAsiaTheme="majorEastAsia"/>
          </w:rPr>
          <w:t>https://doi.org/10.1016/j.techfore.2024.123781</w:t>
        </w:r>
      </w:hyperlink>
      <w:r w:rsidRPr="00AA22F9">
        <w:t>.</w:t>
      </w:r>
    </w:p>
    <w:p w14:paraId="2479219F" w14:textId="77777777" w:rsidR="001118A1" w:rsidRPr="00AA22F9" w:rsidRDefault="001118A1" w:rsidP="001118A1">
      <w:pPr>
        <w:pStyle w:val="NormalWeb"/>
        <w:spacing w:before="0" w:beforeAutospacing="0" w:after="0" w:afterAutospacing="0" w:line="480" w:lineRule="auto"/>
        <w:ind w:left="720" w:hanging="720"/>
        <w:contextualSpacing/>
        <w:rPr>
          <w:bCs/>
        </w:rPr>
      </w:pPr>
      <w:r w:rsidRPr="00AA22F9">
        <w:rPr>
          <w:bCs/>
        </w:rPr>
        <w:t>McKinsey &amp; Company 2024, </w:t>
      </w:r>
      <w:r w:rsidRPr="00AA22F9">
        <w:rPr>
          <w:bCs/>
          <w:i/>
          <w:iCs/>
        </w:rPr>
        <w:t>Leadership Innovation Exchange -LINE 2. How to bridge the experience gap by supporting nurses of all tenures 3. Revitalizing organizational health in the care delivery sector 4. The pulse of nurses’ perspectives on AI in healthcare delivery</w:t>
      </w:r>
      <w:r w:rsidRPr="00AA22F9">
        <w:rPr>
          <w:bCs/>
        </w:rPr>
        <w:t>.</w:t>
      </w:r>
      <w:r w:rsidRPr="00AA22F9">
        <w:t xml:space="preserve"> </w:t>
      </w:r>
      <w:hyperlink r:id="rId87" w:history="1">
        <w:r w:rsidRPr="00AA22F9">
          <w:rPr>
            <w:rStyle w:val="Hyperlink"/>
            <w:rFonts w:eastAsiaTheme="majorEastAsia"/>
            <w:bCs/>
          </w:rPr>
          <w:t>https://line.laudio.com/hubfs/7157272/G.%20Berlin%2C%20McKinsey-%20State%20of%20Healthcare%202024.pdf</w:t>
        </w:r>
      </w:hyperlink>
    </w:p>
    <w:p w14:paraId="560B8F7A" w14:textId="77777777" w:rsidR="001118A1" w:rsidRPr="00AA22F9" w:rsidRDefault="001118A1" w:rsidP="001118A1">
      <w:pPr>
        <w:pStyle w:val="NormalWeb"/>
        <w:spacing w:before="0" w:beforeAutospacing="0" w:after="0" w:afterAutospacing="0" w:line="480" w:lineRule="auto"/>
        <w:ind w:left="720" w:hanging="720"/>
        <w:contextualSpacing/>
      </w:pPr>
      <w:proofErr w:type="spellStart"/>
      <w:r w:rsidRPr="00AA22F9">
        <w:t>Mesri</w:t>
      </w:r>
      <w:proofErr w:type="spellEnd"/>
      <w:r w:rsidRPr="00AA22F9">
        <w:t xml:space="preserve"> </w:t>
      </w:r>
      <w:proofErr w:type="spellStart"/>
      <w:r w:rsidRPr="00AA22F9">
        <w:t>Welhelmina</w:t>
      </w:r>
      <w:proofErr w:type="spellEnd"/>
      <w:r w:rsidRPr="00AA22F9">
        <w:t xml:space="preserve"> </w:t>
      </w:r>
      <w:proofErr w:type="spellStart"/>
      <w:r w:rsidRPr="00AA22F9">
        <w:t>Nisriani</w:t>
      </w:r>
      <w:proofErr w:type="spellEnd"/>
      <w:r w:rsidRPr="00AA22F9">
        <w:t xml:space="preserve"> Manafe, </w:t>
      </w:r>
      <w:proofErr w:type="spellStart"/>
      <w:r w:rsidRPr="00AA22F9">
        <w:t>Rizani</w:t>
      </w:r>
      <w:proofErr w:type="spellEnd"/>
      <w:r w:rsidRPr="00AA22F9">
        <w:t xml:space="preserve">, A., </w:t>
      </w:r>
      <w:proofErr w:type="spellStart"/>
      <w:r w:rsidRPr="00AA22F9">
        <w:t>Purnawati</w:t>
      </w:r>
      <w:proofErr w:type="spellEnd"/>
      <w:r w:rsidRPr="00AA22F9">
        <w:t xml:space="preserve">, E. and Iwan </w:t>
      </w:r>
      <w:proofErr w:type="spellStart"/>
      <w:r w:rsidRPr="00AA22F9">
        <w:t>Harsono</w:t>
      </w:r>
      <w:proofErr w:type="spellEnd"/>
      <w:r w:rsidRPr="00AA22F9">
        <w:t xml:space="preserve"> (2024). Analysis of the Influence of Technical Expertise, Market Orientation, Social Capital, and Innovation on the Performance of Micro and Small Businesses in the Technology Sector. </w:t>
      </w:r>
      <w:r w:rsidRPr="00AA22F9">
        <w:rPr>
          <w:i/>
          <w:iCs/>
        </w:rPr>
        <w:t>International Journal of Business Law and Education</w:t>
      </w:r>
      <w:r w:rsidRPr="00AA22F9">
        <w:t xml:space="preserve">, [online] 5(1), pp.983–995. </w:t>
      </w:r>
      <w:proofErr w:type="spellStart"/>
      <w:r w:rsidRPr="00AA22F9">
        <w:t>doi</w:t>
      </w:r>
      <w:proofErr w:type="spellEnd"/>
      <w:r w:rsidRPr="00AA22F9">
        <w:t xml:space="preserve">: </w:t>
      </w:r>
      <w:hyperlink r:id="rId88" w:history="1">
        <w:r w:rsidRPr="00AA22F9">
          <w:rPr>
            <w:rStyle w:val="Hyperlink"/>
            <w:rFonts w:eastAsiaTheme="majorEastAsia"/>
          </w:rPr>
          <w:t>https://doi.org/10.56442/ijble.v5i1.493</w:t>
        </w:r>
      </w:hyperlink>
      <w:r w:rsidRPr="00AA22F9">
        <w:t>.</w:t>
      </w:r>
    </w:p>
    <w:p w14:paraId="148C1670" w14:textId="77777777" w:rsidR="001118A1" w:rsidRPr="00AA22F9" w:rsidRDefault="001118A1" w:rsidP="001118A1">
      <w:pPr>
        <w:pStyle w:val="NormalWeb"/>
        <w:spacing w:before="0" w:beforeAutospacing="0" w:after="0" w:afterAutospacing="0" w:line="480" w:lineRule="auto"/>
        <w:ind w:left="720" w:hanging="720"/>
        <w:contextualSpacing/>
      </w:pPr>
      <w:r w:rsidRPr="00AA22F9">
        <w:t>Mhlanga, D. (2024). </w:t>
      </w:r>
      <w:r w:rsidRPr="00AA22F9">
        <w:rPr>
          <w:i/>
          <w:iCs/>
        </w:rPr>
        <w:t>FinTech, Financial Inclusion, and Sustainable Development</w:t>
      </w:r>
      <w:r w:rsidRPr="00AA22F9">
        <w:t xml:space="preserve">. [online] Google Books. Available at: </w:t>
      </w:r>
      <w:hyperlink r:id="rId89" w:anchor="v=onepage&amp;q&amp;f=false" w:history="1">
        <w:r w:rsidRPr="00AA22F9">
          <w:rPr>
            <w:rStyle w:val="Hyperlink"/>
            <w:rFonts w:eastAsiaTheme="majorEastAsia"/>
          </w:rPr>
          <w:t>https://books.google.ro/books?hl=en&amp;lr=&amp;id=wIsXEQAAQBAJ&amp;oi=fnd&amp;pg=PT9&amp;dq=Th</w:t>
        </w:r>
        <w:r w:rsidRPr="00AA22F9">
          <w:rPr>
            <w:rStyle w:val="Hyperlink"/>
            <w:rFonts w:eastAsiaTheme="majorEastAsia"/>
          </w:rPr>
          <w:lastRenderedPageBreak/>
          <w:t>e+future+of+innovation+in+healthcare+and+finance+hinges+on+reconciling+speed+with+safety,+automation+with+ethics,+and+disruption+with+sustainability&amp;ots=G9JHe_-GMs&amp;sig=-TbI8iKiVGKjF77drASY6BBhMbM&amp;redir_esc=y#v=onepage&amp;q&amp;f=false</w:t>
        </w:r>
      </w:hyperlink>
      <w:r w:rsidRPr="00AA22F9">
        <w:t>.</w:t>
      </w:r>
    </w:p>
    <w:p w14:paraId="5D45755E" w14:textId="77777777" w:rsidR="001118A1" w:rsidRPr="00AA22F9" w:rsidRDefault="001118A1" w:rsidP="001118A1">
      <w:pPr>
        <w:pStyle w:val="NormalWeb"/>
        <w:spacing w:before="0" w:beforeAutospacing="0" w:after="0" w:afterAutospacing="0" w:line="480" w:lineRule="auto"/>
        <w:ind w:left="720" w:hanging="720"/>
        <w:contextualSpacing/>
      </w:pPr>
      <w:r w:rsidRPr="00AA22F9">
        <w:t>Mun, J., Yun, E., Choi, H. and Kim, J. (2022). Comparative Study in Software and Healthcare Industries between South Korea and US Based on Economic Input–Output Analysis. </w:t>
      </w:r>
      <w:r w:rsidRPr="00AA22F9">
        <w:rPr>
          <w:i/>
          <w:iCs/>
        </w:rPr>
        <w:t>Atmosphere</w:t>
      </w:r>
      <w:r w:rsidRPr="00AA22F9">
        <w:t xml:space="preserve">, [online] 13(2), pp.209–209. </w:t>
      </w:r>
      <w:proofErr w:type="spellStart"/>
      <w:r w:rsidRPr="00AA22F9">
        <w:t>doi</w:t>
      </w:r>
      <w:proofErr w:type="spellEnd"/>
      <w:r w:rsidRPr="00AA22F9">
        <w:t xml:space="preserve">: </w:t>
      </w:r>
      <w:hyperlink r:id="rId90" w:history="1">
        <w:r w:rsidRPr="00AA22F9">
          <w:rPr>
            <w:rStyle w:val="Hyperlink"/>
            <w:rFonts w:eastAsiaTheme="majorEastAsia"/>
          </w:rPr>
          <w:t>https://doi.org/10.3390/atmos13020209</w:t>
        </w:r>
      </w:hyperlink>
      <w:r w:rsidRPr="00AA22F9">
        <w:t>.</w:t>
      </w:r>
    </w:p>
    <w:p w14:paraId="4CB47735" w14:textId="77777777" w:rsidR="001118A1" w:rsidRPr="00AA22F9" w:rsidRDefault="001118A1" w:rsidP="001118A1">
      <w:pPr>
        <w:pStyle w:val="NormalWeb"/>
        <w:spacing w:before="0" w:beforeAutospacing="0" w:after="0" w:afterAutospacing="0" w:line="480" w:lineRule="auto"/>
        <w:ind w:left="720" w:hanging="720"/>
        <w:contextualSpacing/>
        <w:rPr>
          <w:bCs/>
        </w:rPr>
      </w:pPr>
      <w:proofErr w:type="spellStart"/>
      <w:r w:rsidRPr="00AA22F9">
        <w:rPr>
          <w:bCs/>
        </w:rPr>
        <w:t>Nittari</w:t>
      </w:r>
      <w:proofErr w:type="spellEnd"/>
      <w:r w:rsidRPr="00AA22F9">
        <w:rPr>
          <w:bCs/>
        </w:rPr>
        <w:t xml:space="preserve">, G, Savva, D, Tomassoni, D, </w:t>
      </w:r>
      <w:proofErr w:type="spellStart"/>
      <w:r w:rsidRPr="00AA22F9">
        <w:rPr>
          <w:bCs/>
        </w:rPr>
        <w:t>Tayebati</w:t>
      </w:r>
      <w:proofErr w:type="spellEnd"/>
      <w:r w:rsidRPr="00AA22F9">
        <w:rPr>
          <w:bCs/>
        </w:rPr>
        <w:t>, SK &amp; Amenta, F 2022, ‘Telemedicine in the COVID-19 Era: A Narrative Review Based on Current Evidence’, </w:t>
      </w:r>
      <w:r w:rsidRPr="00AA22F9">
        <w:rPr>
          <w:bCs/>
          <w:i/>
          <w:iCs/>
        </w:rPr>
        <w:t>International Journal of Environmental Research and Public Health</w:t>
      </w:r>
      <w:r w:rsidRPr="00AA22F9">
        <w:rPr>
          <w:bCs/>
        </w:rPr>
        <w:t xml:space="preserve">, vol. 19, MDPI AG, no. 9, p. 5101, viewed 8 April 2025, </w:t>
      </w:r>
      <w:hyperlink r:id="rId91" w:history="1">
        <w:r w:rsidRPr="00AA22F9">
          <w:rPr>
            <w:rStyle w:val="Hyperlink"/>
            <w:rFonts w:eastAsiaTheme="majorEastAsia"/>
            <w:bCs/>
          </w:rPr>
          <w:t>https://www.mdpi.com/1660-4601/19/9/5101</w:t>
        </w:r>
      </w:hyperlink>
    </w:p>
    <w:p w14:paraId="424E00D9" w14:textId="77777777" w:rsidR="001118A1" w:rsidRPr="00AA22F9" w:rsidRDefault="001118A1" w:rsidP="001118A1">
      <w:pPr>
        <w:pStyle w:val="NormalWeb"/>
        <w:spacing w:before="0" w:beforeAutospacing="0" w:after="0" w:afterAutospacing="0" w:line="480" w:lineRule="auto"/>
        <w:ind w:left="720" w:hanging="720"/>
        <w:contextualSpacing/>
      </w:pPr>
      <w:r w:rsidRPr="00AA22F9">
        <w:t>Niu, Y., Jean-Philippe Boussemart, Shen, Z. and Vardanyan, M. (2024). Performance evaluation using multi-stage production frameworks: Assessing the tradeoffs among the economic, environmental, and social well-being. </w:t>
      </w:r>
      <w:r w:rsidRPr="00AA22F9">
        <w:rPr>
          <w:i/>
          <w:iCs/>
        </w:rPr>
        <w:t>European Journal of Operational Research</w:t>
      </w:r>
      <w:r w:rsidRPr="00AA22F9">
        <w:t xml:space="preserve">, [online] 318(3), pp.1000–1013. </w:t>
      </w:r>
      <w:proofErr w:type="spellStart"/>
      <w:r w:rsidRPr="00AA22F9">
        <w:t>doi</w:t>
      </w:r>
      <w:proofErr w:type="spellEnd"/>
      <w:r w:rsidRPr="00AA22F9">
        <w:t xml:space="preserve">: </w:t>
      </w:r>
      <w:hyperlink r:id="rId92" w:history="1">
        <w:r w:rsidRPr="00AA22F9">
          <w:rPr>
            <w:rStyle w:val="Hyperlink"/>
            <w:rFonts w:eastAsiaTheme="majorEastAsia"/>
          </w:rPr>
          <w:t>https://doi.org/10.1016/j.ejor.2024.05.046</w:t>
        </w:r>
      </w:hyperlink>
      <w:r w:rsidRPr="00AA22F9">
        <w:t>.</w:t>
      </w:r>
    </w:p>
    <w:p w14:paraId="45836172" w14:textId="77777777" w:rsidR="001118A1" w:rsidRPr="00AA22F9" w:rsidRDefault="001118A1" w:rsidP="001118A1">
      <w:pPr>
        <w:pStyle w:val="NormalWeb"/>
        <w:spacing w:before="0" w:beforeAutospacing="0" w:after="0" w:afterAutospacing="0" w:line="480" w:lineRule="auto"/>
        <w:ind w:left="720" w:hanging="720"/>
        <w:contextualSpacing/>
      </w:pPr>
      <w:proofErr w:type="gramStart"/>
      <w:r w:rsidRPr="00AA22F9">
        <w:t>None</w:t>
      </w:r>
      <w:proofErr w:type="gramEnd"/>
      <w:r w:rsidRPr="00AA22F9">
        <w:t xml:space="preserve"> Devkumar Darshan </w:t>
      </w:r>
      <w:proofErr w:type="spellStart"/>
      <w:r w:rsidRPr="00AA22F9">
        <w:t>Rajpuriya</w:t>
      </w:r>
      <w:proofErr w:type="spellEnd"/>
      <w:r w:rsidRPr="00AA22F9">
        <w:t xml:space="preserve"> (2025). Regulatory Harmonization: Streamlining Global Pharmaceutical Validation Practices. </w:t>
      </w:r>
      <w:r w:rsidRPr="00AA22F9">
        <w:rPr>
          <w:i/>
          <w:iCs/>
        </w:rPr>
        <w:t>International Journal of Scientific Research in Computer Science Engineering and Information Technology</w:t>
      </w:r>
      <w:r w:rsidRPr="00AA22F9">
        <w:t xml:space="preserve">, [online] 11(1), pp.1173–1183. </w:t>
      </w:r>
      <w:proofErr w:type="spellStart"/>
      <w:r w:rsidRPr="00AA22F9">
        <w:t>doi</w:t>
      </w:r>
      <w:proofErr w:type="spellEnd"/>
      <w:r w:rsidRPr="00AA22F9">
        <w:t xml:space="preserve">: </w:t>
      </w:r>
      <w:hyperlink r:id="rId93" w:history="1">
        <w:r w:rsidRPr="00AA22F9">
          <w:rPr>
            <w:rStyle w:val="Hyperlink"/>
            <w:rFonts w:eastAsiaTheme="majorEastAsia"/>
          </w:rPr>
          <w:t>https://doi.org/10.32628/cseit251112118</w:t>
        </w:r>
      </w:hyperlink>
      <w:r w:rsidRPr="00AA22F9">
        <w:t>.</w:t>
      </w:r>
    </w:p>
    <w:p w14:paraId="5C3E195F" w14:textId="77777777" w:rsidR="001118A1" w:rsidRPr="00AA22F9" w:rsidRDefault="001118A1" w:rsidP="001118A1">
      <w:pPr>
        <w:pStyle w:val="NormalWeb"/>
        <w:spacing w:before="0" w:beforeAutospacing="0" w:after="0" w:afterAutospacing="0" w:line="480" w:lineRule="auto"/>
        <w:ind w:left="720" w:hanging="720"/>
        <w:contextualSpacing/>
      </w:pPr>
      <w:r w:rsidRPr="00AA22F9">
        <w:t xml:space="preserve">None Sutrisno, </w:t>
      </w:r>
      <w:proofErr w:type="gramStart"/>
      <w:r w:rsidRPr="00AA22F9">
        <w:t>None</w:t>
      </w:r>
      <w:proofErr w:type="gramEnd"/>
      <w:r w:rsidRPr="00AA22F9">
        <w:t xml:space="preserve"> Widodo and Abu (2025). In-Depth Study of the Strategic Interaction between Electronic Commerce, Innovation, and Attainment of Competitive Advantage in the Context of SMEs. </w:t>
      </w:r>
      <w:r w:rsidRPr="00AA22F9">
        <w:rPr>
          <w:i/>
          <w:iCs/>
        </w:rPr>
        <w:t>International Journal of Analysis and Applications</w:t>
      </w:r>
      <w:r w:rsidRPr="00AA22F9">
        <w:t xml:space="preserve">, [online] 23, pp.78–78. </w:t>
      </w:r>
      <w:proofErr w:type="spellStart"/>
      <w:r w:rsidRPr="00AA22F9">
        <w:t>doi</w:t>
      </w:r>
      <w:proofErr w:type="spellEnd"/>
      <w:r w:rsidRPr="00AA22F9">
        <w:t xml:space="preserve">: </w:t>
      </w:r>
      <w:hyperlink r:id="rId94" w:history="1">
        <w:r w:rsidRPr="00AA22F9">
          <w:rPr>
            <w:rStyle w:val="Hyperlink"/>
            <w:rFonts w:eastAsiaTheme="majorEastAsia"/>
          </w:rPr>
          <w:t>https://doi.org/10.28924/2291-8639-23-2025-78</w:t>
        </w:r>
      </w:hyperlink>
      <w:r w:rsidRPr="00AA22F9">
        <w:t>.</w:t>
      </w:r>
    </w:p>
    <w:p w14:paraId="55602BE0" w14:textId="77777777" w:rsidR="001118A1" w:rsidRPr="00AA22F9" w:rsidRDefault="001118A1" w:rsidP="001118A1">
      <w:pPr>
        <w:pStyle w:val="NormalWeb"/>
        <w:spacing w:before="0" w:beforeAutospacing="0" w:after="0" w:afterAutospacing="0" w:line="480" w:lineRule="auto"/>
        <w:ind w:left="720" w:hanging="720"/>
        <w:contextualSpacing/>
      </w:pPr>
      <w:proofErr w:type="spellStart"/>
      <w:r w:rsidRPr="00AA22F9">
        <w:t>Obeagu</w:t>
      </w:r>
      <w:proofErr w:type="spellEnd"/>
      <w:r w:rsidRPr="00AA22F9">
        <w:t>, E.I., Adias, T.C. and Getrude Uzoma Obeagu (2024). Advancing life: innovative approaches to enhance survival in sickle cell anemia patients. </w:t>
      </w:r>
      <w:r w:rsidRPr="00AA22F9">
        <w:rPr>
          <w:i/>
          <w:iCs/>
        </w:rPr>
        <w:t xml:space="preserve">Annals of Medicine and </w:t>
      </w:r>
      <w:r w:rsidRPr="00AA22F9">
        <w:rPr>
          <w:i/>
          <w:iCs/>
        </w:rPr>
        <w:lastRenderedPageBreak/>
        <w:t>Surgery</w:t>
      </w:r>
      <w:r w:rsidRPr="00AA22F9">
        <w:t xml:space="preserve">, [online] 86(10), pp.6021–6036. </w:t>
      </w:r>
      <w:proofErr w:type="spellStart"/>
      <w:r w:rsidRPr="00AA22F9">
        <w:t>doi</w:t>
      </w:r>
      <w:proofErr w:type="spellEnd"/>
      <w:r w:rsidRPr="00AA22F9">
        <w:t xml:space="preserve">: </w:t>
      </w:r>
      <w:hyperlink r:id="rId95" w:history="1">
        <w:r w:rsidRPr="00AA22F9">
          <w:rPr>
            <w:rStyle w:val="Hyperlink"/>
            <w:rFonts w:eastAsiaTheme="majorEastAsia"/>
          </w:rPr>
          <w:t>https://doi.org/10.1097/ms9.0000000000002534</w:t>
        </w:r>
      </w:hyperlink>
      <w:r w:rsidRPr="00AA22F9">
        <w:t>.</w:t>
      </w:r>
    </w:p>
    <w:p w14:paraId="65800C76" w14:textId="77777777" w:rsidR="001118A1" w:rsidRPr="00AA22F9" w:rsidRDefault="001118A1" w:rsidP="001118A1">
      <w:pPr>
        <w:pStyle w:val="NormalWeb"/>
        <w:spacing w:before="0" w:beforeAutospacing="0" w:after="0" w:afterAutospacing="0" w:line="480" w:lineRule="auto"/>
        <w:ind w:left="720" w:hanging="720"/>
        <w:contextualSpacing/>
      </w:pPr>
      <w:r w:rsidRPr="00AA22F9">
        <w:t xml:space="preserve">Oloyede, J. (2025). Strategic Integration of </w:t>
      </w:r>
      <w:proofErr w:type="spellStart"/>
      <w:r w:rsidRPr="00AA22F9">
        <w:t>RegTech</w:t>
      </w:r>
      <w:proofErr w:type="spellEnd"/>
      <w:r w:rsidRPr="00AA22F9">
        <w:t xml:space="preserve">, HealthTech, and Cyber Defense Mechanisms in the Era of Quantum Computing and Data-Driven Transformation Authors: Joseph Oluwaseyi, Okunola Christianah, Oloyede Joseph. [online] </w:t>
      </w:r>
      <w:proofErr w:type="spellStart"/>
      <w:r w:rsidRPr="00AA22F9">
        <w:t>doi</w:t>
      </w:r>
      <w:proofErr w:type="spellEnd"/>
      <w:r w:rsidRPr="00AA22F9">
        <w:t xml:space="preserve">: </w:t>
      </w:r>
      <w:hyperlink r:id="rId96" w:history="1">
        <w:r w:rsidRPr="00AA22F9">
          <w:rPr>
            <w:rStyle w:val="Hyperlink"/>
            <w:rFonts w:eastAsiaTheme="majorEastAsia"/>
          </w:rPr>
          <w:t>https://doi.org/10.2139/ssrn.5282144</w:t>
        </w:r>
      </w:hyperlink>
      <w:r w:rsidRPr="00AA22F9">
        <w:t>.</w:t>
      </w:r>
    </w:p>
    <w:p w14:paraId="7C6AEDC5" w14:textId="77777777" w:rsidR="001118A1" w:rsidRPr="00AA22F9" w:rsidRDefault="001118A1" w:rsidP="001118A1">
      <w:pPr>
        <w:pStyle w:val="NormalWeb"/>
        <w:spacing w:before="0" w:beforeAutospacing="0" w:after="0" w:afterAutospacing="0" w:line="480" w:lineRule="auto"/>
        <w:ind w:left="720" w:hanging="720"/>
        <w:contextualSpacing/>
      </w:pPr>
      <w:r w:rsidRPr="00AA22F9">
        <w:t>Pal, B., Sharma, U. and Bansal, B. (2024). Innovative Financing Models and Future Directions in Healthcare. </w:t>
      </w:r>
      <w:r w:rsidRPr="00AA22F9">
        <w:rPr>
          <w:i/>
          <w:iCs/>
        </w:rPr>
        <w:t>Advances in human services and public health (AHSPH) book series</w:t>
      </w:r>
      <w:r w:rsidRPr="00AA22F9">
        <w:t xml:space="preserve">, pp.267–302. </w:t>
      </w:r>
      <w:proofErr w:type="spellStart"/>
      <w:r w:rsidRPr="00AA22F9">
        <w:t>doi</w:t>
      </w:r>
      <w:proofErr w:type="spellEnd"/>
      <w:r w:rsidRPr="00AA22F9">
        <w:t xml:space="preserve">: </w:t>
      </w:r>
      <w:hyperlink r:id="rId97" w:history="1">
        <w:r w:rsidRPr="00AA22F9">
          <w:rPr>
            <w:rStyle w:val="Hyperlink"/>
            <w:rFonts w:eastAsiaTheme="majorEastAsia"/>
          </w:rPr>
          <w:t>https://doi.org/10.4018/979-8-3373-0240-9.ch012</w:t>
        </w:r>
      </w:hyperlink>
      <w:r w:rsidRPr="00AA22F9">
        <w:t>.</w:t>
      </w:r>
    </w:p>
    <w:p w14:paraId="2D3095C7" w14:textId="77777777" w:rsidR="001118A1" w:rsidRPr="00AA22F9" w:rsidRDefault="001118A1" w:rsidP="001118A1">
      <w:pPr>
        <w:pStyle w:val="NormalWeb"/>
        <w:spacing w:before="0" w:beforeAutospacing="0" w:after="0" w:afterAutospacing="0" w:line="480" w:lineRule="auto"/>
        <w:ind w:left="720" w:hanging="720"/>
        <w:contextualSpacing/>
      </w:pPr>
      <w:r w:rsidRPr="00AA22F9">
        <w:t xml:space="preserve">Paul, M., Maglaras, L., </w:t>
      </w:r>
      <w:proofErr w:type="spellStart"/>
      <w:r w:rsidRPr="00AA22F9">
        <w:t>Ferrag</w:t>
      </w:r>
      <w:proofErr w:type="spellEnd"/>
      <w:r w:rsidRPr="00AA22F9">
        <w:t>, M.A. and Almomani, I. (2023). Digitization of healthcare sector: A study on privacy and security concerns. </w:t>
      </w:r>
      <w:r w:rsidRPr="00AA22F9">
        <w:rPr>
          <w:i/>
          <w:iCs/>
        </w:rPr>
        <w:t>ICT Express</w:t>
      </w:r>
      <w:r w:rsidRPr="00AA22F9">
        <w:t xml:space="preserve">, [online] 9(4), pp.571–588. Available at: </w:t>
      </w:r>
      <w:hyperlink r:id="rId98" w:history="1">
        <w:r w:rsidRPr="00AA22F9">
          <w:rPr>
            <w:rStyle w:val="Hyperlink"/>
            <w:rFonts w:eastAsiaTheme="majorEastAsia"/>
          </w:rPr>
          <w:t>https://doi.org/10.1016/j.icte.2023.02.007</w:t>
        </w:r>
      </w:hyperlink>
    </w:p>
    <w:p w14:paraId="3BEECCD5" w14:textId="77777777" w:rsidR="001118A1" w:rsidRPr="00AA22F9" w:rsidRDefault="001118A1" w:rsidP="001118A1">
      <w:pPr>
        <w:spacing w:after="0" w:line="480" w:lineRule="auto"/>
        <w:ind w:left="720" w:hanging="720"/>
        <w:contextualSpacing/>
        <w:rPr>
          <w:rFonts w:ascii="Times New Roman" w:hAnsi="Times New Roman" w:cs="Times New Roman"/>
        </w:rPr>
      </w:pPr>
      <w:r w:rsidRPr="00AA22F9">
        <w:rPr>
          <w:rFonts w:ascii="Times New Roman" w:hAnsi="Times New Roman" w:cs="Times New Roman"/>
        </w:rPr>
        <w:t>Pereira, R, Pereira, C, Machado, MS, Blanco, HV &amp; Su, Z 2024, ‘Innovation in Healthcare Business Methods: A Comparative Patent Analysis’, </w:t>
      </w:r>
      <w:r w:rsidRPr="00AA22F9">
        <w:rPr>
          <w:rFonts w:ascii="Times New Roman" w:hAnsi="Times New Roman" w:cs="Times New Roman"/>
          <w:i/>
          <w:iCs/>
        </w:rPr>
        <w:t>Journal of Open Innovation Technology Market and Complexity</w:t>
      </w:r>
      <w:r w:rsidRPr="00AA22F9">
        <w:rPr>
          <w:rFonts w:ascii="Times New Roman" w:hAnsi="Times New Roman" w:cs="Times New Roman"/>
        </w:rPr>
        <w:t xml:space="preserve">, vol. 10, Springer </w:t>
      </w:r>
      <w:proofErr w:type="spellStart"/>
      <w:r w:rsidRPr="00AA22F9">
        <w:rPr>
          <w:rFonts w:ascii="Times New Roman" w:hAnsi="Times New Roman" w:cs="Times New Roman"/>
        </w:rPr>
        <w:t>Science+Business</w:t>
      </w:r>
      <w:proofErr w:type="spellEnd"/>
      <w:r w:rsidRPr="00AA22F9">
        <w:rPr>
          <w:rFonts w:ascii="Times New Roman" w:hAnsi="Times New Roman" w:cs="Times New Roman"/>
        </w:rPr>
        <w:t xml:space="preserve"> Media, no. 4, pp. 100428–100428.</w:t>
      </w:r>
    </w:p>
    <w:p w14:paraId="5334E38A" w14:textId="77777777" w:rsidR="001118A1" w:rsidRPr="00AA22F9" w:rsidRDefault="001118A1" w:rsidP="001118A1">
      <w:pPr>
        <w:pStyle w:val="NormalWeb"/>
        <w:spacing w:before="0" w:beforeAutospacing="0" w:after="0" w:afterAutospacing="0" w:line="480" w:lineRule="auto"/>
        <w:ind w:left="720" w:hanging="720"/>
        <w:contextualSpacing/>
      </w:pPr>
      <w:r w:rsidRPr="00AA22F9">
        <w:t xml:space="preserve">Pfeiffer, J., Gutschow, J., Haas, C., Florian Möslein, </w:t>
      </w:r>
      <w:proofErr w:type="spellStart"/>
      <w:r w:rsidRPr="00AA22F9">
        <w:t>Maspfuhl</w:t>
      </w:r>
      <w:proofErr w:type="spellEnd"/>
      <w:r w:rsidRPr="00AA22F9">
        <w:t xml:space="preserve">, O., Borgers, F. and Suzana </w:t>
      </w:r>
      <w:proofErr w:type="spellStart"/>
      <w:r w:rsidRPr="00AA22F9">
        <w:t>Alpsancar</w:t>
      </w:r>
      <w:proofErr w:type="spellEnd"/>
      <w:r w:rsidRPr="00AA22F9">
        <w:t xml:space="preserve"> (2023). Algorithmic Fairness in AI. </w:t>
      </w:r>
      <w:r w:rsidRPr="00AA22F9">
        <w:rPr>
          <w:i/>
          <w:iCs/>
        </w:rPr>
        <w:t>Business &amp; Information Systems Engineering</w:t>
      </w:r>
      <w:r w:rsidRPr="00AA22F9">
        <w:t xml:space="preserve">, [online] 65(2), pp.209–222. </w:t>
      </w:r>
      <w:proofErr w:type="spellStart"/>
      <w:r w:rsidRPr="00AA22F9">
        <w:t>doi</w:t>
      </w:r>
      <w:proofErr w:type="spellEnd"/>
      <w:r w:rsidRPr="00AA22F9">
        <w:t xml:space="preserve">: </w:t>
      </w:r>
      <w:hyperlink r:id="rId99" w:history="1">
        <w:r w:rsidRPr="00AA22F9">
          <w:rPr>
            <w:rStyle w:val="Hyperlink"/>
            <w:rFonts w:eastAsiaTheme="majorEastAsia"/>
          </w:rPr>
          <w:t>https://doi.org/10.1007/s12599-023-00787-x</w:t>
        </w:r>
      </w:hyperlink>
      <w:r w:rsidRPr="00AA22F9">
        <w:t>.</w:t>
      </w:r>
    </w:p>
    <w:p w14:paraId="2F0A0F02" w14:textId="77777777" w:rsidR="001118A1" w:rsidRPr="00AA22F9" w:rsidRDefault="001118A1" w:rsidP="001118A1">
      <w:pPr>
        <w:pStyle w:val="NormalWeb"/>
        <w:spacing w:before="0" w:beforeAutospacing="0" w:after="0" w:afterAutospacing="0" w:line="480" w:lineRule="auto"/>
        <w:ind w:left="720" w:hanging="720"/>
        <w:contextualSpacing/>
      </w:pPr>
      <w:r w:rsidRPr="00AA22F9">
        <w:t>Pinero de Plaza, M.A., Yadav, L. and Kitson, A. (2023). Co-designing, measuring, and optimizing innovations and solutions within complex adaptive health systems. </w:t>
      </w:r>
      <w:r w:rsidRPr="00AA22F9">
        <w:rPr>
          <w:i/>
          <w:iCs/>
        </w:rPr>
        <w:t>Frontiers in Health Services</w:t>
      </w:r>
      <w:r w:rsidRPr="00AA22F9">
        <w:t xml:space="preserve">, [online] 3. </w:t>
      </w:r>
      <w:proofErr w:type="spellStart"/>
      <w:r w:rsidRPr="00AA22F9">
        <w:t>doi</w:t>
      </w:r>
      <w:proofErr w:type="spellEnd"/>
      <w:r w:rsidRPr="00AA22F9">
        <w:t xml:space="preserve">: </w:t>
      </w:r>
      <w:hyperlink r:id="rId100" w:history="1">
        <w:r w:rsidRPr="00AA22F9">
          <w:rPr>
            <w:rStyle w:val="Hyperlink"/>
            <w:rFonts w:eastAsiaTheme="majorEastAsia"/>
          </w:rPr>
          <w:t>https://doi.org/10.3389/frhs.2023.1154614</w:t>
        </w:r>
      </w:hyperlink>
      <w:r w:rsidRPr="00AA22F9">
        <w:t>.</w:t>
      </w:r>
    </w:p>
    <w:p w14:paraId="2FEE8C74" w14:textId="77777777" w:rsidR="001118A1" w:rsidRPr="00AA22F9" w:rsidRDefault="001118A1" w:rsidP="001118A1">
      <w:pPr>
        <w:pStyle w:val="NormalWeb"/>
        <w:spacing w:before="0" w:beforeAutospacing="0" w:after="0" w:afterAutospacing="0" w:line="480" w:lineRule="auto"/>
        <w:ind w:left="720" w:hanging="720"/>
        <w:contextualSpacing/>
        <w:rPr>
          <w:bCs/>
        </w:rPr>
      </w:pPr>
      <w:r w:rsidRPr="00AA22F9">
        <w:rPr>
          <w:bCs/>
        </w:rPr>
        <w:t xml:space="preserve">Pisano, TDJ &amp; </w:t>
      </w:r>
      <w:proofErr w:type="spellStart"/>
      <w:r w:rsidRPr="00AA22F9">
        <w:rPr>
          <w:bCs/>
        </w:rPr>
        <w:t>Shuen</w:t>
      </w:r>
      <w:proofErr w:type="spellEnd"/>
      <w:r w:rsidRPr="00AA22F9">
        <w:rPr>
          <w:bCs/>
        </w:rPr>
        <w:t xml:space="preserve"> 2016, </w:t>
      </w:r>
      <w:r w:rsidRPr="00AA22F9">
        <w:rPr>
          <w:bCs/>
          <w:i/>
          <w:iCs/>
        </w:rPr>
        <w:t>Knowledge Management</w:t>
      </w:r>
      <w:r w:rsidRPr="00AA22F9">
        <w:rPr>
          <w:bCs/>
        </w:rPr>
        <w:t xml:space="preserve">, Google Books, viewed 8 April 2025, </w:t>
      </w:r>
      <w:hyperlink r:id="rId101" w:history="1">
        <w:r w:rsidRPr="00AA22F9">
          <w:rPr>
            <w:rStyle w:val="Hyperlink"/>
            <w:rFonts w:eastAsiaTheme="majorEastAsia"/>
            <w:bCs/>
          </w:rPr>
          <w:t>https://shorturl.at/FXloi</w:t>
        </w:r>
      </w:hyperlink>
    </w:p>
    <w:p w14:paraId="6D8F17FA" w14:textId="77777777" w:rsidR="001118A1" w:rsidRPr="00AA22F9" w:rsidRDefault="001118A1" w:rsidP="001118A1">
      <w:pPr>
        <w:pStyle w:val="NormalWeb"/>
        <w:spacing w:before="0" w:beforeAutospacing="0" w:after="0" w:afterAutospacing="0" w:line="480" w:lineRule="auto"/>
        <w:ind w:left="720" w:hanging="720"/>
        <w:contextualSpacing/>
      </w:pPr>
      <w:proofErr w:type="spellStart"/>
      <w:r w:rsidRPr="00AA22F9">
        <w:lastRenderedPageBreak/>
        <w:t>Pitelis</w:t>
      </w:r>
      <w:proofErr w:type="spellEnd"/>
      <w:r w:rsidRPr="00AA22F9">
        <w:t>, C &amp; Wang, CL 2019, ‘Dynamic Capabilities: What are they and what are they for?’, </w:t>
      </w:r>
      <w:r w:rsidRPr="00AA22F9">
        <w:rPr>
          <w:i/>
          <w:iCs/>
        </w:rPr>
        <w:t>British Journal of Management</w:t>
      </w:r>
      <w:r w:rsidRPr="00AA22F9">
        <w:t xml:space="preserve">, vol. 30, no. 4. </w:t>
      </w:r>
      <w:hyperlink r:id="rId102" w:history="1">
        <w:r w:rsidRPr="00AA22F9">
          <w:rPr>
            <w:rStyle w:val="Hyperlink"/>
            <w:rFonts w:eastAsiaTheme="majorEastAsia"/>
          </w:rPr>
          <w:t>https://bura.brunel.ac.uk/bitstream/2438/17838/4/FullText.pdf</w:t>
        </w:r>
      </w:hyperlink>
    </w:p>
    <w:p w14:paraId="2597C9DB" w14:textId="77777777" w:rsidR="001118A1" w:rsidRPr="00AA22F9" w:rsidRDefault="001118A1" w:rsidP="001118A1">
      <w:pPr>
        <w:pStyle w:val="NormalWeb"/>
        <w:spacing w:before="0" w:beforeAutospacing="0" w:after="0" w:afterAutospacing="0" w:line="480" w:lineRule="auto"/>
        <w:ind w:left="720" w:hanging="720"/>
        <w:contextualSpacing/>
      </w:pPr>
      <w:r w:rsidRPr="00AA22F9">
        <w:t>Prahalad, C. K., &amp; Hamel, G. (1990). The Core Competence of the Corporation. </w:t>
      </w:r>
      <w:r w:rsidRPr="00AA22F9">
        <w:rPr>
          <w:i/>
          <w:iCs/>
        </w:rPr>
        <w:t>Harvard Business Review</w:t>
      </w:r>
      <w:r w:rsidRPr="00AA22F9">
        <w:t xml:space="preserve">. </w:t>
      </w:r>
      <w:hyperlink r:id="rId103" w:history="1">
        <w:r w:rsidRPr="00AA22F9">
          <w:rPr>
            <w:rStyle w:val="Hyperlink"/>
            <w:rFonts w:eastAsiaTheme="majorEastAsia"/>
          </w:rPr>
          <w:t>https://libres.uncg.edu/ir/uncg/f/J_Dale_Productive_2013.pdf</w:t>
        </w:r>
      </w:hyperlink>
    </w:p>
    <w:p w14:paraId="4B27B019" w14:textId="77777777" w:rsidR="001118A1" w:rsidRPr="00AA22F9" w:rsidRDefault="001118A1" w:rsidP="001118A1">
      <w:pPr>
        <w:pStyle w:val="NormalWeb"/>
        <w:spacing w:before="0" w:beforeAutospacing="0" w:after="0" w:afterAutospacing="0" w:line="480" w:lineRule="auto"/>
        <w:ind w:left="720" w:hanging="720"/>
        <w:contextualSpacing/>
      </w:pPr>
      <w:r w:rsidRPr="00AA22F9">
        <w:t xml:space="preserve">Prakash, B. (2025). Comparative Analysis </w:t>
      </w:r>
      <w:proofErr w:type="gramStart"/>
      <w:r w:rsidRPr="00AA22F9">
        <w:t>Of</w:t>
      </w:r>
      <w:proofErr w:type="gramEnd"/>
      <w:r w:rsidRPr="00AA22F9">
        <w:t xml:space="preserve"> Data Lakes </w:t>
      </w:r>
      <w:proofErr w:type="gramStart"/>
      <w:r w:rsidRPr="00AA22F9">
        <w:t>And</w:t>
      </w:r>
      <w:proofErr w:type="gramEnd"/>
      <w:r w:rsidRPr="00AA22F9">
        <w:t xml:space="preserve"> Data Warehouses </w:t>
      </w:r>
      <w:proofErr w:type="gramStart"/>
      <w:r w:rsidRPr="00AA22F9">
        <w:t>For</w:t>
      </w:r>
      <w:proofErr w:type="gramEnd"/>
      <w:r w:rsidRPr="00AA22F9">
        <w:t xml:space="preserve"> Machine Learning. </w:t>
      </w:r>
      <w:r w:rsidRPr="00AA22F9">
        <w:rPr>
          <w:i/>
          <w:iCs/>
        </w:rPr>
        <w:t xml:space="preserve">International Journal </w:t>
      </w:r>
      <w:proofErr w:type="gramStart"/>
      <w:r w:rsidRPr="00AA22F9">
        <w:rPr>
          <w:i/>
          <w:iCs/>
        </w:rPr>
        <w:t>For</w:t>
      </w:r>
      <w:proofErr w:type="gramEnd"/>
      <w:r w:rsidRPr="00AA22F9">
        <w:rPr>
          <w:i/>
          <w:iCs/>
        </w:rPr>
        <w:t xml:space="preserve"> Multidisciplinary Research</w:t>
      </w:r>
      <w:r w:rsidRPr="00AA22F9">
        <w:t xml:space="preserve">, [online] 7(2). </w:t>
      </w:r>
      <w:proofErr w:type="spellStart"/>
      <w:r w:rsidRPr="00AA22F9">
        <w:t>doi</w:t>
      </w:r>
      <w:proofErr w:type="spellEnd"/>
      <w:r w:rsidRPr="00AA22F9">
        <w:t xml:space="preserve">: </w:t>
      </w:r>
      <w:hyperlink r:id="rId104" w:history="1">
        <w:r w:rsidRPr="00AA22F9">
          <w:rPr>
            <w:rStyle w:val="Hyperlink"/>
            <w:rFonts w:eastAsiaTheme="majorEastAsia"/>
          </w:rPr>
          <w:t>https://doi.org/10.36948/ijfmr.2025.v07i02.38869</w:t>
        </w:r>
      </w:hyperlink>
      <w:r w:rsidRPr="00AA22F9">
        <w:t>.</w:t>
      </w:r>
    </w:p>
    <w:p w14:paraId="4C9B8B3E" w14:textId="77777777" w:rsidR="001118A1" w:rsidRPr="00AA22F9" w:rsidRDefault="001118A1" w:rsidP="001118A1">
      <w:pPr>
        <w:pStyle w:val="NormalWeb"/>
        <w:spacing w:before="0" w:beforeAutospacing="0" w:after="0" w:afterAutospacing="0" w:line="480" w:lineRule="auto"/>
        <w:ind w:left="720" w:hanging="720"/>
        <w:contextualSpacing/>
      </w:pPr>
      <w:r w:rsidRPr="00AA22F9">
        <w:t xml:space="preserve">Pratik Kasralikar, Omkar Reddy Polu, </w:t>
      </w:r>
      <w:proofErr w:type="spellStart"/>
      <w:r w:rsidRPr="00AA22F9">
        <w:t>Balaiah</w:t>
      </w:r>
      <w:proofErr w:type="spellEnd"/>
      <w:r w:rsidRPr="00AA22F9">
        <w:t xml:space="preserve"> Chamarthi, Veer, R., Patel, S. and Ramakrishna </w:t>
      </w:r>
      <w:proofErr w:type="spellStart"/>
      <w:r w:rsidRPr="00AA22F9">
        <w:t>Tumati</w:t>
      </w:r>
      <w:proofErr w:type="spellEnd"/>
      <w:r w:rsidRPr="00AA22F9">
        <w:t xml:space="preserve"> (2025). Blockchain for Securing AI-Driven Healthcare Systems: A Systematic Review and Future Research Perspectives. </w:t>
      </w:r>
      <w:r w:rsidRPr="00AA22F9">
        <w:rPr>
          <w:i/>
          <w:iCs/>
        </w:rPr>
        <w:t>Cureus</w:t>
      </w:r>
      <w:r w:rsidRPr="00AA22F9">
        <w:t xml:space="preserve">. [online] </w:t>
      </w:r>
      <w:proofErr w:type="spellStart"/>
      <w:r w:rsidRPr="00AA22F9">
        <w:t>doi</w:t>
      </w:r>
      <w:proofErr w:type="spellEnd"/>
      <w:r w:rsidRPr="00AA22F9">
        <w:t xml:space="preserve">: </w:t>
      </w:r>
      <w:hyperlink r:id="rId105" w:history="1">
        <w:r w:rsidRPr="00AA22F9">
          <w:rPr>
            <w:rStyle w:val="Hyperlink"/>
            <w:rFonts w:eastAsiaTheme="majorEastAsia"/>
          </w:rPr>
          <w:t>https://doi.org/10.7759/cureus.83136</w:t>
        </w:r>
      </w:hyperlink>
      <w:r w:rsidRPr="00AA22F9">
        <w:t>.</w:t>
      </w:r>
    </w:p>
    <w:p w14:paraId="0639B367" w14:textId="77777777" w:rsidR="001118A1" w:rsidRPr="00AA22F9" w:rsidRDefault="001118A1" w:rsidP="001118A1">
      <w:pPr>
        <w:pStyle w:val="NormalWeb"/>
        <w:spacing w:before="0" w:beforeAutospacing="0" w:after="0" w:afterAutospacing="0" w:line="480" w:lineRule="auto"/>
        <w:ind w:left="720" w:hanging="720"/>
        <w:contextualSpacing/>
      </w:pPr>
      <w:r w:rsidRPr="00AA22F9">
        <w:t xml:space="preserve">Priti Tagde, Sandeep </w:t>
      </w:r>
      <w:proofErr w:type="spellStart"/>
      <w:r w:rsidRPr="00AA22F9">
        <w:t>Tagde</w:t>
      </w:r>
      <w:proofErr w:type="spellEnd"/>
      <w:r w:rsidRPr="00AA22F9">
        <w:t>, Bhattacharya, T., Pooja Tagde, Chopra, H., Akter, R., Kaushik, D. and Rahman, M.H. (2021). Blockchain and artificial intelligence technology in e-Health. </w:t>
      </w:r>
      <w:r w:rsidRPr="00AA22F9">
        <w:rPr>
          <w:i/>
          <w:iCs/>
        </w:rPr>
        <w:t>Environmental Science and Pollution Research</w:t>
      </w:r>
      <w:r w:rsidRPr="00AA22F9">
        <w:t xml:space="preserve">, [online] 28(38), pp.52810–52831. </w:t>
      </w:r>
      <w:proofErr w:type="spellStart"/>
      <w:r w:rsidRPr="00AA22F9">
        <w:t>doi</w:t>
      </w:r>
      <w:proofErr w:type="spellEnd"/>
      <w:r w:rsidRPr="00AA22F9">
        <w:t xml:space="preserve">: </w:t>
      </w:r>
      <w:hyperlink r:id="rId106" w:history="1">
        <w:r w:rsidRPr="00AA22F9">
          <w:rPr>
            <w:rStyle w:val="Hyperlink"/>
            <w:rFonts w:eastAsiaTheme="majorEastAsia"/>
          </w:rPr>
          <w:t>https://doi.org/10.1007/s11356-021-16223-0</w:t>
        </w:r>
      </w:hyperlink>
      <w:r w:rsidRPr="00AA22F9">
        <w:t>.</w:t>
      </w:r>
    </w:p>
    <w:p w14:paraId="6EA41CC7" w14:textId="77777777" w:rsidR="001118A1" w:rsidRPr="00AA22F9" w:rsidRDefault="001118A1" w:rsidP="001118A1">
      <w:pPr>
        <w:pStyle w:val="NormalWeb"/>
        <w:spacing w:before="0" w:beforeAutospacing="0" w:after="0" w:afterAutospacing="0" w:line="480" w:lineRule="auto"/>
        <w:ind w:left="720" w:hanging="720"/>
        <w:contextualSpacing/>
      </w:pPr>
      <w:r w:rsidRPr="00AA22F9">
        <w:t xml:space="preserve">Qing, L., Ibrahim </w:t>
      </w:r>
      <w:proofErr w:type="spellStart"/>
      <w:r w:rsidRPr="00AA22F9">
        <w:t>Alnafrah</w:t>
      </w:r>
      <w:proofErr w:type="spellEnd"/>
      <w:r w:rsidRPr="00AA22F9">
        <w:t xml:space="preserve"> and Abd </w:t>
      </w:r>
      <w:proofErr w:type="spellStart"/>
      <w:r w:rsidRPr="00AA22F9">
        <w:t>Alwahed</w:t>
      </w:r>
      <w:proofErr w:type="spellEnd"/>
      <w:r w:rsidRPr="00AA22F9">
        <w:t xml:space="preserve"> Dagestani (2023). Does green technology innovation benefit corporate financial performance? Investigating the moderating effect of media coverage. </w:t>
      </w:r>
      <w:r w:rsidRPr="00AA22F9">
        <w:rPr>
          <w:i/>
          <w:iCs/>
        </w:rPr>
        <w:t>Corporate social-responsibility and environmental management</w:t>
      </w:r>
      <w:r w:rsidRPr="00AA22F9">
        <w:t xml:space="preserve">. </w:t>
      </w:r>
      <w:proofErr w:type="spellStart"/>
      <w:r w:rsidRPr="00AA22F9">
        <w:t>doi</w:t>
      </w:r>
      <w:proofErr w:type="spellEnd"/>
      <w:r w:rsidRPr="00AA22F9">
        <w:t xml:space="preserve">: </w:t>
      </w:r>
      <w:hyperlink r:id="rId107" w:history="1">
        <w:r w:rsidRPr="00AA22F9">
          <w:rPr>
            <w:rStyle w:val="Hyperlink"/>
            <w:rFonts w:eastAsiaTheme="majorEastAsia"/>
          </w:rPr>
          <w:t>https://doi.org/10.1002/csr.2659</w:t>
        </w:r>
      </w:hyperlink>
      <w:r w:rsidRPr="00AA22F9">
        <w:t>.</w:t>
      </w:r>
    </w:p>
    <w:p w14:paraId="28F0FE7F" w14:textId="77777777" w:rsidR="001118A1" w:rsidRPr="00AA22F9" w:rsidRDefault="001118A1" w:rsidP="001118A1">
      <w:pPr>
        <w:pStyle w:val="NormalWeb"/>
        <w:spacing w:before="0" w:beforeAutospacing="0" w:after="0" w:afterAutospacing="0" w:line="480" w:lineRule="auto"/>
        <w:ind w:left="720" w:hanging="720"/>
        <w:contextualSpacing/>
      </w:pPr>
      <w:r w:rsidRPr="00AA22F9">
        <w:t xml:space="preserve">Raghavan, A., Mehmet Akif Demircioglu and Araz </w:t>
      </w:r>
      <w:proofErr w:type="spellStart"/>
      <w:r w:rsidRPr="00AA22F9">
        <w:t>Taeihagh</w:t>
      </w:r>
      <w:proofErr w:type="spellEnd"/>
      <w:r w:rsidRPr="00AA22F9">
        <w:t xml:space="preserve"> (2021). Public Health Innovation through Cloud Adoption: A Comparative Analysis of Drivers and Barriers in Japan, South Korea, and Singapore. </w:t>
      </w:r>
      <w:r w:rsidRPr="00AA22F9">
        <w:rPr>
          <w:i/>
          <w:iCs/>
        </w:rPr>
        <w:t>International Journal of Environmental Research and Public Health</w:t>
      </w:r>
      <w:r w:rsidRPr="00AA22F9">
        <w:t xml:space="preserve">, [online] 18(1), pp.334–334. </w:t>
      </w:r>
      <w:proofErr w:type="spellStart"/>
      <w:r w:rsidRPr="00AA22F9">
        <w:t>doi</w:t>
      </w:r>
      <w:proofErr w:type="spellEnd"/>
      <w:r w:rsidRPr="00AA22F9">
        <w:t xml:space="preserve">: </w:t>
      </w:r>
      <w:hyperlink r:id="rId108" w:history="1">
        <w:r w:rsidRPr="00AA22F9">
          <w:rPr>
            <w:rStyle w:val="Hyperlink"/>
            <w:rFonts w:eastAsiaTheme="majorEastAsia"/>
          </w:rPr>
          <w:t>https://doi.org/10.3390/ijerph18010334</w:t>
        </w:r>
      </w:hyperlink>
      <w:r w:rsidRPr="00AA22F9">
        <w:t>.</w:t>
      </w:r>
    </w:p>
    <w:p w14:paraId="40601FE2" w14:textId="77777777" w:rsidR="001118A1" w:rsidRPr="00AA22F9" w:rsidRDefault="001118A1" w:rsidP="001118A1">
      <w:pPr>
        <w:pStyle w:val="NormalWeb"/>
        <w:spacing w:before="0" w:beforeAutospacing="0" w:after="0" w:afterAutospacing="0" w:line="480" w:lineRule="auto"/>
        <w:ind w:left="720" w:hanging="720"/>
        <w:contextualSpacing/>
        <w:rPr>
          <w:bCs/>
        </w:rPr>
      </w:pPr>
      <w:proofErr w:type="spellStart"/>
      <w:r w:rsidRPr="00AA22F9">
        <w:rPr>
          <w:bCs/>
        </w:rPr>
        <w:t>Ramrakhyani</w:t>
      </w:r>
      <w:proofErr w:type="spellEnd"/>
      <w:r w:rsidRPr="00AA22F9">
        <w:rPr>
          <w:bCs/>
        </w:rPr>
        <w:t>, A &amp; Shrivastava, NK 2024, ‘Artificial Intelligence: Revolutionizing the Future of Fintech’, </w:t>
      </w:r>
      <w:r w:rsidRPr="00AA22F9">
        <w:rPr>
          <w:bCs/>
          <w:i/>
          <w:iCs/>
        </w:rPr>
        <w:t>COMMERCE RESEARCH REVIEW</w:t>
      </w:r>
      <w:r w:rsidRPr="00AA22F9">
        <w:rPr>
          <w:bCs/>
        </w:rPr>
        <w:t xml:space="preserve">, vol. 1, School of Management Sciences, </w:t>
      </w:r>
      <w:r w:rsidRPr="00AA22F9">
        <w:rPr>
          <w:bCs/>
        </w:rPr>
        <w:lastRenderedPageBreak/>
        <w:t xml:space="preserve">Varanas, no. 2, pp. 10–22, viewed 8 April 2025, </w:t>
      </w:r>
      <w:hyperlink r:id="rId109" w:history="1">
        <w:r w:rsidRPr="00AA22F9">
          <w:rPr>
            <w:rStyle w:val="Hyperlink"/>
            <w:rFonts w:eastAsiaTheme="majorEastAsia"/>
            <w:bCs/>
          </w:rPr>
          <w:t>https://journals.smsvaranasi.com/index.php/crr/article/view/1983</w:t>
        </w:r>
      </w:hyperlink>
    </w:p>
    <w:p w14:paraId="42B40176" w14:textId="77777777" w:rsidR="001118A1" w:rsidRPr="00AA22F9" w:rsidRDefault="001118A1" w:rsidP="001118A1">
      <w:pPr>
        <w:pStyle w:val="NormalWeb"/>
        <w:spacing w:before="0" w:beforeAutospacing="0" w:after="0" w:afterAutospacing="0" w:line="480" w:lineRule="auto"/>
        <w:ind w:left="720" w:hanging="720"/>
        <w:contextualSpacing/>
      </w:pPr>
      <w:r w:rsidRPr="00AA22F9">
        <w:t xml:space="preserve">Reddy, S. (2024). Global </w:t>
      </w:r>
      <w:proofErr w:type="spellStart"/>
      <w:r w:rsidRPr="00AA22F9">
        <w:t>Harmonisation</w:t>
      </w:r>
      <w:proofErr w:type="spellEnd"/>
      <w:r w:rsidRPr="00AA22F9">
        <w:t xml:space="preserve"> of AI-Enabled Software as a Medical Device Regulation: Addressing Challenges and Unifying Standards. </w:t>
      </w:r>
      <w:r w:rsidRPr="00AA22F9">
        <w:rPr>
          <w:i/>
          <w:iCs/>
        </w:rPr>
        <w:t>Mayo Clinic Proceedings Digital Health</w:t>
      </w:r>
      <w:r w:rsidRPr="00AA22F9">
        <w:t xml:space="preserve">, [online] 3(1), pp.100191–100191. </w:t>
      </w:r>
      <w:proofErr w:type="spellStart"/>
      <w:r w:rsidRPr="00AA22F9">
        <w:t>doi</w:t>
      </w:r>
      <w:proofErr w:type="spellEnd"/>
      <w:r w:rsidRPr="00AA22F9">
        <w:t xml:space="preserve">: </w:t>
      </w:r>
      <w:hyperlink r:id="rId110" w:history="1">
        <w:r w:rsidRPr="00AA22F9">
          <w:rPr>
            <w:rStyle w:val="Hyperlink"/>
            <w:rFonts w:eastAsiaTheme="majorEastAsia"/>
          </w:rPr>
          <w:t>https://doi.org/10.1016/j.mcpdig.2024.100191</w:t>
        </w:r>
      </w:hyperlink>
      <w:r w:rsidRPr="00AA22F9">
        <w:t>.</w:t>
      </w:r>
    </w:p>
    <w:p w14:paraId="0EA8D5F9" w14:textId="77777777" w:rsidR="001118A1" w:rsidRPr="00AA22F9" w:rsidRDefault="001118A1" w:rsidP="001118A1">
      <w:pPr>
        <w:pStyle w:val="NormalWeb"/>
        <w:spacing w:before="0" w:beforeAutospacing="0" w:after="0" w:afterAutospacing="0" w:line="480" w:lineRule="auto"/>
        <w:ind w:left="720" w:hanging="720"/>
        <w:contextualSpacing/>
      </w:pPr>
      <w:r w:rsidRPr="00AA22F9">
        <w:t xml:space="preserve">Rieyan, S.A., News, </w:t>
      </w:r>
      <w:proofErr w:type="spellStart"/>
      <w:r w:rsidRPr="00AA22F9">
        <w:t>Md.R.K</w:t>
      </w:r>
      <w:proofErr w:type="spellEnd"/>
      <w:r w:rsidRPr="00AA22F9">
        <w:t xml:space="preserve">., Rahman, A.B.M.M., Khan, S.A., </w:t>
      </w:r>
      <w:proofErr w:type="spellStart"/>
      <w:r w:rsidRPr="00AA22F9">
        <w:t>Zaarif</w:t>
      </w:r>
      <w:proofErr w:type="spellEnd"/>
      <w:r w:rsidRPr="00AA22F9">
        <w:t xml:space="preserve">, S.T.J., Alam, </w:t>
      </w:r>
      <w:proofErr w:type="spellStart"/>
      <w:r w:rsidRPr="00AA22F9">
        <w:t>Md.G.R</w:t>
      </w:r>
      <w:proofErr w:type="spellEnd"/>
      <w:r w:rsidRPr="00AA22F9">
        <w:t>., Hassan, M.M., Ianni, M. and Fortino, G. (2023). An advanced data fabric architecture leveraging homomorphic encryption and federated learning. </w:t>
      </w:r>
      <w:r w:rsidRPr="00AA22F9">
        <w:rPr>
          <w:i/>
          <w:iCs/>
        </w:rPr>
        <w:t>Information Fusion</w:t>
      </w:r>
      <w:r w:rsidRPr="00AA22F9">
        <w:t xml:space="preserve">, [online] p.102004. </w:t>
      </w:r>
      <w:proofErr w:type="spellStart"/>
      <w:r w:rsidRPr="00AA22F9">
        <w:t>doi</w:t>
      </w:r>
      <w:proofErr w:type="spellEnd"/>
      <w:r w:rsidRPr="00AA22F9">
        <w:t xml:space="preserve">: </w:t>
      </w:r>
      <w:hyperlink r:id="rId111" w:history="1">
        <w:r w:rsidRPr="00AA22F9">
          <w:rPr>
            <w:rStyle w:val="Hyperlink"/>
            <w:rFonts w:eastAsiaTheme="majorEastAsia"/>
          </w:rPr>
          <w:t>https://doi.org/10.1016/j.inffus.2023.102004</w:t>
        </w:r>
      </w:hyperlink>
      <w:r w:rsidRPr="00AA22F9">
        <w:t>.</w:t>
      </w:r>
    </w:p>
    <w:p w14:paraId="7E257D95" w14:textId="77777777" w:rsidR="001118A1" w:rsidRPr="00AA22F9" w:rsidRDefault="001118A1" w:rsidP="001118A1">
      <w:pPr>
        <w:pStyle w:val="NormalWeb"/>
        <w:spacing w:before="0" w:beforeAutospacing="0" w:after="0" w:afterAutospacing="0" w:line="480" w:lineRule="auto"/>
        <w:ind w:left="720" w:hanging="720"/>
        <w:contextualSpacing/>
        <w:rPr>
          <w:bCs/>
        </w:rPr>
      </w:pPr>
      <w:r w:rsidRPr="00AA22F9">
        <w:rPr>
          <w:bCs/>
        </w:rPr>
        <w:t xml:space="preserve">RINGE, W-G &amp; RUOF, C 2020, ‘Regulating Fintech in the EU: the Case for a Guided Sandbox’, European Journal of Risk Regulation, vol. 11, Cambridge University Press (CUP), no. 3, pp. 604–629, viewed 8 April 2025, </w:t>
      </w:r>
      <w:hyperlink r:id="rId112" w:history="1">
        <w:r w:rsidRPr="00AA22F9">
          <w:rPr>
            <w:rStyle w:val="Hyperlink"/>
            <w:rFonts w:eastAsiaTheme="majorEastAsia"/>
            <w:bCs/>
          </w:rPr>
          <w:t>https://www.cambridge.org/core/journals/european-journal-of-risk-regulation/article/regulating-fintech-in-the-eu-the-case-for-a-guided-sandbox/3EE71CEEB3BC22E57A1BF08023073A6F</w:t>
        </w:r>
      </w:hyperlink>
    </w:p>
    <w:p w14:paraId="7F4FABF2" w14:textId="77777777" w:rsidR="001118A1" w:rsidRPr="00AA22F9" w:rsidRDefault="001118A1" w:rsidP="001118A1">
      <w:pPr>
        <w:pStyle w:val="NormalWeb"/>
        <w:spacing w:before="0" w:beforeAutospacing="0" w:after="0" w:afterAutospacing="0" w:line="480" w:lineRule="auto"/>
        <w:ind w:left="720" w:hanging="720"/>
        <w:contextualSpacing/>
      </w:pPr>
      <w:r w:rsidRPr="00AA22F9">
        <w:t>Saiyed, A. (2025). AI-Driven Innovations in Fintech: Applications, Challenges, and Future Trends. </w:t>
      </w:r>
      <w:r w:rsidRPr="00AA22F9">
        <w:rPr>
          <w:i/>
          <w:iCs/>
        </w:rPr>
        <w:t>International Journal of Electrical and Computer Engineering Research</w:t>
      </w:r>
      <w:r w:rsidRPr="00AA22F9">
        <w:t xml:space="preserve">, [online] 5(1), pp.8–15. </w:t>
      </w:r>
      <w:proofErr w:type="spellStart"/>
      <w:r w:rsidRPr="00AA22F9">
        <w:t>doi</w:t>
      </w:r>
      <w:proofErr w:type="spellEnd"/>
      <w:r w:rsidRPr="00AA22F9">
        <w:t xml:space="preserve">: </w:t>
      </w:r>
      <w:hyperlink r:id="rId113" w:history="1">
        <w:r w:rsidRPr="00AA22F9">
          <w:rPr>
            <w:rStyle w:val="Hyperlink"/>
            <w:rFonts w:eastAsiaTheme="majorEastAsia"/>
          </w:rPr>
          <w:t>https://doi.org/10.53375/ijecer.2025.437</w:t>
        </w:r>
      </w:hyperlink>
      <w:r w:rsidRPr="00AA22F9">
        <w:t>.</w:t>
      </w:r>
    </w:p>
    <w:p w14:paraId="2E8455A1" w14:textId="77777777" w:rsidR="001118A1" w:rsidRPr="00AA22F9" w:rsidRDefault="001118A1" w:rsidP="001118A1">
      <w:pPr>
        <w:pStyle w:val="NormalWeb"/>
        <w:spacing w:before="0" w:beforeAutospacing="0" w:after="0" w:afterAutospacing="0" w:line="480" w:lineRule="auto"/>
        <w:ind w:left="720" w:hanging="720"/>
        <w:contextualSpacing/>
      </w:pPr>
      <w:r w:rsidRPr="00AA22F9">
        <w:t>Saket, P, Mittal, Y, Bala, K, Joshi, A &amp; Kumar Yadav, A 2021, ‘Innovative constructed wetland coupled microbial fuel cell for enhancing diazo dye degradation with simultaneous electricity generation’, </w:t>
      </w:r>
      <w:r w:rsidRPr="00AA22F9">
        <w:rPr>
          <w:i/>
          <w:iCs/>
        </w:rPr>
        <w:t>Bioresource Technology</w:t>
      </w:r>
      <w:r w:rsidRPr="00AA22F9">
        <w:t xml:space="preserve">, p. 126490. </w:t>
      </w:r>
      <w:hyperlink r:id="rId114" w:history="1">
        <w:r w:rsidRPr="00AA22F9">
          <w:rPr>
            <w:rStyle w:val="Hyperlink"/>
            <w:rFonts w:eastAsiaTheme="majorEastAsia"/>
          </w:rPr>
          <w:t>https://doi.org/10.1016/j.biortech.2021.126490</w:t>
        </w:r>
      </w:hyperlink>
    </w:p>
    <w:p w14:paraId="25D5DEED" w14:textId="77777777" w:rsidR="001118A1" w:rsidRPr="00AA22F9" w:rsidRDefault="001118A1" w:rsidP="001118A1">
      <w:pPr>
        <w:pStyle w:val="NormalWeb"/>
        <w:spacing w:before="0" w:beforeAutospacing="0" w:after="0" w:afterAutospacing="0" w:line="480" w:lineRule="auto"/>
        <w:ind w:left="720" w:hanging="720"/>
        <w:contextualSpacing/>
      </w:pPr>
      <w:r w:rsidRPr="00AA22F9">
        <w:t>Shapiro, C &amp; Varian, H 1998, </w:t>
      </w:r>
      <w:r w:rsidRPr="00AA22F9">
        <w:rPr>
          <w:i/>
          <w:iCs/>
        </w:rPr>
        <w:t>Information Rules</w:t>
      </w:r>
      <w:r w:rsidRPr="00AA22F9">
        <w:t xml:space="preserve">, Google Books, viewed 8 April 1998, </w:t>
      </w:r>
      <w:hyperlink r:id="rId115" w:anchor="v=onepage&amp;q=Information%20Rules%3A%20A%20Strategic%20Guide%20to%20the%20Network%20Economy.&amp;f=false" w:history="1">
        <w:r w:rsidRPr="00AA22F9">
          <w:rPr>
            <w:rStyle w:val="Hyperlink"/>
            <w:rFonts w:eastAsiaTheme="majorEastAsia"/>
          </w:rPr>
          <w:t>https://books.google.nl/books?hl=en&amp;lr=&amp;id=aE_J4Iv_PVEC&amp;oi=fnd&amp;pg=PP15&amp;dq=Information+Rules:+A+Strategic+Guide+to+the+Network+Economy.&amp;ots=o4HlZVnaPX&amp;sig=VgDNrw-</w:t>
        </w:r>
        <w:r w:rsidRPr="00AA22F9">
          <w:rPr>
            <w:rStyle w:val="Hyperlink"/>
            <w:rFonts w:eastAsiaTheme="majorEastAsia"/>
          </w:rPr>
          <w:lastRenderedPageBreak/>
          <w:t>eZQOtQhqjFNbaMSi2C8s&amp;redir_esc=y#v=onepage&amp;q=Information%20Rules%3A%20A%20Strategic%20Guide%20to%20the%20Network%20Economy.&amp;f=false</w:t>
        </w:r>
      </w:hyperlink>
      <w:r w:rsidRPr="00AA22F9">
        <w:t>&gt;</w:t>
      </w:r>
    </w:p>
    <w:p w14:paraId="18D5F0FC" w14:textId="77777777" w:rsidR="001118A1" w:rsidRPr="00AA22F9" w:rsidRDefault="001118A1" w:rsidP="001118A1">
      <w:pPr>
        <w:pStyle w:val="NormalWeb"/>
        <w:spacing w:before="0" w:beforeAutospacing="0" w:after="0" w:afterAutospacing="0" w:line="480" w:lineRule="auto"/>
        <w:ind w:left="720" w:hanging="720"/>
        <w:contextualSpacing/>
      </w:pPr>
      <w:r w:rsidRPr="00AA22F9">
        <w:t xml:space="preserve">Shayah </w:t>
      </w:r>
      <w:proofErr w:type="spellStart"/>
      <w:proofErr w:type="gramStart"/>
      <w:r w:rsidRPr="00AA22F9">
        <w:t>M.Hazem</w:t>
      </w:r>
      <w:proofErr w:type="spellEnd"/>
      <w:proofErr w:type="gramEnd"/>
      <w:r w:rsidRPr="00AA22F9">
        <w:t xml:space="preserve"> and </w:t>
      </w:r>
      <w:proofErr w:type="spellStart"/>
      <w:r w:rsidRPr="00AA22F9">
        <w:t>Zehou</w:t>
      </w:r>
      <w:proofErr w:type="spellEnd"/>
      <w:r w:rsidRPr="00AA22F9">
        <w:t xml:space="preserve">, S. (2019). Organizational culture and innovation: A literature review. [online] </w:t>
      </w:r>
      <w:proofErr w:type="spellStart"/>
      <w:r w:rsidRPr="00AA22F9">
        <w:t>doi</w:t>
      </w:r>
      <w:proofErr w:type="spellEnd"/>
      <w:r w:rsidRPr="00AA22F9">
        <w:t xml:space="preserve">: </w:t>
      </w:r>
      <w:hyperlink r:id="rId116" w:history="1">
        <w:r w:rsidRPr="00AA22F9">
          <w:rPr>
            <w:rStyle w:val="Hyperlink"/>
            <w:rFonts w:eastAsiaTheme="majorEastAsia"/>
          </w:rPr>
          <w:t>https://doi.org/10.2991/icecsd-19.2019.58</w:t>
        </w:r>
      </w:hyperlink>
      <w:r w:rsidRPr="00AA22F9">
        <w:t>.</w:t>
      </w:r>
    </w:p>
    <w:p w14:paraId="628AA094" w14:textId="77777777" w:rsidR="001118A1" w:rsidRPr="00AA22F9" w:rsidRDefault="001118A1" w:rsidP="001118A1">
      <w:pPr>
        <w:pStyle w:val="NormalWeb"/>
        <w:spacing w:before="0" w:beforeAutospacing="0" w:after="0" w:afterAutospacing="0" w:line="480" w:lineRule="auto"/>
        <w:ind w:left="720" w:hanging="720"/>
        <w:contextualSpacing/>
      </w:pPr>
      <w:r w:rsidRPr="00AA22F9">
        <w:t xml:space="preserve">Shukla, R., Harshit </w:t>
      </w:r>
      <w:proofErr w:type="spellStart"/>
      <w:r w:rsidRPr="00AA22F9">
        <w:t>Bagotia</w:t>
      </w:r>
      <w:proofErr w:type="spellEnd"/>
      <w:r w:rsidRPr="00AA22F9">
        <w:t xml:space="preserve">, Satish, P., Kamath, H.S., Chatterjee, S., Savariah, D., Ved Kaulgud, Harsha Gobburi and Acharya, S. (2025). Fintech and </w:t>
      </w:r>
      <w:proofErr w:type="spellStart"/>
      <w:r w:rsidRPr="00AA22F9">
        <w:t>healthtech</w:t>
      </w:r>
      <w:proofErr w:type="spellEnd"/>
      <w:r w:rsidRPr="00AA22F9">
        <w:t xml:space="preserve"> synergism: Pioneering a digital healthcare revolution for accessible, affordable, and effective patient-centered care. </w:t>
      </w:r>
      <w:r w:rsidRPr="00AA22F9">
        <w:rPr>
          <w:i/>
          <w:iCs/>
        </w:rPr>
        <w:t>Journal of Family Medicine and Primary Care</w:t>
      </w:r>
      <w:r w:rsidRPr="00AA22F9">
        <w:t xml:space="preserve">, [online] 14(3), pp.820–824. </w:t>
      </w:r>
      <w:proofErr w:type="spellStart"/>
      <w:r w:rsidRPr="00AA22F9">
        <w:t>doi</w:t>
      </w:r>
      <w:proofErr w:type="spellEnd"/>
      <w:r w:rsidRPr="00AA22F9">
        <w:t xml:space="preserve">: </w:t>
      </w:r>
      <w:hyperlink r:id="rId117" w:history="1">
        <w:r w:rsidRPr="00AA22F9">
          <w:rPr>
            <w:rStyle w:val="Hyperlink"/>
            <w:rFonts w:eastAsiaTheme="majorEastAsia"/>
          </w:rPr>
          <w:t>https://doi.org/10.4103/jfmpc.jfmpc_999_24</w:t>
        </w:r>
      </w:hyperlink>
      <w:r w:rsidRPr="00AA22F9">
        <w:t>.</w:t>
      </w:r>
    </w:p>
    <w:p w14:paraId="7B3F2DF8" w14:textId="77777777" w:rsidR="001118A1" w:rsidRPr="00AA22F9" w:rsidRDefault="001118A1" w:rsidP="001118A1">
      <w:pPr>
        <w:pStyle w:val="NormalWeb"/>
        <w:spacing w:before="0" w:beforeAutospacing="0" w:after="0" w:afterAutospacing="0" w:line="480" w:lineRule="auto"/>
        <w:ind w:left="720" w:hanging="720"/>
        <w:contextualSpacing/>
      </w:pPr>
      <w:r w:rsidRPr="00AA22F9">
        <w:t xml:space="preserve">Shukla, R., Harshit </w:t>
      </w:r>
      <w:proofErr w:type="spellStart"/>
      <w:r w:rsidRPr="00AA22F9">
        <w:t>Bagotia</w:t>
      </w:r>
      <w:proofErr w:type="spellEnd"/>
      <w:r w:rsidRPr="00AA22F9">
        <w:t xml:space="preserve">, Satish, P., Kamath, H.S., Chatterjee, S., Savariah, D., Ved Kaulgud, Harsha Gobburi and Acharya, S. (2025). Fintech and </w:t>
      </w:r>
      <w:proofErr w:type="spellStart"/>
      <w:r w:rsidRPr="00AA22F9">
        <w:t>healthtech</w:t>
      </w:r>
      <w:proofErr w:type="spellEnd"/>
      <w:r w:rsidRPr="00AA22F9">
        <w:t xml:space="preserve"> synergism: Pioneering a digital healthcare revolution for accessible, affordable, and effective patient-centered care. </w:t>
      </w:r>
      <w:r w:rsidRPr="00AA22F9">
        <w:rPr>
          <w:i/>
          <w:iCs/>
        </w:rPr>
        <w:t>Journal of Family Medicine and Primary Care</w:t>
      </w:r>
      <w:r w:rsidRPr="00AA22F9">
        <w:t xml:space="preserve">, [online] 14(3), pp.820–824. </w:t>
      </w:r>
      <w:proofErr w:type="spellStart"/>
      <w:r w:rsidRPr="00AA22F9">
        <w:t>doi</w:t>
      </w:r>
      <w:proofErr w:type="spellEnd"/>
      <w:r w:rsidRPr="00AA22F9">
        <w:t xml:space="preserve">: </w:t>
      </w:r>
      <w:hyperlink r:id="rId118" w:history="1">
        <w:r w:rsidRPr="00AA22F9">
          <w:rPr>
            <w:rStyle w:val="Hyperlink"/>
            <w:rFonts w:eastAsiaTheme="majorEastAsia"/>
          </w:rPr>
          <w:t>https://doi.org/10.4103/jfmpc.jfmpc_999_24</w:t>
        </w:r>
      </w:hyperlink>
      <w:r w:rsidRPr="00AA22F9">
        <w:t>.</w:t>
      </w:r>
    </w:p>
    <w:p w14:paraId="41D38BFD" w14:textId="77777777" w:rsidR="001118A1" w:rsidRPr="00AA22F9" w:rsidRDefault="001118A1" w:rsidP="001118A1">
      <w:pPr>
        <w:pStyle w:val="NormalWeb"/>
        <w:spacing w:before="0" w:beforeAutospacing="0" w:after="0" w:afterAutospacing="0" w:line="480" w:lineRule="auto"/>
        <w:ind w:left="720" w:hanging="720"/>
        <w:contextualSpacing/>
      </w:pPr>
      <w:r w:rsidRPr="00AA22F9">
        <w:t>Snow, C &amp; Fjeldstad, O 2023, </w:t>
      </w:r>
      <w:r w:rsidRPr="00AA22F9">
        <w:rPr>
          <w:i/>
          <w:iCs/>
        </w:rPr>
        <w:t>Designing Adaptive Organizations</w:t>
      </w:r>
      <w:r w:rsidRPr="00AA22F9">
        <w:t xml:space="preserve">, Google Books, viewed 8 April 2025, </w:t>
      </w:r>
      <w:hyperlink r:id="rId119" w:history="1">
        <w:r w:rsidRPr="00AA22F9">
          <w:rPr>
            <w:rStyle w:val="Hyperlink"/>
            <w:rFonts w:eastAsiaTheme="majorEastAsia"/>
          </w:rPr>
          <w:t>https://shorturl.at/rc2Xh</w:t>
        </w:r>
      </w:hyperlink>
    </w:p>
    <w:p w14:paraId="6BAE3D5A" w14:textId="77777777" w:rsidR="001118A1" w:rsidRPr="00AA22F9" w:rsidRDefault="001118A1" w:rsidP="001118A1">
      <w:pPr>
        <w:pStyle w:val="NormalWeb"/>
        <w:spacing w:after="0" w:line="480" w:lineRule="auto"/>
        <w:ind w:left="720" w:hanging="720"/>
        <w:contextualSpacing/>
      </w:pPr>
      <w:r w:rsidRPr="00AA22F9">
        <w:t xml:space="preserve">Strzelecki, A &amp; Mariia </w:t>
      </w:r>
      <w:proofErr w:type="spellStart"/>
      <w:r w:rsidRPr="00AA22F9">
        <w:t>Rizun</w:t>
      </w:r>
      <w:proofErr w:type="spellEnd"/>
      <w:r w:rsidRPr="00AA22F9">
        <w:t xml:space="preserve"> 2022, ‘Consumers’ Change in Trust and Security after a Personal Data Breach in Online Shopping’, </w:t>
      </w:r>
      <w:r w:rsidRPr="00AA22F9">
        <w:rPr>
          <w:i/>
          <w:iCs/>
        </w:rPr>
        <w:t>Sustainability</w:t>
      </w:r>
      <w:r w:rsidRPr="00AA22F9">
        <w:t xml:space="preserve">, vol. 14, Multidisciplinary Digital Publishing Institute, no. 10, pp. 5866–5866, viewed 30 September 2025, </w:t>
      </w:r>
      <w:hyperlink r:id="rId120" w:history="1">
        <w:r w:rsidRPr="00AA22F9">
          <w:rPr>
            <w:rStyle w:val="Hyperlink"/>
            <w:rFonts w:eastAsiaTheme="majorEastAsia"/>
          </w:rPr>
          <w:t>https://www.mdpi.com/2071-1050/14/10/5866</w:t>
        </w:r>
      </w:hyperlink>
    </w:p>
    <w:p w14:paraId="16749ABC" w14:textId="77777777" w:rsidR="001118A1" w:rsidRPr="00AA22F9" w:rsidRDefault="001118A1" w:rsidP="001118A1">
      <w:pPr>
        <w:pStyle w:val="NormalWeb"/>
        <w:spacing w:before="0" w:beforeAutospacing="0" w:after="0" w:afterAutospacing="0" w:line="480" w:lineRule="auto"/>
        <w:ind w:left="720" w:hanging="720"/>
        <w:contextualSpacing/>
      </w:pPr>
      <w:r w:rsidRPr="00AA22F9">
        <w:t xml:space="preserve">Teece, D. J., Pisano, G., &amp; </w:t>
      </w:r>
      <w:proofErr w:type="spellStart"/>
      <w:r w:rsidRPr="00AA22F9">
        <w:t>Shuen</w:t>
      </w:r>
      <w:proofErr w:type="spellEnd"/>
      <w:r w:rsidRPr="00AA22F9">
        <w:t>, A. (1997). Dynamic capabilities and strategic management. </w:t>
      </w:r>
      <w:r w:rsidRPr="00AA22F9">
        <w:rPr>
          <w:i/>
          <w:iCs/>
        </w:rPr>
        <w:t>Strategic Management Journal</w:t>
      </w:r>
      <w:r w:rsidRPr="00AA22F9">
        <w:t>, </w:t>
      </w:r>
      <w:r w:rsidRPr="00AA22F9">
        <w:rPr>
          <w:i/>
          <w:iCs/>
        </w:rPr>
        <w:t>18</w:t>
      </w:r>
      <w:r w:rsidRPr="00AA22F9">
        <w:t xml:space="preserve">(7), 509–533. </w:t>
      </w:r>
      <w:hyperlink r:id="rId121" w:history="1">
        <w:r w:rsidRPr="00AA22F9">
          <w:rPr>
            <w:rStyle w:val="Hyperlink"/>
            <w:rFonts w:eastAsiaTheme="majorEastAsia"/>
          </w:rPr>
          <w:t>https://www.researchgate.net/figure/Dynamic-capability-framework-Teece-et-al-1997_fig1_280209849</w:t>
        </w:r>
      </w:hyperlink>
    </w:p>
    <w:p w14:paraId="1260EDA6" w14:textId="77777777" w:rsidR="001118A1" w:rsidRPr="00AA22F9" w:rsidRDefault="001118A1" w:rsidP="001118A1">
      <w:pPr>
        <w:pStyle w:val="NormalWeb"/>
        <w:spacing w:before="0" w:beforeAutospacing="0" w:after="0" w:afterAutospacing="0" w:line="480" w:lineRule="auto"/>
        <w:ind w:left="720" w:hanging="720"/>
        <w:contextualSpacing/>
      </w:pPr>
      <w:r w:rsidRPr="00AA22F9">
        <w:t xml:space="preserve">Teves, G., </w:t>
      </w:r>
      <w:proofErr w:type="spellStart"/>
      <w:r w:rsidRPr="00AA22F9">
        <w:t>Muralla-Palustre</w:t>
      </w:r>
      <w:proofErr w:type="spellEnd"/>
      <w:r w:rsidRPr="00AA22F9">
        <w:t xml:space="preserve">, H., Saulo, C., </w:t>
      </w:r>
      <w:proofErr w:type="spellStart"/>
      <w:r w:rsidRPr="00AA22F9">
        <w:t>Pajutan</w:t>
      </w:r>
      <w:proofErr w:type="spellEnd"/>
      <w:r w:rsidRPr="00AA22F9">
        <w:t>, J., Jordan, M., Iii, F. and Vandenberg, P. (2023). </w:t>
      </w:r>
      <w:r w:rsidRPr="00AA22F9">
        <w:rPr>
          <w:i/>
          <w:iCs/>
        </w:rPr>
        <w:t>THE PHILIPPINES’ ECOSYSTEM FOR TECHNOLOGY STARTUPS</w:t>
      </w:r>
      <w:r w:rsidRPr="00AA22F9">
        <w:t xml:space="preserve">. [online] </w:t>
      </w:r>
      <w:r w:rsidRPr="00AA22F9">
        <w:lastRenderedPageBreak/>
        <w:t xml:space="preserve">Available at: </w:t>
      </w:r>
      <w:hyperlink r:id="rId122" w:history="1">
        <w:r w:rsidRPr="00AA22F9">
          <w:rPr>
            <w:rStyle w:val="Hyperlink"/>
            <w:rFonts w:eastAsiaTheme="majorEastAsia"/>
          </w:rPr>
          <w:t>https://www.adb.org/sites/default/files/publication/884641/philippines-ecosystem-technology-startups.pdf</w:t>
        </w:r>
      </w:hyperlink>
      <w:r w:rsidRPr="00AA22F9">
        <w:t>.</w:t>
      </w:r>
    </w:p>
    <w:p w14:paraId="2B89BA7E" w14:textId="77777777" w:rsidR="001118A1" w:rsidRPr="00AA22F9" w:rsidRDefault="001118A1" w:rsidP="001118A1">
      <w:pPr>
        <w:pStyle w:val="NormalWeb"/>
        <w:spacing w:before="0" w:beforeAutospacing="0" w:after="0" w:afterAutospacing="0" w:line="480" w:lineRule="auto"/>
        <w:ind w:left="720" w:hanging="720"/>
        <w:contextualSpacing/>
      </w:pPr>
      <w:r w:rsidRPr="00AA22F9">
        <w:t>Topol. (2019). </w:t>
      </w:r>
      <w:r w:rsidRPr="00AA22F9">
        <w:rPr>
          <w:i/>
          <w:iCs/>
        </w:rPr>
        <w:t>Deep Medicine</w:t>
      </w:r>
      <w:r w:rsidRPr="00AA22F9">
        <w:t xml:space="preserve">. Google Books. </w:t>
      </w:r>
      <w:hyperlink r:id="rId123" w:anchor="v=onepage&amp;q=Topol%20(2019)&amp;f=false" w:history="1">
        <w:r w:rsidRPr="00AA22F9">
          <w:rPr>
            <w:rStyle w:val="Hyperlink"/>
            <w:rFonts w:eastAsiaTheme="majorEastAsia"/>
          </w:rPr>
          <w:t>https://books.google.nl/books?hl=en&amp;lr=&amp;id=_EFlDwAAQBAJ&amp;oi=fnd&amp;pg=PT8&amp;dq=Topol+(2019)&amp;ots=BJ4AoV-x7R&amp;sig=VMGSd9wap1LDHSwZUUZoDgKO-Zo&amp;redir_esc=y#v=onepage&amp;q=Topol%20(2019)&amp;f=false</w:t>
        </w:r>
      </w:hyperlink>
    </w:p>
    <w:p w14:paraId="5DC44EA9" w14:textId="77777777" w:rsidR="001118A1" w:rsidRPr="00AA22F9" w:rsidRDefault="001118A1" w:rsidP="001118A1">
      <w:pPr>
        <w:pStyle w:val="NormalWeb"/>
        <w:spacing w:before="0" w:beforeAutospacing="0" w:after="0" w:afterAutospacing="0" w:line="480" w:lineRule="auto"/>
        <w:ind w:left="720" w:hanging="720"/>
        <w:contextualSpacing/>
      </w:pPr>
      <w:r w:rsidRPr="00AA22F9">
        <w:t>Wang, Y, Phillips, F &amp; Yang, C 2021, ‘Bridging innovation and commercialization to create value: An open innovation study’, </w:t>
      </w:r>
      <w:r w:rsidRPr="00AA22F9">
        <w:rPr>
          <w:i/>
          <w:iCs/>
        </w:rPr>
        <w:t>Journal of Business Research</w:t>
      </w:r>
      <w:r w:rsidRPr="00AA22F9">
        <w:t xml:space="preserve">, vol. 123, pp. 255–266. </w:t>
      </w:r>
      <w:hyperlink r:id="rId124" w:history="1">
        <w:r w:rsidRPr="00AA22F9">
          <w:rPr>
            <w:rStyle w:val="Hyperlink"/>
            <w:rFonts w:eastAsiaTheme="majorEastAsia"/>
          </w:rPr>
          <w:t>https://www.sciencedirect.com/science/article/abs/pii/S0148296320306329</w:t>
        </w:r>
      </w:hyperlink>
    </w:p>
    <w:p w14:paraId="4F0A8FE5" w14:textId="77777777" w:rsidR="001118A1" w:rsidRPr="00AA22F9" w:rsidRDefault="001118A1" w:rsidP="001118A1">
      <w:pPr>
        <w:pStyle w:val="NormalWeb"/>
        <w:spacing w:before="0" w:beforeAutospacing="0" w:after="0" w:afterAutospacing="0" w:line="480" w:lineRule="auto"/>
        <w:ind w:left="720" w:hanging="720"/>
        <w:contextualSpacing/>
        <w:rPr>
          <w:u w:val="single"/>
        </w:rPr>
      </w:pPr>
      <w:r w:rsidRPr="00AA22F9">
        <w:t>Weidner, K 2023, ‘Business Model’, </w:t>
      </w:r>
      <w:r w:rsidRPr="00AA22F9">
        <w:rPr>
          <w:i/>
          <w:iCs/>
        </w:rPr>
        <w:t>Springer eBooks</w:t>
      </w:r>
      <w:r w:rsidRPr="00AA22F9">
        <w:t xml:space="preserve">, Springer Nature, pp. 1–11, viewed 8 April 2025, </w:t>
      </w:r>
      <w:hyperlink r:id="rId125" w:history="1">
        <w:r w:rsidRPr="00AA22F9">
          <w:rPr>
            <w:rStyle w:val="Hyperlink"/>
            <w:rFonts w:eastAsiaTheme="majorEastAsia"/>
          </w:rPr>
          <w:t>https://link.springer.com/referenceworkentry/10.1007/978-3-030-02006-4_545-1</w:t>
        </w:r>
      </w:hyperlink>
    </w:p>
    <w:p w14:paraId="633F309C" w14:textId="77777777" w:rsidR="001118A1" w:rsidRPr="00AA22F9" w:rsidRDefault="001118A1" w:rsidP="001118A1">
      <w:pPr>
        <w:pStyle w:val="NormalWeb"/>
        <w:spacing w:before="0" w:beforeAutospacing="0" w:after="0" w:afterAutospacing="0" w:line="480" w:lineRule="auto"/>
        <w:ind w:left="720" w:hanging="720"/>
        <w:contextualSpacing/>
      </w:pPr>
      <w:r w:rsidRPr="00AA22F9">
        <w:t xml:space="preserve">Williamson, S.M. and </w:t>
      </w:r>
      <w:proofErr w:type="spellStart"/>
      <w:r w:rsidRPr="00AA22F9">
        <w:t>Prybutok</w:t>
      </w:r>
      <w:proofErr w:type="spellEnd"/>
      <w:r w:rsidRPr="00AA22F9">
        <w:t>, V. (2024). Balancing Privacy and Progress: A Review of Privacy Challenges, Systemic Oversight, and Patient Perceptions in AI-Driven Healthcare. </w:t>
      </w:r>
      <w:r w:rsidRPr="00AA22F9">
        <w:rPr>
          <w:i/>
          <w:iCs/>
        </w:rPr>
        <w:t>Applied Sciences</w:t>
      </w:r>
      <w:r w:rsidRPr="00AA22F9">
        <w:t xml:space="preserve">, [online] 14(2), p.675. </w:t>
      </w:r>
      <w:proofErr w:type="spellStart"/>
      <w:r w:rsidRPr="00AA22F9">
        <w:t>doi</w:t>
      </w:r>
      <w:proofErr w:type="spellEnd"/>
      <w:r w:rsidRPr="00AA22F9">
        <w:t xml:space="preserve">: </w:t>
      </w:r>
      <w:hyperlink r:id="rId126" w:history="1">
        <w:r w:rsidRPr="00AA22F9">
          <w:rPr>
            <w:rStyle w:val="Hyperlink"/>
            <w:rFonts w:eastAsiaTheme="majorEastAsia"/>
          </w:rPr>
          <w:t>https://doi.org/10.3390/app14020675</w:t>
        </w:r>
      </w:hyperlink>
      <w:r w:rsidRPr="00AA22F9">
        <w:t>.</w:t>
      </w:r>
    </w:p>
    <w:p w14:paraId="0A38CA82" w14:textId="77777777" w:rsidR="001118A1" w:rsidRPr="00AA22F9" w:rsidRDefault="001118A1" w:rsidP="001118A1">
      <w:pPr>
        <w:pStyle w:val="NormalWeb"/>
        <w:spacing w:before="0" w:beforeAutospacing="0" w:after="0" w:afterAutospacing="0" w:line="480" w:lineRule="auto"/>
        <w:ind w:left="720" w:hanging="720"/>
        <w:contextualSpacing/>
      </w:pPr>
      <w:r w:rsidRPr="00AA22F9">
        <w:t>Wu, S., Luo, Y., Zhang, H. and Cheng, P. (2024). Entrepreneurial bricolage and entrepreneurial performance: The role of business model innovation and market orientation. </w:t>
      </w:r>
      <w:proofErr w:type="spellStart"/>
      <w:r w:rsidRPr="00AA22F9">
        <w:rPr>
          <w:i/>
          <w:iCs/>
        </w:rPr>
        <w:t>Heliyon</w:t>
      </w:r>
      <w:proofErr w:type="spellEnd"/>
      <w:r w:rsidRPr="00AA22F9">
        <w:t xml:space="preserve">, [online] 10(4), </w:t>
      </w:r>
      <w:proofErr w:type="gramStart"/>
      <w:r w:rsidRPr="00AA22F9">
        <w:t>pp.e</w:t>
      </w:r>
      <w:proofErr w:type="gramEnd"/>
      <w:r w:rsidRPr="00AA22F9">
        <w:t xml:space="preserve">26600–e26600. </w:t>
      </w:r>
      <w:proofErr w:type="spellStart"/>
      <w:r w:rsidRPr="00AA22F9">
        <w:t>doi</w:t>
      </w:r>
      <w:proofErr w:type="spellEnd"/>
      <w:r w:rsidRPr="00AA22F9">
        <w:t xml:space="preserve">: </w:t>
      </w:r>
      <w:hyperlink r:id="rId127" w:history="1">
        <w:r w:rsidRPr="00AA22F9">
          <w:rPr>
            <w:rStyle w:val="Hyperlink"/>
            <w:rFonts w:eastAsiaTheme="majorEastAsia"/>
          </w:rPr>
          <w:t>https://doi.org/10.1016/j.heliyon.2024.e26600</w:t>
        </w:r>
      </w:hyperlink>
      <w:r w:rsidRPr="00AA22F9">
        <w:t>.</w:t>
      </w:r>
    </w:p>
    <w:p w14:paraId="3FBD9E0A" w14:textId="77777777" w:rsidR="001118A1" w:rsidRPr="00AA22F9" w:rsidRDefault="001118A1" w:rsidP="001118A1">
      <w:pPr>
        <w:pStyle w:val="NormalWeb"/>
        <w:spacing w:before="0" w:beforeAutospacing="0" w:after="0" w:afterAutospacing="0" w:line="480" w:lineRule="auto"/>
        <w:ind w:left="720" w:hanging="720"/>
        <w:contextualSpacing/>
      </w:pPr>
      <w:r w:rsidRPr="00AA22F9">
        <w:t xml:space="preserve">Yaseen, H. and </w:t>
      </w:r>
      <w:proofErr w:type="spellStart"/>
      <w:r w:rsidRPr="00AA22F9">
        <w:t>Asma’a</w:t>
      </w:r>
      <w:proofErr w:type="spellEnd"/>
      <w:r w:rsidRPr="00AA22F9">
        <w:t xml:space="preserve"> Al-</w:t>
      </w:r>
      <w:proofErr w:type="spellStart"/>
      <w:r w:rsidRPr="00AA22F9">
        <w:t>Amarneh</w:t>
      </w:r>
      <w:proofErr w:type="spellEnd"/>
      <w:r w:rsidRPr="00AA22F9">
        <w:t xml:space="preserve"> (2025). Adoption of Artificial Intelligence-Driven Fraud Detection in Banking: The Role of Trust, Transparency, and Fairness Perception in Financial Institutions in the United Arab Emirates and Qatar. </w:t>
      </w:r>
      <w:r w:rsidRPr="00AA22F9">
        <w:rPr>
          <w:i/>
          <w:iCs/>
        </w:rPr>
        <w:t>Journal of risk and financial management</w:t>
      </w:r>
      <w:r w:rsidRPr="00AA22F9">
        <w:t xml:space="preserve">, [online] 18(4), pp.217–217. </w:t>
      </w:r>
      <w:proofErr w:type="spellStart"/>
      <w:r w:rsidRPr="00AA22F9">
        <w:t>doi</w:t>
      </w:r>
      <w:proofErr w:type="spellEnd"/>
      <w:r w:rsidRPr="00AA22F9">
        <w:t xml:space="preserve">: </w:t>
      </w:r>
      <w:hyperlink r:id="rId128" w:history="1">
        <w:r w:rsidRPr="00AA22F9">
          <w:rPr>
            <w:rStyle w:val="Hyperlink"/>
            <w:rFonts w:eastAsiaTheme="majorEastAsia"/>
          </w:rPr>
          <w:t>https://doi.org/10.3390/jrfm18040217</w:t>
        </w:r>
      </w:hyperlink>
      <w:r w:rsidRPr="00AA22F9">
        <w:t>.</w:t>
      </w:r>
    </w:p>
    <w:p w14:paraId="6864C40A" w14:textId="77777777" w:rsidR="001118A1" w:rsidRPr="00AA22F9" w:rsidRDefault="001118A1" w:rsidP="001118A1">
      <w:pPr>
        <w:pStyle w:val="NormalWeb"/>
        <w:spacing w:before="0" w:beforeAutospacing="0" w:after="0" w:afterAutospacing="0" w:line="480" w:lineRule="auto"/>
        <w:ind w:left="720" w:hanging="720"/>
        <w:contextualSpacing/>
      </w:pPr>
      <w:proofErr w:type="spellStart"/>
      <w:r w:rsidRPr="00AA22F9">
        <w:t>Zetzsche</w:t>
      </w:r>
      <w:proofErr w:type="spellEnd"/>
      <w:r w:rsidRPr="00AA22F9">
        <w:t xml:space="preserve">, D. A., Arner, D. W., &amp; Buckley, R. P. (2020). </w:t>
      </w:r>
      <w:proofErr w:type="spellStart"/>
      <w:r w:rsidRPr="00AA22F9">
        <w:t>Decentralised</w:t>
      </w:r>
      <w:proofErr w:type="spellEnd"/>
      <w:r w:rsidRPr="00AA22F9">
        <w:t xml:space="preserve"> Finance. </w:t>
      </w:r>
      <w:r w:rsidRPr="00AA22F9">
        <w:rPr>
          <w:i/>
          <w:iCs/>
        </w:rPr>
        <w:t>Journal of Financial Regulation</w:t>
      </w:r>
      <w:r w:rsidRPr="00AA22F9">
        <w:t>, </w:t>
      </w:r>
      <w:r w:rsidRPr="00AA22F9">
        <w:rPr>
          <w:i/>
          <w:iCs/>
        </w:rPr>
        <w:t>6</w:t>
      </w:r>
      <w:r w:rsidRPr="00AA22F9">
        <w:t xml:space="preserve">(2), 172–203. </w:t>
      </w:r>
      <w:hyperlink r:id="rId129" w:history="1">
        <w:r w:rsidRPr="00AA22F9">
          <w:rPr>
            <w:rStyle w:val="Hyperlink"/>
            <w:rFonts w:eastAsiaTheme="majorEastAsia"/>
          </w:rPr>
          <w:t>https://doi.org/10.1093/jfr/fjaa010</w:t>
        </w:r>
      </w:hyperlink>
    </w:p>
    <w:p w14:paraId="7CC1AEBD" w14:textId="77777777" w:rsidR="001118A1" w:rsidRPr="00AA22F9" w:rsidRDefault="001118A1" w:rsidP="001118A1">
      <w:pPr>
        <w:pStyle w:val="NormalWeb"/>
        <w:spacing w:before="0" w:beforeAutospacing="0" w:after="0" w:afterAutospacing="0" w:line="480" w:lineRule="auto"/>
        <w:ind w:left="720" w:hanging="720"/>
        <w:contextualSpacing/>
      </w:pPr>
      <w:r w:rsidRPr="00AA22F9">
        <w:t xml:space="preserve">Zhang Wenhua, Qamar, F., Abdali, T.-A.N., Hassan, R., Syed and Nguyen, Q.N. (2023). Blockchain Technology: Security Issues, Healthcare Applications, Challenges and Future </w:t>
      </w:r>
      <w:r w:rsidRPr="00AA22F9">
        <w:lastRenderedPageBreak/>
        <w:t>Trends. </w:t>
      </w:r>
      <w:r w:rsidRPr="00AA22F9">
        <w:rPr>
          <w:i/>
          <w:iCs/>
        </w:rPr>
        <w:t>Electronics</w:t>
      </w:r>
      <w:r w:rsidRPr="00AA22F9">
        <w:t>, [online] 12(3), pp.546–546.doi:</w:t>
      </w:r>
      <w:hyperlink r:id="rId130" w:history="1">
        <w:r w:rsidRPr="00AA22F9">
          <w:rPr>
            <w:rStyle w:val="Hyperlink"/>
            <w:rFonts w:eastAsiaTheme="majorEastAsia"/>
          </w:rPr>
          <w:t>https://doi.org/10.3390/electronics12030546</w:t>
        </w:r>
      </w:hyperlink>
      <w:r w:rsidRPr="00AA22F9">
        <w:t>.</w:t>
      </w:r>
    </w:p>
    <w:p w14:paraId="2D597336" w14:textId="77777777" w:rsidR="001118A1" w:rsidRPr="00AA22F9" w:rsidRDefault="001118A1" w:rsidP="001118A1">
      <w:pPr>
        <w:pStyle w:val="NormalWeb"/>
        <w:spacing w:before="0" w:beforeAutospacing="0" w:after="0" w:afterAutospacing="0" w:line="480" w:lineRule="auto"/>
        <w:ind w:left="720" w:hanging="720"/>
        <w:contextualSpacing/>
      </w:pPr>
      <w:r w:rsidRPr="00AA22F9">
        <w:t>Zhao, H., Khaliq, N., Li, C., Rehman, F.U. and Popp, J. (2024). Exploring trust determinants influencing the intention to use fintech via SEM approach: Evidence from Pakistan. </w:t>
      </w:r>
      <w:proofErr w:type="spellStart"/>
      <w:r w:rsidRPr="00AA22F9">
        <w:rPr>
          <w:i/>
          <w:iCs/>
        </w:rPr>
        <w:t>Heliyon</w:t>
      </w:r>
      <w:proofErr w:type="spellEnd"/>
      <w:r w:rsidRPr="00AA22F9">
        <w:t xml:space="preserve">, [online] 10(8), </w:t>
      </w:r>
      <w:proofErr w:type="gramStart"/>
      <w:r w:rsidRPr="00AA22F9">
        <w:t>pp.e</w:t>
      </w:r>
      <w:proofErr w:type="gramEnd"/>
      <w:r w:rsidRPr="00AA22F9">
        <w:t xml:space="preserve">29716–e29716. </w:t>
      </w:r>
      <w:proofErr w:type="spellStart"/>
      <w:r w:rsidRPr="00AA22F9">
        <w:t>doi</w:t>
      </w:r>
      <w:proofErr w:type="spellEnd"/>
      <w:r w:rsidRPr="00AA22F9">
        <w:t xml:space="preserve">: </w:t>
      </w:r>
      <w:hyperlink r:id="rId131" w:history="1">
        <w:r w:rsidRPr="00AA22F9">
          <w:rPr>
            <w:rStyle w:val="Hyperlink"/>
            <w:rFonts w:eastAsiaTheme="majorEastAsia"/>
          </w:rPr>
          <w:t>https://doi.org/10.1016/j.heliyon.2024.e29716</w:t>
        </w:r>
      </w:hyperlink>
      <w:r w:rsidRPr="00AA22F9">
        <w:t>.</w:t>
      </w:r>
    </w:p>
    <w:p w14:paraId="64EA90B3" w14:textId="77777777" w:rsidR="00285E01" w:rsidRDefault="00285E01">
      <w:pPr>
        <w:rPr>
          <w:rFonts w:ascii="Times New Roman" w:eastAsiaTheme="majorEastAsia" w:hAnsi="Times New Roman" w:cstheme="majorBidi"/>
          <w:b/>
          <w:kern w:val="0"/>
          <w:sz w:val="32"/>
          <w:szCs w:val="32"/>
          <w14:ligatures w14:val="none"/>
        </w:rPr>
      </w:pPr>
    </w:p>
    <w:p w14:paraId="3E63C6D0" w14:textId="77777777" w:rsidR="00EA5323" w:rsidRDefault="00EA5323"/>
    <w:sectPr w:rsidR="00EA5323" w:rsidSect="00681735">
      <w:pgSz w:w="11906" w:h="16838"/>
      <w:pgMar w:top="1134" w:right="1134" w:bottom="1134" w:left="1134"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35E2768"/>
    <w:multiLevelType w:val="multilevel"/>
    <w:tmpl w:val="1870E79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6CF0770"/>
    <w:multiLevelType w:val="multilevel"/>
    <w:tmpl w:val="15BE6D38"/>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tabs>
          <w:tab w:val="num" w:pos="1440"/>
        </w:tabs>
        <w:ind w:left="1440" w:hanging="360"/>
      </w:p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0B26130"/>
    <w:multiLevelType w:val="hybridMultilevel"/>
    <w:tmpl w:val="96C44D4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31A71890"/>
    <w:multiLevelType w:val="hybridMultilevel"/>
    <w:tmpl w:val="1A14F85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3D967205"/>
    <w:multiLevelType w:val="hybridMultilevel"/>
    <w:tmpl w:val="FF96AD6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42777FB9"/>
    <w:multiLevelType w:val="multilevel"/>
    <w:tmpl w:val="49329610"/>
    <w:lvl w:ilvl="0">
      <w:start w:val="1"/>
      <w:numFmt w:val="decimal"/>
      <w:lvlText w:val="%1."/>
      <w:lvlJc w:val="left"/>
      <w:pPr>
        <w:tabs>
          <w:tab w:val="num" w:pos="720"/>
        </w:tabs>
        <w:ind w:left="720" w:hanging="360"/>
      </w:pPr>
      <w:rPr>
        <w:rFont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3D61BC6"/>
    <w:multiLevelType w:val="multilevel"/>
    <w:tmpl w:val="58CE44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8790A60"/>
    <w:multiLevelType w:val="hybridMultilevel"/>
    <w:tmpl w:val="58E6000A"/>
    <w:lvl w:ilvl="0" w:tplc="04090011">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562167E1"/>
    <w:multiLevelType w:val="multilevel"/>
    <w:tmpl w:val="E4E002B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5A3B49A9"/>
    <w:multiLevelType w:val="hybridMultilevel"/>
    <w:tmpl w:val="1F1A75A0"/>
    <w:lvl w:ilvl="0" w:tplc="04090001">
      <w:start w:val="1"/>
      <w:numFmt w:val="bullet"/>
      <w:lvlText w:val=""/>
      <w:lvlJc w:val="left"/>
      <w:pPr>
        <w:ind w:left="720" w:hanging="360"/>
      </w:pPr>
      <w:rPr>
        <w:rFonts w:ascii="Symbol" w:hAnsi="Symbol"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5DC16C74"/>
    <w:multiLevelType w:val="multilevel"/>
    <w:tmpl w:val="DB9A5C7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633D64D7"/>
    <w:multiLevelType w:val="hybridMultilevel"/>
    <w:tmpl w:val="A74E06C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75B615ED"/>
    <w:multiLevelType w:val="multilevel"/>
    <w:tmpl w:val="9424BD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130539142">
    <w:abstractNumId w:val="12"/>
  </w:num>
  <w:num w:numId="2" w16cid:durableId="69542999">
    <w:abstractNumId w:val="1"/>
  </w:num>
  <w:num w:numId="3" w16cid:durableId="87315834">
    <w:abstractNumId w:val="6"/>
  </w:num>
  <w:num w:numId="4" w16cid:durableId="1607885871">
    <w:abstractNumId w:val="3"/>
  </w:num>
  <w:num w:numId="5" w16cid:durableId="685791250">
    <w:abstractNumId w:val="2"/>
  </w:num>
  <w:num w:numId="6" w16cid:durableId="1869945001">
    <w:abstractNumId w:val="4"/>
  </w:num>
  <w:num w:numId="7" w16cid:durableId="236405526">
    <w:abstractNumId w:val="11"/>
  </w:num>
  <w:num w:numId="8" w16cid:durableId="747003194">
    <w:abstractNumId w:val="9"/>
  </w:num>
  <w:num w:numId="9" w16cid:durableId="750465642">
    <w:abstractNumId w:val="5"/>
  </w:num>
  <w:num w:numId="10" w16cid:durableId="1981424064">
    <w:abstractNumId w:val="8"/>
  </w:num>
  <w:num w:numId="11" w16cid:durableId="1278948754">
    <w:abstractNumId w:val="7"/>
  </w:num>
  <w:num w:numId="12" w16cid:durableId="1889104338">
    <w:abstractNumId w:val="0"/>
  </w:num>
  <w:num w:numId="13" w16cid:durableId="15736807">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94123"/>
    <w:rsid w:val="00047BED"/>
    <w:rsid w:val="00087DCE"/>
    <w:rsid w:val="000C492F"/>
    <w:rsid w:val="000F299B"/>
    <w:rsid w:val="001118A1"/>
    <w:rsid w:val="00142BC9"/>
    <w:rsid w:val="0025346F"/>
    <w:rsid w:val="00285E01"/>
    <w:rsid w:val="003B5E0C"/>
    <w:rsid w:val="004641E7"/>
    <w:rsid w:val="00503E2D"/>
    <w:rsid w:val="00527877"/>
    <w:rsid w:val="00553098"/>
    <w:rsid w:val="005A421B"/>
    <w:rsid w:val="0067654C"/>
    <w:rsid w:val="00681735"/>
    <w:rsid w:val="00690AEE"/>
    <w:rsid w:val="00737067"/>
    <w:rsid w:val="00812B48"/>
    <w:rsid w:val="008B11D8"/>
    <w:rsid w:val="009501C5"/>
    <w:rsid w:val="0098251F"/>
    <w:rsid w:val="00AF0254"/>
    <w:rsid w:val="00C94123"/>
    <w:rsid w:val="00D20C7C"/>
    <w:rsid w:val="00D30C2D"/>
    <w:rsid w:val="00E9720D"/>
    <w:rsid w:val="00EA5323"/>
    <w:rsid w:val="00EF64E5"/>
    <w:rsid w:val="00F17D4D"/>
    <w:rsid w:val="00F8432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BCC5E9"/>
  <w15:chartTrackingRefBased/>
  <w15:docId w15:val="{19B71CDD-682F-5A45-BC10-00C7431EE3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F64E5"/>
    <w:pPr>
      <w:keepNext/>
      <w:keepLines/>
      <w:spacing w:before="360" w:after="80" w:line="480" w:lineRule="auto"/>
      <w:jc w:val="center"/>
      <w:outlineLvl w:val="0"/>
    </w:pPr>
    <w:rPr>
      <w:rFonts w:ascii="Times New Roman" w:eastAsiaTheme="majorEastAsia" w:hAnsi="Times New Roman" w:cstheme="majorBidi"/>
      <w:b/>
      <w:szCs w:val="40"/>
    </w:rPr>
  </w:style>
  <w:style w:type="paragraph" w:styleId="Heading2">
    <w:name w:val="heading 2"/>
    <w:basedOn w:val="Normal"/>
    <w:next w:val="Normal"/>
    <w:link w:val="Heading2Char"/>
    <w:uiPriority w:val="9"/>
    <w:unhideWhenUsed/>
    <w:qFormat/>
    <w:rsid w:val="00EF64E5"/>
    <w:pPr>
      <w:keepNext/>
      <w:keepLines/>
      <w:spacing w:before="160" w:after="80" w:line="480" w:lineRule="auto"/>
      <w:outlineLvl w:val="1"/>
    </w:pPr>
    <w:rPr>
      <w:rFonts w:ascii="Times New Roman" w:eastAsiaTheme="majorEastAsia" w:hAnsi="Times New Roman" w:cstheme="majorBidi"/>
      <w:b/>
      <w:szCs w:val="32"/>
    </w:rPr>
  </w:style>
  <w:style w:type="paragraph" w:styleId="Heading3">
    <w:name w:val="heading 3"/>
    <w:basedOn w:val="Normal"/>
    <w:next w:val="Normal"/>
    <w:link w:val="Heading3Char"/>
    <w:uiPriority w:val="9"/>
    <w:unhideWhenUsed/>
    <w:qFormat/>
    <w:rsid w:val="00EF64E5"/>
    <w:pPr>
      <w:keepNext/>
      <w:keepLines/>
      <w:spacing w:before="160" w:after="80" w:line="480" w:lineRule="auto"/>
      <w:outlineLvl w:val="2"/>
    </w:pPr>
    <w:rPr>
      <w:rFonts w:ascii="Times New Roman" w:eastAsiaTheme="majorEastAsia" w:hAnsi="Times New Roman" w:cstheme="majorBidi"/>
      <w:b/>
      <w:szCs w:val="28"/>
    </w:rPr>
  </w:style>
  <w:style w:type="paragraph" w:styleId="Heading4">
    <w:name w:val="heading 4"/>
    <w:basedOn w:val="Normal"/>
    <w:next w:val="Normal"/>
    <w:link w:val="Heading4Char"/>
    <w:uiPriority w:val="9"/>
    <w:semiHidden/>
    <w:unhideWhenUsed/>
    <w:qFormat/>
    <w:rsid w:val="00C9412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9412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9412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9412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9412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9412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F64E5"/>
    <w:rPr>
      <w:rFonts w:ascii="Times New Roman" w:eastAsiaTheme="majorEastAsia" w:hAnsi="Times New Roman" w:cstheme="majorBidi"/>
      <w:b/>
      <w:szCs w:val="40"/>
    </w:rPr>
  </w:style>
  <w:style w:type="character" w:customStyle="1" w:styleId="Heading2Char">
    <w:name w:val="Heading 2 Char"/>
    <w:basedOn w:val="DefaultParagraphFont"/>
    <w:link w:val="Heading2"/>
    <w:uiPriority w:val="9"/>
    <w:rsid w:val="00EF64E5"/>
    <w:rPr>
      <w:rFonts w:ascii="Times New Roman" w:eastAsiaTheme="majorEastAsia" w:hAnsi="Times New Roman" w:cstheme="majorBidi"/>
      <w:b/>
      <w:szCs w:val="32"/>
    </w:rPr>
  </w:style>
  <w:style w:type="character" w:customStyle="1" w:styleId="Heading3Char">
    <w:name w:val="Heading 3 Char"/>
    <w:basedOn w:val="DefaultParagraphFont"/>
    <w:link w:val="Heading3"/>
    <w:uiPriority w:val="9"/>
    <w:rsid w:val="00EF64E5"/>
    <w:rPr>
      <w:rFonts w:ascii="Times New Roman" w:eastAsiaTheme="majorEastAsia" w:hAnsi="Times New Roman" w:cstheme="majorBidi"/>
      <w:b/>
      <w:szCs w:val="28"/>
    </w:rPr>
  </w:style>
  <w:style w:type="character" w:customStyle="1" w:styleId="Heading4Char">
    <w:name w:val="Heading 4 Char"/>
    <w:basedOn w:val="DefaultParagraphFont"/>
    <w:link w:val="Heading4"/>
    <w:uiPriority w:val="9"/>
    <w:semiHidden/>
    <w:rsid w:val="00C9412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9412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9412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9412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9412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94123"/>
    <w:rPr>
      <w:rFonts w:eastAsiaTheme="majorEastAsia" w:cstheme="majorBidi"/>
      <w:color w:val="272727" w:themeColor="text1" w:themeTint="D8"/>
    </w:rPr>
  </w:style>
  <w:style w:type="paragraph" w:styleId="Title">
    <w:name w:val="Title"/>
    <w:basedOn w:val="Normal"/>
    <w:next w:val="Normal"/>
    <w:link w:val="TitleChar"/>
    <w:uiPriority w:val="10"/>
    <w:qFormat/>
    <w:rsid w:val="00C9412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9412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9412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9412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94123"/>
    <w:pPr>
      <w:spacing w:before="160"/>
      <w:jc w:val="center"/>
    </w:pPr>
    <w:rPr>
      <w:i/>
      <w:iCs/>
      <w:color w:val="404040" w:themeColor="text1" w:themeTint="BF"/>
    </w:rPr>
  </w:style>
  <w:style w:type="character" w:customStyle="1" w:styleId="QuoteChar">
    <w:name w:val="Quote Char"/>
    <w:basedOn w:val="DefaultParagraphFont"/>
    <w:link w:val="Quote"/>
    <w:uiPriority w:val="29"/>
    <w:rsid w:val="00C94123"/>
    <w:rPr>
      <w:i/>
      <w:iCs/>
      <w:color w:val="404040" w:themeColor="text1" w:themeTint="BF"/>
    </w:rPr>
  </w:style>
  <w:style w:type="paragraph" w:styleId="ListParagraph">
    <w:name w:val="List Paragraph"/>
    <w:basedOn w:val="Normal"/>
    <w:uiPriority w:val="34"/>
    <w:qFormat/>
    <w:rsid w:val="00C94123"/>
    <w:pPr>
      <w:ind w:left="720"/>
      <w:contextualSpacing/>
    </w:pPr>
  </w:style>
  <w:style w:type="character" w:styleId="IntenseEmphasis">
    <w:name w:val="Intense Emphasis"/>
    <w:basedOn w:val="DefaultParagraphFont"/>
    <w:uiPriority w:val="21"/>
    <w:qFormat/>
    <w:rsid w:val="00C94123"/>
    <w:rPr>
      <w:i/>
      <w:iCs/>
      <w:color w:val="0F4761" w:themeColor="accent1" w:themeShade="BF"/>
    </w:rPr>
  </w:style>
  <w:style w:type="paragraph" w:styleId="IntenseQuote">
    <w:name w:val="Intense Quote"/>
    <w:basedOn w:val="Normal"/>
    <w:next w:val="Normal"/>
    <w:link w:val="IntenseQuoteChar"/>
    <w:uiPriority w:val="30"/>
    <w:qFormat/>
    <w:rsid w:val="00C9412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94123"/>
    <w:rPr>
      <w:i/>
      <w:iCs/>
      <w:color w:val="0F4761" w:themeColor="accent1" w:themeShade="BF"/>
    </w:rPr>
  </w:style>
  <w:style w:type="character" w:styleId="IntenseReference">
    <w:name w:val="Intense Reference"/>
    <w:basedOn w:val="DefaultParagraphFont"/>
    <w:uiPriority w:val="32"/>
    <w:qFormat/>
    <w:rsid w:val="00C94123"/>
    <w:rPr>
      <w:b/>
      <w:bCs/>
      <w:smallCaps/>
      <w:color w:val="0F4761" w:themeColor="accent1" w:themeShade="BF"/>
      <w:spacing w:val="5"/>
    </w:rPr>
  </w:style>
  <w:style w:type="character" w:styleId="Hyperlink">
    <w:name w:val="Hyperlink"/>
    <w:basedOn w:val="DefaultParagraphFont"/>
    <w:uiPriority w:val="99"/>
    <w:unhideWhenUsed/>
    <w:rsid w:val="00C94123"/>
    <w:rPr>
      <w:color w:val="467886" w:themeColor="hyperlink"/>
      <w:u w:val="single"/>
    </w:rPr>
  </w:style>
  <w:style w:type="paragraph" w:styleId="NormalWeb">
    <w:name w:val="Normal (Web)"/>
    <w:basedOn w:val="Normal"/>
    <w:uiPriority w:val="99"/>
    <w:semiHidden/>
    <w:unhideWhenUsed/>
    <w:rsid w:val="00C94123"/>
    <w:pPr>
      <w:spacing w:before="100" w:beforeAutospacing="1" w:after="100" w:afterAutospacing="1" w:line="240" w:lineRule="auto"/>
    </w:pPr>
    <w:rPr>
      <w:rFonts w:ascii="Times New Roman" w:eastAsia="Times New Roman" w:hAnsi="Times New Roman" w:cs="Times New Roman"/>
      <w:kern w:val="0"/>
      <w:lang w:val="en-US"/>
      <w14:ligatures w14:val="none"/>
    </w:rPr>
  </w:style>
  <w:style w:type="paragraph" w:styleId="Header">
    <w:name w:val="header"/>
    <w:basedOn w:val="Normal"/>
    <w:link w:val="HeaderChar"/>
    <w:uiPriority w:val="99"/>
    <w:unhideWhenUsed/>
    <w:rsid w:val="00C94123"/>
    <w:pPr>
      <w:tabs>
        <w:tab w:val="center" w:pos="4680"/>
        <w:tab w:val="right" w:pos="9360"/>
      </w:tabs>
      <w:spacing w:after="0" w:line="240" w:lineRule="auto"/>
    </w:pPr>
    <w:rPr>
      <w:kern w:val="0"/>
      <w:sz w:val="22"/>
      <w:szCs w:val="22"/>
      <w:lang w:val="en-US"/>
      <w14:ligatures w14:val="none"/>
    </w:rPr>
  </w:style>
  <w:style w:type="character" w:customStyle="1" w:styleId="HeaderChar">
    <w:name w:val="Header Char"/>
    <w:basedOn w:val="DefaultParagraphFont"/>
    <w:link w:val="Header"/>
    <w:uiPriority w:val="99"/>
    <w:rsid w:val="00C94123"/>
    <w:rPr>
      <w:kern w:val="0"/>
      <w:sz w:val="22"/>
      <w:szCs w:val="22"/>
      <w:lang w:val="en-US"/>
      <w14:ligatures w14:val="none"/>
    </w:rPr>
  </w:style>
  <w:style w:type="paragraph" w:styleId="Footer">
    <w:name w:val="footer"/>
    <w:basedOn w:val="Normal"/>
    <w:link w:val="FooterChar"/>
    <w:uiPriority w:val="99"/>
    <w:unhideWhenUsed/>
    <w:rsid w:val="00C94123"/>
    <w:pPr>
      <w:tabs>
        <w:tab w:val="center" w:pos="4680"/>
        <w:tab w:val="right" w:pos="9360"/>
      </w:tabs>
      <w:spacing w:after="0" w:line="240" w:lineRule="auto"/>
    </w:pPr>
    <w:rPr>
      <w:kern w:val="0"/>
      <w:sz w:val="22"/>
      <w:szCs w:val="22"/>
      <w:lang w:val="en-US"/>
      <w14:ligatures w14:val="none"/>
    </w:rPr>
  </w:style>
  <w:style w:type="character" w:customStyle="1" w:styleId="FooterChar">
    <w:name w:val="Footer Char"/>
    <w:basedOn w:val="DefaultParagraphFont"/>
    <w:link w:val="Footer"/>
    <w:uiPriority w:val="99"/>
    <w:rsid w:val="00C94123"/>
    <w:rPr>
      <w:kern w:val="0"/>
      <w:sz w:val="22"/>
      <w:szCs w:val="22"/>
      <w:lang w:val="en-US"/>
      <w14:ligatures w14:val="none"/>
    </w:rPr>
  </w:style>
  <w:style w:type="character" w:styleId="Emphasis">
    <w:name w:val="Emphasis"/>
    <w:basedOn w:val="DefaultParagraphFont"/>
    <w:uiPriority w:val="20"/>
    <w:qFormat/>
    <w:rsid w:val="00C94123"/>
    <w:rPr>
      <w:i/>
      <w:iCs/>
    </w:rPr>
  </w:style>
  <w:style w:type="paragraph" w:styleId="TOC1">
    <w:name w:val="toc 1"/>
    <w:basedOn w:val="Normal"/>
    <w:next w:val="Normal"/>
    <w:autoRedefine/>
    <w:uiPriority w:val="39"/>
    <w:unhideWhenUsed/>
    <w:rsid w:val="009501C5"/>
    <w:pPr>
      <w:spacing w:after="100" w:line="259" w:lineRule="auto"/>
    </w:pPr>
    <w:rPr>
      <w:rFonts w:ascii="Times New Roman" w:hAnsi="Times New Roman"/>
      <w:b/>
      <w:kern w:val="0"/>
      <w:sz w:val="22"/>
      <w:szCs w:val="22"/>
      <w:lang w:val="en-US"/>
      <w14:ligatures w14:val="none"/>
    </w:rPr>
  </w:style>
  <w:style w:type="paragraph" w:styleId="TOC2">
    <w:name w:val="toc 2"/>
    <w:basedOn w:val="Normal"/>
    <w:next w:val="Normal"/>
    <w:autoRedefine/>
    <w:uiPriority w:val="39"/>
    <w:unhideWhenUsed/>
    <w:rsid w:val="00C94123"/>
    <w:pPr>
      <w:tabs>
        <w:tab w:val="right" w:leader="dot" w:pos="9350"/>
      </w:tabs>
      <w:spacing w:after="100" w:line="259" w:lineRule="auto"/>
      <w:ind w:left="216"/>
    </w:pPr>
    <w:rPr>
      <w:kern w:val="0"/>
      <w:sz w:val="22"/>
      <w:szCs w:val="22"/>
      <w:lang w:val="en-US"/>
      <w14:ligatures w14:val="none"/>
    </w:rPr>
  </w:style>
  <w:style w:type="paragraph" w:styleId="TOCHeading">
    <w:name w:val="TOC Heading"/>
    <w:basedOn w:val="Heading1"/>
    <w:next w:val="Normal"/>
    <w:uiPriority w:val="39"/>
    <w:unhideWhenUsed/>
    <w:qFormat/>
    <w:rsid w:val="00C94123"/>
    <w:pPr>
      <w:spacing w:before="240" w:after="0" w:line="259" w:lineRule="auto"/>
      <w:outlineLvl w:val="9"/>
    </w:pPr>
    <w:rPr>
      <w:kern w:val="0"/>
      <w:sz w:val="32"/>
      <w:szCs w:val="32"/>
      <w:lang w:val="en-US"/>
      <w14:ligatures w14:val="none"/>
    </w:rPr>
  </w:style>
  <w:style w:type="paragraph" w:styleId="TOC3">
    <w:name w:val="toc 3"/>
    <w:basedOn w:val="Normal"/>
    <w:next w:val="Normal"/>
    <w:autoRedefine/>
    <w:uiPriority w:val="39"/>
    <w:unhideWhenUsed/>
    <w:rsid w:val="00F17D4D"/>
    <w:pPr>
      <w:spacing w:after="100" w:line="259" w:lineRule="auto"/>
      <w:ind w:left="440"/>
    </w:pPr>
    <w:rPr>
      <w:rFonts w:eastAsiaTheme="minorEastAsia" w:cs="Times New Roman"/>
      <w:kern w:val="0"/>
      <w:sz w:val="22"/>
      <w:szCs w:val="22"/>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17" Type="http://schemas.openxmlformats.org/officeDocument/2006/relationships/hyperlink" Target="https://doi.org/10.4103/jfmpc.jfmpc_999_24" TargetMode="External"/><Relationship Id="rId21" Type="http://schemas.openxmlformats.org/officeDocument/2006/relationships/hyperlink" Target="https://pubmed.ncbi.nlm.nih.gov/25006137/" TargetMode="External"/><Relationship Id="rId42" Type="http://schemas.openxmlformats.org/officeDocument/2006/relationships/hyperlink" Target="https://www.researchgate.net/publication/373133417_Healthcare_Technology_and_Innovation_Management_Methods_Theoretical_Interpretation" TargetMode="External"/><Relationship Id="rId63" Type="http://schemas.openxmlformats.org/officeDocument/2006/relationships/hyperlink" Target="https://doi.org/10.1108//JFRA" TargetMode="External"/><Relationship Id="rId84" Type="http://schemas.openxmlformats.org/officeDocument/2006/relationships/hyperlink" Target="https://doi.org/10.31478/202311e" TargetMode="External"/><Relationship Id="rId16" Type="http://schemas.openxmlformats.org/officeDocument/2006/relationships/hyperlink" Target="https://heinonline.org/HOL/LandingPage?handle=hein.journals/geojintl47&amp;div=41&amp;id=&amp;page" TargetMode="External"/><Relationship Id="rId107" Type="http://schemas.openxmlformats.org/officeDocument/2006/relationships/hyperlink" Target="https://doi.org/10.1002/csr.2659" TargetMode="External"/><Relationship Id="rId11" Type="http://schemas.openxmlformats.org/officeDocument/2006/relationships/hyperlink" Target="https://doi.org/10.1007/978-3-031-70529-8_14" TargetMode="External"/><Relationship Id="rId32" Type="http://schemas.openxmlformats.org/officeDocument/2006/relationships/hyperlink" Target="https://doi.org/10.3390/app131810258" TargetMode="External"/><Relationship Id="rId37" Type="http://schemas.openxmlformats.org/officeDocument/2006/relationships/hyperlink" Target="https://shorturl.at/PMpBD" TargetMode="External"/><Relationship Id="rId53" Type="http://schemas.openxmlformats.org/officeDocument/2006/relationships/hyperlink" Target="https://www.mdpi.com/2227-7072/13/1/11" TargetMode="External"/><Relationship Id="rId58" Type="http://schemas.openxmlformats.org/officeDocument/2006/relationships/hyperlink" Target="https://doi.org/10.3390/healthcare10101940" TargetMode="External"/><Relationship Id="rId74" Type="http://schemas.openxmlformats.org/officeDocument/2006/relationships/hyperlink" Target="https://pmc.ncbi.nlm.nih.gov/articles/PMC12475944/" TargetMode="External"/><Relationship Id="rId79" Type="http://schemas.openxmlformats.org/officeDocument/2006/relationships/hyperlink" Target="https://doi.org/10.1007/s43681-024-00427-4" TargetMode="External"/><Relationship Id="rId102" Type="http://schemas.openxmlformats.org/officeDocument/2006/relationships/hyperlink" Target="https://bura.brunel.ac.uk/bitstream/2438/17838/4/FullText.pdf" TargetMode="External"/><Relationship Id="rId123" Type="http://schemas.openxmlformats.org/officeDocument/2006/relationships/hyperlink" Target="https://books.google.nl/books?hl=en&amp;lr=&amp;id=_EFlDwAAQBAJ&amp;oi=fnd&amp;pg=PT8&amp;dq=Topol+(2019)&amp;ots=BJ4AoV-x7R&amp;sig=VMGSd9wap1LDHSwZUUZoDgKO-Zo&amp;redir_esc=y" TargetMode="External"/><Relationship Id="rId128" Type="http://schemas.openxmlformats.org/officeDocument/2006/relationships/hyperlink" Target="https://doi.org/10.3390/jrfm18040217" TargetMode="External"/><Relationship Id="rId5" Type="http://schemas.openxmlformats.org/officeDocument/2006/relationships/webSettings" Target="webSettings.xml"/><Relationship Id="rId90" Type="http://schemas.openxmlformats.org/officeDocument/2006/relationships/hyperlink" Target="https://doi.org/10.3390/atmos13020209" TargetMode="External"/><Relationship Id="rId95" Type="http://schemas.openxmlformats.org/officeDocument/2006/relationships/hyperlink" Target="https://doi.org/10.1097/ms9.0000000000002534" TargetMode="External"/><Relationship Id="rId22" Type="http://schemas.openxmlformats.org/officeDocument/2006/relationships/hyperlink" Target="https://doi.org/10.1186/s13731-018-0092-5" TargetMode="External"/><Relationship Id="rId27" Type="http://schemas.openxmlformats.org/officeDocument/2006/relationships/hyperlink" Target="https://shorturl.at/OQ0Ir" TargetMode="External"/><Relationship Id="rId43" Type="http://schemas.openxmlformats.org/officeDocument/2006/relationships/hyperlink" Target="https://doi.org/10.1016/j.resourpol.2023.103981" TargetMode="External"/><Relationship Id="rId48" Type="http://schemas.openxmlformats.org/officeDocument/2006/relationships/hyperlink" Target="https://www.researchgate.net/publication/384012595_The_Role_of_Fintech_in_Streamlining_Insurance_Processes_and_Reducing_Administrative_Overheads" TargetMode="External"/><Relationship Id="rId64" Type="http://schemas.openxmlformats.org/officeDocument/2006/relationships/hyperlink" Target="https://doi.org/10.3390/ijerph18041417" TargetMode="External"/><Relationship Id="rId69" Type="http://schemas.openxmlformats.org/officeDocument/2006/relationships/hyperlink" Target="https://doi.org/10.3390/laws13040047" TargetMode="External"/><Relationship Id="rId113" Type="http://schemas.openxmlformats.org/officeDocument/2006/relationships/hyperlink" Target="https://doi.org/10.53375/ijecer.2025.437" TargetMode="External"/><Relationship Id="rId118" Type="http://schemas.openxmlformats.org/officeDocument/2006/relationships/hyperlink" Target="https://doi.org/10.4103/jfmpc.jfmpc_999_24" TargetMode="External"/><Relationship Id="rId80" Type="http://schemas.openxmlformats.org/officeDocument/2006/relationships/hyperlink" Target="https://doi.org/10.1007/s10290-013-0167-0" TargetMode="External"/><Relationship Id="rId85" Type="http://schemas.openxmlformats.org/officeDocument/2006/relationships/hyperlink" Target="https://doi.org/10.3390/su17062489" TargetMode="External"/><Relationship Id="rId12" Type="http://schemas.openxmlformats.org/officeDocument/2006/relationships/hyperlink" Target="https://doi.org/10.1016/j.techsoc.2023.102405" TargetMode="External"/><Relationship Id="rId17" Type="http://schemas.openxmlformats.org/officeDocument/2006/relationships/hyperlink" Target="https://doi.org/10.1111/radm.12711" TargetMode="External"/><Relationship Id="rId33" Type="http://schemas.openxmlformats.org/officeDocument/2006/relationships/hyperlink" Target="https://doi.org/10.3390/su13073644" TargetMode="External"/><Relationship Id="rId38" Type="http://schemas.openxmlformats.org/officeDocument/2006/relationships/hyperlink" Target="https://doi.org/10.51594/ijmer.v6i8.1365" TargetMode="External"/><Relationship Id="rId59" Type="http://schemas.openxmlformats.org/officeDocument/2006/relationships/hyperlink" Target="https://www.hbs.edu/faculty/Pages/item.aspx?num=61195" TargetMode="External"/><Relationship Id="rId103" Type="http://schemas.openxmlformats.org/officeDocument/2006/relationships/hyperlink" Target="https://libres.uncg.edu/ir/uncg/f/J_Dale_Productive_2013.pdf" TargetMode="External"/><Relationship Id="rId108" Type="http://schemas.openxmlformats.org/officeDocument/2006/relationships/hyperlink" Target="https://doi.org/10.3390/ijerph18010334" TargetMode="External"/><Relationship Id="rId124" Type="http://schemas.openxmlformats.org/officeDocument/2006/relationships/hyperlink" Target="https://www.sciencedirect.com/science/article/abs/pii/S0148296320306329" TargetMode="External"/><Relationship Id="rId129" Type="http://schemas.openxmlformats.org/officeDocument/2006/relationships/hyperlink" Target="https://doi.org/10.1093/jfr/fjaa010" TargetMode="External"/><Relationship Id="rId54" Type="http://schemas.openxmlformats.org/officeDocument/2006/relationships/hyperlink" Target="https://doi.org/10.1016/j.jii.2021.100217" TargetMode="External"/><Relationship Id="rId70" Type="http://schemas.openxmlformats.org/officeDocument/2006/relationships/hyperlink" Target="https://doi.org/10.1136/leader-2023-000873" TargetMode="External"/><Relationship Id="rId75" Type="http://schemas.openxmlformats.org/officeDocument/2006/relationships/hyperlink" Target="https://c-rasc.gmu.edu/wp-content/uploads/2024/03/Recommendations-Paper-Final-230830c.pdf" TargetMode="External"/><Relationship Id="rId91" Type="http://schemas.openxmlformats.org/officeDocument/2006/relationships/hyperlink" Target="https://www.mdpi.com/1660-4601/19/9/5101" TargetMode="External"/><Relationship Id="rId96" Type="http://schemas.openxmlformats.org/officeDocument/2006/relationships/hyperlink" Target="https://doi.org/10.2139/ssrn.5282144" TargetMode="External"/><Relationship Id="rId1" Type="http://schemas.openxmlformats.org/officeDocument/2006/relationships/customXml" Target="../customXml/item1.xml"/><Relationship Id="rId6" Type="http://schemas.openxmlformats.org/officeDocument/2006/relationships/hyperlink" Target="https://pdfs.semanticscholar.org/470a/60ae86e74a3aee3f34d2f2dda1d9b08f727a.pdf" TargetMode="External"/><Relationship Id="rId23" Type="http://schemas.openxmlformats.org/officeDocument/2006/relationships/hyperlink" Target="https://doi.org/10.56294/hl2022100" TargetMode="External"/><Relationship Id="rId28" Type="http://schemas.openxmlformats.org/officeDocument/2006/relationships/hyperlink" Target="https://shorturl.at/rEqhp" TargetMode="External"/><Relationship Id="rId49" Type="http://schemas.openxmlformats.org/officeDocument/2006/relationships/hyperlink" Target="https://doi.org/10.1016/j.jbusres.2020.12.034" TargetMode="External"/><Relationship Id="rId114" Type="http://schemas.openxmlformats.org/officeDocument/2006/relationships/hyperlink" Target="https://doi.org/10.1016/j.biortech.2021.126490" TargetMode="External"/><Relationship Id="rId119" Type="http://schemas.openxmlformats.org/officeDocument/2006/relationships/hyperlink" Target="https://shorturl.at/rc2Xh" TargetMode="External"/><Relationship Id="rId44" Type="http://schemas.openxmlformats.org/officeDocument/2006/relationships/hyperlink" Target="https://doi.org/10.3390/sci6010003" TargetMode="External"/><Relationship Id="rId60" Type="http://schemas.openxmlformats.org/officeDocument/2006/relationships/hyperlink" Target="https://journals.sagepub.com/doi/full/10.1177/01708406231151498" TargetMode="External"/><Relationship Id="rId65" Type="http://schemas.openxmlformats.org/officeDocument/2006/relationships/hyperlink" Target="https://doi.org/10.1016/j.indmarman.2024.03.004" TargetMode="External"/><Relationship Id="rId81" Type="http://schemas.openxmlformats.org/officeDocument/2006/relationships/hyperlink" Target="https://doi.org/10.34172/ijhpm.2022.7262" TargetMode="External"/><Relationship Id="rId86" Type="http://schemas.openxmlformats.org/officeDocument/2006/relationships/hyperlink" Target="https://doi.org/10.1016/j.techfore.2024.123781" TargetMode="External"/><Relationship Id="rId130" Type="http://schemas.openxmlformats.org/officeDocument/2006/relationships/hyperlink" Target="https://doi.org/10.3390/electronics12030546" TargetMode="External"/><Relationship Id="rId13" Type="http://schemas.openxmlformats.org/officeDocument/2006/relationships/hyperlink" Target="https://doi.org/10.3390/app14209304" TargetMode="External"/><Relationship Id="rId18" Type="http://schemas.openxmlformats.org/officeDocument/2006/relationships/hyperlink" Target="https://doi.org/10.1016/j.jestch.2024.101792" TargetMode="External"/><Relationship Id="rId39" Type="http://schemas.openxmlformats.org/officeDocument/2006/relationships/hyperlink" Target="https://www.ncbi.nlm.nih.gov/books/NBK500019/" TargetMode="External"/><Relationship Id="rId109" Type="http://schemas.openxmlformats.org/officeDocument/2006/relationships/hyperlink" Target="https://journals.smsvaranasi.com/index.php/crr/article/view/1983" TargetMode="External"/><Relationship Id="rId34" Type="http://schemas.openxmlformats.org/officeDocument/2006/relationships/hyperlink" Target="https://www.hbs.edu/faculty/Pages/item.aspx?num=46" TargetMode="External"/><Relationship Id="rId50" Type="http://schemas.openxmlformats.org/officeDocument/2006/relationships/hyperlink" Target="https://link.springer.com/article/10.1007/s11187-018-9991-x?trk=public_post_comment-text" TargetMode="External"/><Relationship Id="rId55" Type="http://schemas.openxmlformats.org/officeDocument/2006/relationships/hyperlink" Target="https://hbr.org/2020/01/competing-in-the-age-of-ai" TargetMode="External"/><Relationship Id="rId76" Type="http://schemas.openxmlformats.org/officeDocument/2006/relationships/hyperlink" Target="https://books.google.ro/books?hl=en&amp;lr=&amp;id=JdBbEAAAQBAJ&amp;oi=fnd&amp;pg=PP1&amp;dq=Comparative+Study+of+Innovation+in+Healthcare+and+Finance&amp;ots=uJFLtzT3nM&amp;sig=xutzEvQBZnNYQhzyVMoRuZE6XlQ&amp;redir_esc=y" TargetMode="External"/><Relationship Id="rId97" Type="http://schemas.openxmlformats.org/officeDocument/2006/relationships/hyperlink" Target="https://doi.org/10.4018/979-8-3373-0240-9.ch012" TargetMode="External"/><Relationship Id="rId104" Type="http://schemas.openxmlformats.org/officeDocument/2006/relationships/hyperlink" Target="https://doi.org/10.36948/ijfmr.2025.v07i02.38869" TargetMode="External"/><Relationship Id="rId120" Type="http://schemas.openxmlformats.org/officeDocument/2006/relationships/hyperlink" Target="https://www.mdpi.com/2071-1050/14/10/5866" TargetMode="External"/><Relationship Id="rId125" Type="http://schemas.openxmlformats.org/officeDocument/2006/relationships/hyperlink" Target="https://link.springer.com/referenceworkentry/10.1007/978-3-030-02006-4_545-1" TargetMode="External"/><Relationship Id="rId7" Type="http://schemas.openxmlformats.org/officeDocument/2006/relationships/hyperlink" Target="https://doi.org/10.1016/j.jbusres.2022.05.066" TargetMode="External"/><Relationship Id="rId71" Type="http://schemas.openxmlformats.org/officeDocument/2006/relationships/hyperlink" Target="https://hbr.org/2020/01/competing-in-the-age-of-ai" TargetMode="External"/><Relationship Id="rId92" Type="http://schemas.openxmlformats.org/officeDocument/2006/relationships/hyperlink" Target="https://doi.org/10.1016/j.ejor.2024.05.046" TargetMode="External"/><Relationship Id="rId2" Type="http://schemas.openxmlformats.org/officeDocument/2006/relationships/numbering" Target="numbering.xml"/><Relationship Id="rId29" Type="http://schemas.openxmlformats.org/officeDocument/2006/relationships/hyperlink" Target="https://doi.org/10.1007/s41060-024-00615-9" TargetMode="External"/><Relationship Id="rId24" Type="http://schemas.openxmlformats.org/officeDocument/2006/relationships/hyperlink" Target="https://doi.org/10.3389/frai.2025.1568266" TargetMode="External"/><Relationship Id="rId40" Type="http://schemas.openxmlformats.org/officeDocument/2006/relationships/hyperlink" Target="https://doi.org/10.3389/fpubh.2024.1398136" TargetMode="External"/><Relationship Id="rId45" Type="http://schemas.openxmlformats.org/officeDocument/2006/relationships/hyperlink" Target="https://www.nber.org/system/files/working_papers/w30091/w30091.pdf" TargetMode="External"/><Relationship Id="rId66" Type="http://schemas.openxmlformats.org/officeDocument/2006/relationships/hyperlink" Target="https://books.google.ro/books?hl=en&amp;lr=&amp;id=XpJUEAAAQBAJ&amp;oi=fnd&amp;pg=PA3&amp;dq=Cross-sector+regulatory+learning+offers+a+compelling+avenue+for+accelerating+innovation+while+maintaining+sector-specific+safety+and+trust+thresholds&amp;ots=IBVULmIQX0&amp;sig=O3VY98rAjx0wDePSyGO61o6a4Fo&amp;redir_esc=y" TargetMode="External"/><Relationship Id="rId87" Type="http://schemas.openxmlformats.org/officeDocument/2006/relationships/hyperlink" Target="https://line.laudio.com/hubfs/7157272/G.%20Berlin%2C%20McKinsey-%20State%20of%20Healthcare%202024.pdf" TargetMode="External"/><Relationship Id="rId110" Type="http://schemas.openxmlformats.org/officeDocument/2006/relationships/hyperlink" Target="https://doi.org/10.1016/j.mcpdig.2024.100191" TargetMode="External"/><Relationship Id="rId115" Type="http://schemas.openxmlformats.org/officeDocument/2006/relationships/hyperlink" Target="https://books.google.nl/books?hl=en&amp;lr=&amp;id=aE_J4Iv_PVEC&amp;oi=fnd&amp;pg=PP15&amp;dq=Information+Rules:+A+Strategic+Guide+to+the+Network+Economy.&amp;ots=o4HlZVnaPX&amp;sig=VgDNrw-eZQOtQhqjFNbaMSi2C8s&amp;redir_esc=y" TargetMode="External"/><Relationship Id="rId131" Type="http://schemas.openxmlformats.org/officeDocument/2006/relationships/hyperlink" Target="https://doi.org/10.1016/j.heliyon.2024.e29716" TargetMode="External"/><Relationship Id="rId61" Type="http://schemas.openxmlformats.org/officeDocument/2006/relationships/hyperlink" Target="https://doi.org/10.1016/j.hcl.2020.01.008" TargetMode="External"/><Relationship Id="rId82" Type="http://schemas.openxmlformats.org/officeDocument/2006/relationships/hyperlink" Target="https://doi.org/10.3390/su14116601" TargetMode="External"/><Relationship Id="rId19" Type="http://schemas.openxmlformats.org/officeDocument/2006/relationships/hyperlink" Target="https://books.google.nl/books?hl=en&amp;lr=&amp;id=vukGEAAAQBAJ&amp;oi=fnd&amp;pg=PP13&amp;dq=Design+Rules:+The+Power+of+Modularity&amp;ots=w6AzA1bEjh&amp;sig=McdFGv4TOrJX-gEXV9-tkkUp0DY&amp;redir_esc=y" TargetMode="External"/><Relationship Id="rId14" Type="http://schemas.openxmlformats.org/officeDocument/2006/relationships/hyperlink" Target="https://www.americanhealthlaw.org/publications/health-law-hub-current-topics/coronavirus-pandemic/oscar-ipo-another-indicator-of-post-pandemic-teleh" TargetMode="External"/><Relationship Id="rId30" Type="http://schemas.openxmlformats.org/officeDocument/2006/relationships/hyperlink" Target="https://www.degruyterbrill.com/document/doi/10.1515/9781400835119/html?lang%3Den=&amp;lang=de" TargetMode="External"/><Relationship Id="rId35" Type="http://schemas.openxmlformats.org/officeDocument/2006/relationships/hyperlink" Target="https://doi.org/10.1371/journal.pdig.0000651" TargetMode="External"/><Relationship Id="rId56" Type="http://schemas.openxmlformats.org/officeDocument/2006/relationships/hyperlink" Target="https://doi.org/10.1016/j.csa.2023.100016" TargetMode="External"/><Relationship Id="rId77" Type="http://schemas.openxmlformats.org/officeDocument/2006/relationships/hyperlink" Target="https://doi.org/10.1007/s12265-022-10232-1" TargetMode="External"/><Relationship Id="rId100" Type="http://schemas.openxmlformats.org/officeDocument/2006/relationships/hyperlink" Target="https://doi.org/10.3389/frhs.2023.1154614" TargetMode="External"/><Relationship Id="rId105" Type="http://schemas.openxmlformats.org/officeDocument/2006/relationships/hyperlink" Target="https://doi.org/10.7759/cureus.83136" TargetMode="External"/><Relationship Id="rId126" Type="http://schemas.openxmlformats.org/officeDocument/2006/relationships/hyperlink" Target="https://doi.org/10.3390/app14020675" TargetMode="External"/><Relationship Id="rId8" Type="http://schemas.openxmlformats.org/officeDocument/2006/relationships/hyperlink" Target="https://doi.org/10.1016/j.jjimei.2022.100079" TargetMode="External"/><Relationship Id="rId51" Type="http://schemas.openxmlformats.org/officeDocument/2006/relationships/hyperlink" Target="https://hbr.org/podcast/2024/12/a-new-model-for-funding-healthcare-innovation" TargetMode="External"/><Relationship Id="rId72" Type="http://schemas.openxmlformats.org/officeDocument/2006/relationships/hyperlink" Target="https://doi.org/10.1007/s40258-021-00665-1" TargetMode="External"/><Relationship Id="rId93" Type="http://schemas.openxmlformats.org/officeDocument/2006/relationships/hyperlink" Target="https://doi.org/10.32628/cseit251112118" TargetMode="External"/><Relationship Id="rId98" Type="http://schemas.openxmlformats.org/officeDocument/2006/relationships/hyperlink" Target="https://doi.org/10.1016/j.icte.2023.02.007" TargetMode="External"/><Relationship Id="rId121" Type="http://schemas.openxmlformats.org/officeDocument/2006/relationships/hyperlink" Target="https://www.researchgate.net/figure/Dynamic-capability-framework-Teece-et-al-1997_fig1_280209849" TargetMode="External"/><Relationship Id="rId3" Type="http://schemas.openxmlformats.org/officeDocument/2006/relationships/styles" Target="styles.xml"/><Relationship Id="rId25" Type="http://schemas.openxmlformats.org/officeDocument/2006/relationships/hyperlink" Target="https://doi.org/10.38124/ijisrt/ijisrt25feb184" TargetMode="External"/><Relationship Id="rId46" Type="http://schemas.openxmlformats.org/officeDocument/2006/relationships/hyperlink" Target="https://doi.org/10.5281/zenodo.11522048" TargetMode="External"/><Relationship Id="rId67" Type="http://schemas.openxmlformats.org/officeDocument/2006/relationships/hyperlink" Target="https://www.researchgate.net/publication/392316015_The_Rise_of_Embedded_Finance_Transforming_Consumer_Experience_and_Business_Models_-_A_Conceptual_Framework" TargetMode="External"/><Relationship Id="rId116" Type="http://schemas.openxmlformats.org/officeDocument/2006/relationships/hyperlink" Target="https://doi.org/10.2991/icecsd-19.2019.58" TargetMode="External"/><Relationship Id="rId20" Type="http://schemas.openxmlformats.org/officeDocument/2006/relationships/hyperlink" Target="https://doi.org/10.1016/j.techfore.2024.123450" TargetMode="External"/><Relationship Id="rId41" Type="http://schemas.openxmlformats.org/officeDocument/2006/relationships/hyperlink" Target="https://link.springer.com/chapter/10.1007/978-3-030-31193-3_7" TargetMode="External"/><Relationship Id="rId62" Type="http://schemas.openxmlformats.org/officeDocument/2006/relationships/hyperlink" Target="https://doi.org/10.13140/RG.2.2.26105.68963" TargetMode="External"/><Relationship Id="rId83" Type="http://schemas.openxmlformats.org/officeDocument/2006/relationships/hyperlink" Target="https://www.sciencedirect.com/science/article/pii/S004873332500040X" TargetMode="External"/><Relationship Id="rId88" Type="http://schemas.openxmlformats.org/officeDocument/2006/relationships/hyperlink" Target="https://doi.org/10.56442/ijble.v5i1.493" TargetMode="External"/><Relationship Id="rId111" Type="http://schemas.openxmlformats.org/officeDocument/2006/relationships/hyperlink" Target="https://doi.org/10.1016/j.inffus.2023.102004" TargetMode="External"/><Relationship Id="rId132" Type="http://schemas.openxmlformats.org/officeDocument/2006/relationships/fontTable" Target="fontTable.xml"/><Relationship Id="rId15" Type="http://schemas.openxmlformats.org/officeDocument/2006/relationships/hyperlink" Target="https://www.researchgate.net/publication/382970141_Blockchain_artificial_intelligence_and_healthcare_the_tripod_of_future-a_narrative_review" TargetMode="External"/><Relationship Id="rId36" Type="http://schemas.openxmlformats.org/officeDocument/2006/relationships/hyperlink" Target="https://web.archive.org/web/20240426141214id_/https://api.mdsoar.org/server/api/core/bitstreams/b5eaaaf2-5344-4017-93ce-84f6f56b6346/content" TargetMode="External"/><Relationship Id="rId57" Type="http://schemas.openxmlformats.org/officeDocument/2006/relationships/hyperlink" Target="https://doi.org/10.3390/healthcare10101940" TargetMode="External"/><Relationship Id="rId106" Type="http://schemas.openxmlformats.org/officeDocument/2006/relationships/hyperlink" Target="https://doi.org/10.1007/s11356-021-16223-0" TargetMode="External"/><Relationship Id="rId127" Type="http://schemas.openxmlformats.org/officeDocument/2006/relationships/hyperlink" Target="https://doi.org/10.1016/j.heliyon.2024.e26600" TargetMode="External"/><Relationship Id="rId10" Type="http://schemas.openxmlformats.org/officeDocument/2006/relationships/hyperlink" Target="https://doi.org/10.1109/access.2021.3050241" TargetMode="External"/><Relationship Id="rId31" Type="http://schemas.openxmlformats.org/officeDocument/2006/relationships/hyperlink" Target="https://www.ncbi.nlm.nih.gov/books/NBK560543/" TargetMode="External"/><Relationship Id="rId52" Type="http://schemas.openxmlformats.org/officeDocument/2006/relationships/hyperlink" Target="https://doi.org/10.1016/j.joitmc.2024.100428" TargetMode="External"/><Relationship Id="rId73" Type="http://schemas.openxmlformats.org/officeDocument/2006/relationships/hyperlink" Target="https://doi.org/10.2196/47551" TargetMode="External"/><Relationship Id="rId78" Type="http://schemas.openxmlformats.org/officeDocument/2006/relationships/hyperlink" Target="https://doi.org/10.1007/s10796-021-10221-" TargetMode="External"/><Relationship Id="rId94" Type="http://schemas.openxmlformats.org/officeDocument/2006/relationships/hyperlink" Target="https://doi.org/10.28924/2291-8639-23-2025-78" TargetMode="External"/><Relationship Id="rId99" Type="http://schemas.openxmlformats.org/officeDocument/2006/relationships/hyperlink" Target="https://doi.org/10.1007/s12599-023-00787-x" TargetMode="External"/><Relationship Id="rId101" Type="http://schemas.openxmlformats.org/officeDocument/2006/relationships/hyperlink" Target="https://shorturl.at/FXloi" TargetMode="External"/><Relationship Id="rId122" Type="http://schemas.openxmlformats.org/officeDocument/2006/relationships/hyperlink" Target="https://www.adb.org/sites/default/files/publication/884641/philippines-ecosystem-technology-startups.pdf" TargetMode="External"/><Relationship Id="rId4" Type="http://schemas.openxmlformats.org/officeDocument/2006/relationships/settings" Target="settings.xml"/><Relationship Id="rId9" Type="http://schemas.openxmlformats.org/officeDocument/2006/relationships/hyperlink" Target="https://doi.org/10.3390/su15053962" TargetMode="External"/><Relationship Id="rId26" Type="http://schemas.openxmlformats.org/officeDocument/2006/relationships/hyperlink" Target="https://store.hbr.org/product/disruptive-technologies-catching-the-wave/95103?srsltid=AfmBOorbgViTLDTAadUt3N5QOhQY5qdijzbpSgrilMntzgXz5V__2OvU" TargetMode="External"/><Relationship Id="rId47" Type="http://schemas.openxmlformats.org/officeDocument/2006/relationships/hyperlink" Target="https://doi.org/10.1365/s43439-023-00108-8" TargetMode="External"/><Relationship Id="rId68" Type="http://schemas.openxmlformats.org/officeDocument/2006/relationships/hyperlink" Target="https://doi.org/10.3390/jpm13060951" TargetMode="External"/><Relationship Id="rId89" Type="http://schemas.openxmlformats.org/officeDocument/2006/relationships/hyperlink" Target="https://books.google.ro/books?hl=en&amp;lr=&amp;id=wIsXEQAAQBAJ&amp;oi=fnd&amp;pg=PT9&amp;dq=The+future+of+innovation+in+healthcare+and+finance+hinges+on+reconciling+speed+with+safety,+automation+with+ethics,+and+disruption+with+sustainability&amp;ots=G9JHe_-GMs&amp;sig=-TbI8iKiVGKjF77drASY6BBhMbM&amp;redir_esc=y" TargetMode="External"/><Relationship Id="rId112" Type="http://schemas.openxmlformats.org/officeDocument/2006/relationships/hyperlink" Target="https://www.cambridge.org/core/journals/european-journal-of-risk-regulation/article/regulating-fintech-in-the-eu-the-case-for-a-guided-sandbox/3EE71CEEB3BC22E57A1BF08023073A6F" TargetMode="External"/><Relationship Id="rId133"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1541235-9974-41B6-A8FE-AA1839053E1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39</TotalTime>
  <Pages>75</Pages>
  <Words>25965</Words>
  <Characters>148004</Characters>
  <Application>Microsoft Office Word</Application>
  <DocSecurity>0</DocSecurity>
  <Lines>1233</Lines>
  <Paragraphs>347</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173622</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Murtaza Kanchwala</dc:creator>
  <cp:keywords/>
  <dc:description/>
  <cp:lastModifiedBy>Murtaza Kanchwala</cp:lastModifiedBy>
  <cp:revision>27</cp:revision>
  <dcterms:created xsi:type="dcterms:W3CDTF">2025-10-04T06:05:00Z</dcterms:created>
  <dcterms:modified xsi:type="dcterms:W3CDTF">2025-10-04T14:08:00Z</dcterms:modified>
  <cp:category/>
</cp:coreProperties>
</file>